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Final QA Report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Final QA Report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Quality assurance for the full-redline reset, six-insurer legal review and PolicyBridge blueprint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0223C · TMHCC final (58b8340) · Tysers · Yutree · Liberty · Allianz · AXA XL · Entertainment Elite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Baseline: TMHCC 0223C. Final wording: TMHCC Media &amp; Music Combined (commit 58b8340).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All completed outputs are saved in separate phase folders so no failed phase corrupts completed work.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Every enhancement remains subject to TMHCC underwriting/legal sign-off.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1. Files produced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7371"/>
        <w:gridCol w:w="2268"/>
      </w:tblGrid>
      <w:tr>
        <w:tc>
          <w:tcPr>
            <w:tcW w:type="dxa" w:w="56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7370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226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Formats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TMHCC_0223C_to_Final_Full_Redline.docx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TMHCC_Final_Clean.docx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3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TMHCC_UW_Enhancement_Register.docx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4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TMHCC_0223C_to_Final_Change_Summary.docx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5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TMHCC_Six_Insurer_Legal_Review_Reset.docx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6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TMHCC_Six_Insurer_Coverage_Comparison.docx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7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TMHCC_Gap_Fill_Strategy.docx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8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PolicyBridge_Wording_Studio_Workflow_Playbook.docx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9</w:t>
            </w:r>
          </w:p>
        </w:tc>
        <w:tc>
          <w:tcPr>
            <w:tcW w:type="dxa" w:w="737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PolicyBridge_Wording_Studio_Audit_Rebuild_Prompt.docx</w:t>
            </w:r>
          </w:p>
        </w:tc>
        <w:tc>
          <w:tcPr>
            <w:tcW w:type="dxa" w:w="2268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10</w:t>
            </w:r>
          </w:p>
        </w:tc>
        <w:tc>
          <w:tcPr>
            <w:tcW w:type="dxa" w:w="737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Final_QA_Report.docx (this document)</w:t>
            </w:r>
          </w:p>
        </w:tc>
        <w:tc>
          <w:tcPr>
            <w:tcW w:type="dxa" w:w="2268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docx + PDF</w:t>
            </w:r>
          </w:p>
        </w:tc>
      </w:tr>
    </w:tbl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2. Full 0223C→final redline generated from scratch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The redline was generated afresh by diffing the actual paragraph text of OLD_0223C.docx (2713 paragraphs) against the final clean wording (3805 paragraphs) using a sequence + word-level diff, emitting genuine Word tracked changes (2067 insertions incl. 28 UW-tagged, 973 deletions, 118 inline amendments). Verified at the XML level (2,161 w:ins, 1,105 w:del) and by rendering.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3. Existing tracked changes NOT relied on as the sole redline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The prior TrackedChanges document (recent enhancements on a clean 0526 baseline) was explicitly NOT used. The redline was built directly from the 0223C baseline and the final wording.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4. UW enhancements remain separately identifiable and unaccepted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The 14 rounds 7–9 enhancements are tagged in the redline under a distinct tracked-change author ('UW Review Enhancement'), yellow-highlighted and annotated '[UW REVIEW ENHANCEMENT — awaiting underwriting/legal sign-off; not accepted]'. They remain tracked (unaccepted) and are catalogued in the UW Enhancement Register.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5. Abuse / Tysers issue reviewed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A dedicated Abuse / Safeguarding / Molestation section was produced (Phase 03 Section A) grounded in the wordings: TMHCC PL EXCLUDES abuse; Yutree and AXA XL also exclude; Tysers, Liberty, Allianz and Entertainment Elite contain NO express abuse exclusion (silent). TMHCC is therefore narrower than those four — the issue the prior review missed. A caveat (silence ≠ confirmed cover) is logged, and an optional sub-limited abuse write-back with safeguarding conditions precedent is proposed (Phase 05).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6. Key findings — refreshed six-insurer legal review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TMHCC is the broadest wording by section count and the ONLY one offering Loss of Licence, Commercial Legal Expenses, Management Liability and a standalone Cyber-liability section.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Abuse: TMHCC/Yutree/AXA XL exclude; Tysers/Liberty/Allianz/Entertainment Elite silent → TMHCC narrower on abuse (headline miss now captured).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Tysers PI is worldwide and covers patents; TMHCC S12 is jurisdiction-limited (default ex-US/Canada) and excludes patents.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Statutory/criminal defence: Tysers GBP 1m; Yutree GBP 250k; TMHCC S12 funds only data-protection defence (broader criminal cover in S13/S14).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AXA XL excludes terrorism and punitive/fines absolutely and carries broad cyber + communicable-disease exclusions — disciplined restrictions are market-normal.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Personal Accident: Tysers (extensive) + Yutree (assault) provide it; TMHCC and three others do not.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7. Key TMHCC strengths (wording-supported)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Widest section count; four sections no competitor offers.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Genuine standalone cyber LIABILITY cover (not a bare exclusion as in AXA XL).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Broad, well-extended Media Liability (S12) with employee-dishonesty write-back, data-protection defence, reputation/withdrawal, IP-pursuit and M&amp;A auto-acquisition.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Clean exclusion architecture (cyber/date exclusion dis-applied to S12–15).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Favourable fines/penalties carve-back (vs AXA XL absolute exclusion).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Sub-limits meet or exceed every evidenced competitor figure (e.g. Virus GBP 500k &gt; Tysers GBP 250k).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8. Key TMHCC weaknesses / gaps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Abuse exclusion (vs four silent competitors) — see Phase 03/05.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Jurisdiction default ex-US/Canada (vs Tysers worldwide PI) — optional write-back drafted.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Patents excluded (vs Tysers) — deliberate, defensible; no action recommended.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No Personal Accident &amp; Business Travel section — whole-section gap (parked proposal).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S12-only criminal/regulatory defence looks narrow on a section-by-section read — cross-reference + contribution drafted.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9. High-priority gap-fill recommendations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Abuse / molestation optional sub-limited write-back (HIGH; parked, proposed wording).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Worldwide / USA-Canada territory option for Media Liability (HIGH; implemented as tracked change, awaiting sign-off).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Personal Accident &amp; Business Travel section (HIGH; parked, skeleton wording).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Criminal/regulatory defence cross-reference + contribution (Medium-High; implemented, awaiting sign-off).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10. Coverage-comparison layout fixes made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The matrix was rebuilt as a clean, market-ready ONE-PAGE at-a-glance matrix (18 concise coverage features × 7 insurers + key-note column) with legend, footnotes and ✓/◐/✗/? symbols; granular detail moved to a structured appendix. Verified by rendering: the main matrix fits on a single page with no overflow, and the appendix begins on the next page. The abuse row was added (the prior matrix's omission).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11. PolicyBridge workflow playbook created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Phase 06 produced the PolicyBridge Wording Studio Workflow Playbook — an 8-stage product specification with an app-interface specification and a worked example from this project.</w:t>
      </w:r>
    </w:p>
    <w:p>
      <w:pPr>
        <w:keepNext/>
        <w:spacing w:before="180" w:after="40"/>
      </w:pPr>
      <w:r>
        <w:rPr>
          <w:rFonts w:ascii="Lato" w:hAnsi="Lato" w:cs="Lato"/>
          <w:b/>
          <w:i w:val="0"/>
          <w:color w:val="00648B"/>
          <w:sz w:val="23"/>
        </w:rPr>
        <w:t>12. PolicyBridge audit/rebuild prompt created</w:t>
      </w:r>
    </w:p>
    <w:p>
      <w:pPr>
        <w:spacing w:after="80" w:before="0"/>
      </w:pPr>
      <w:r>
        <w:rPr>
          <w:rFonts w:ascii="Lato" w:hAnsi="Lato"/>
          <w:b/>
          <w:color w:val="1B7A3D"/>
          <w:sz w:val="19"/>
        </w:rPr>
        <w:t xml:space="preserve">CONFIRMED — </w:t>
      </w:r>
      <w:r>
        <w:rPr>
          <w:rFonts w:ascii="Lato" w:hAnsi="Lato"/>
          <w:color w:val="2B2F33"/>
          <w:sz w:val="19"/>
        </w:rPr>
        <w:t>Phase 07 produced a ready-to-paste audit/rebuild prompt (discovery-first; no destructive changes; ten audit checks; product standard; the seven TMHCC documents as a test project), with the current-state finding that the app is presently a Document Centre, not a Wording Studio.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13. Items needing underwriting / legal sign-off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C0563F"/>
          <w:sz w:val="18"/>
        </w:rPr>
        <w:t>All 14 UW enhancements in the register (S12 extensions, money restructure, S13/S12 definition changes, proof of ownership, admission of liability).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C0563F"/>
          <w:sz w:val="18"/>
        </w:rPr>
        <w:t>Abuse write-back (claims + legal + reinsurance) and Personal Accident section (capacity/appetite).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C0563F"/>
          <w:sz w:val="18"/>
        </w:rPr>
        <w:t>Worldwide/US-Canada option (reinsurance treaty territory) before any US/Canada offering.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C0563F"/>
          <w:sz w:val="18"/>
        </w:rPr>
        <w:t>Confirmation that IT-property/breakdown cover is not narrowed by consolidation into S1/S2.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C0563F"/>
          <w:sz w:val="18"/>
        </w:rPr>
        <w:t>Confirmation of the status (ordinary condition vs condition precedent) of the Proof of Ownership condition.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14. Limitations / points not verified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8"/>
        </w:rPr>
        <w:t>Policy Schedules (limits, excesses, sub-limit figures, section toggles) were not supplied; section availability and sub-limits reflect the wording booklets only.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8"/>
        </w:rPr>
        <w:t>Competitor schedules/endorsements were not supplied; a competitor's 'silence' on a peril (e.g. abuse) means no express clause was located, not a confirmed grant of cover — flagged for legal confirmation.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8"/>
        </w:rPr>
        <w:t>The redline is a text-level legal-effect redline rendered with branding (opens in Word with Track Changes); the fully-formatted 126-page branded final wording is provided separately as TMHCC_Final_Clean.docx.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8"/>
        </w:rPr>
        <w:t>LibreOffice PDF export renders tracked insertions as underline (black); Microsoft Word shows the two tracked-change authors in distinct colours. Highlight + annotation make UW items unmistakable in any viewer.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6C7378"/>
          <w:sz w:val="18"/>
        </w:rPr>
        <w:t>The repository HEAD is a few auto-commits ahead of 58b8340; the working-tree final clean wording is treated as the 58b8340 final.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Completion statement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3F1E8"/>
            <w:tcBorders>
              <w:top w:val="single" w:sz="4" w:space="0" w:color="1B7A3D"/>
              <w:left w:val="single" w:sz="22" w:space="0" w:color="1B7A3D"/>
              <w:bottom w:val="single" w:sz="4" w:space="0" w:color="1B7A3D"/>
              <w:right w:val="single" w:sz="4" w:space="0" w:color="1B7A3D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19"/>
              </w:rPr>
              <w:t xml:space="preserve">Complete: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The final tracked-changes wording shows ALL changes from 0223C; UW enhancements remain separately identifiable and unaccepted; the six-insurer comparison has been materially re-reviewed; the abuse/Tysers issue (and other previously-missed points) has been specifically addressed; the coverage-comparison layout has been cleaned; the gap-fill strategy includes copy-paste wording and exact locations; and the PolicyBridge workflow playbook and audit/rebuild prompt have been produced. All completed outputs are saved separately by phase.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Final QA Report — TMHCC full-redline reset + six-insurer legal review + PolicyBridge blueprint.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7301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Music Combined — Final QA Report</w:t>
          </w:r>
        </w:p>
      </w:tc>
      <w:tc>
        <w:tcPr>
          <w:tcW w:type="dxa" w:w="256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