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582188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hcc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188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spacing w:after="40"/>
      </w:pPr>
      <w:r>
        <w:rPr>
          <w:rFonts w:ascii="Lato" w:hAnsi="Lato" w:cs="Lato"/>
          <w:b/>
          <w:i w:val="0"/>
          <w:color w:val="B88A3C"/>
          <w:sz w:val="22"/>
          <w:caps w:val="true"/>
        </w:rPr>
        <w:t>Phase 07 · Audit / Rebuild Prompt</w:t>
      </w:r>
    </w:p>
    <w:p>
      <w:pPr>
        <w:spacing w:after="80"/>
        <w:pBdr>
          <w:bottom w:val="single" w:sz="14" w:space="2" w:color="B88A3C"/>
        </w:pBdr>
      </w:pPr>
      <w:r>
        <w:rPr>
          <w:rFonts w:ascii="Lato" w:hAnsi="Lato" w:cs="Lato"/>
          <w:b/>
          <w:i w:val="0"/>
          <w:color w:val="00648B"/>
          <w:sz w:val="60"/>
        </w:rPr>
        <w:t>PolicyBridge — Audit &amp; Rebuild Prompt</w:t>
      </w:r>
    </w:p>
    <w:p>
      <w:pPr>
        <w:spacing w:after="280" w:before="120"/>
      </w:pPr>
      <w:r>
        <w:rPr>
          <w:rFonts w:ascii="Lato" w:hAnsi="Lato" w:cs="Lato"/>
          <w:b w:val="0"/>
          <w:i w:val="0"/>
          <w:color w:val="2B2F33"/>
          <w:sz w:val="26"/>
        </w:rPr>
        <w:t>A prompt to give Emergent / Opus to verify (or rebuild) the Wording Studio against this exact workflow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Wordings reviewed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Test project: the seven TMHCC documents from this workflow</w:t>
      </w:r>
    </w:p>
    <w:p>
      <w:pPr>
        <w:spacing w:after="200"/>
      </w:pP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The ready-to-paste prompt is on the next page (Section 2).</w:t>
      </w: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Product standard: PolicyBridge is not working properly unless it can reproduce the TMHCC mapping, comparison, gap analysis, tracked-changes and document-generation workflow.</w:t>
      </w: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Constraints: discovery first; no destructive changes; no data deletion; no schema changes without review; do not break existing functionality.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1. Current-state context (for the recipient)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Based on the present repository, the PolicyBridge app is currently a 'Document Centre': a FastAPI backend exposes a static list of pre-generated documents (GET /api/documents) with download endpoints (GET /api/documents/download/{filename}), and a React frontend lists and downloads them. It does NOT currently ingest wordings, parse clauses, map clause-for-clause, compare wordings, generate tracked-changes redlines, or support an accept/reject recommendation workflow. The audit/rebuild prompt below is written with that reality in mind: the app today serves OUTPUTS, it does not yet PRODUCE them.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2. The prompt (copy-paste)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4F7F9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AUDIT &amp; REBUILD PROMPT — PolicyBridge Wording Studio (paste into Emergent / Opus 4.8)</w:t>
              <w:br/>
              <w:br/>
              <w:t>ROLE: You are auditing and, where safe, upgrading my existing PolicyBridge app so it can precisely replicate a proven insurance-wording workflow.</w:t>
              <w:br/>
              <w:br/>
              <w:t>CONTEXT: On the TMHCC Media &amp; Music Combined project we took a base/old wording (TMHCC 0223C), a new final wording, six competitor wordings and a branded template, and produced: a holistic tracked-changes redline (with underwriting enhancements kept separately identifiable and unaccepted), a clean final wording, a detailed summary of changes, a six-insurer legal review, a one-page coverage comparison with appendix, a gap-fill strategy with copy-paste wording and exact insertion locations, and an enhancement/sign-off register. The full workflow is documented in the PolicyBridge Wording Studio Workflow Playbook (Phase 06).</w:t>
              <w:br/>
              <w:br/>
              <w:t>PRODUCT STANDARD: PolicyBridge is NOT working properly unless it can reproduce the same mapping, comparison, gap analysis, tracked-changes update and document-generation workflow achieved in the TMHCC project.</w:t>
              <w:br/>
              <w:br/>
              <w:t>DO THIS, IN ORDER:</w:t>
              <w:br/>
              <w:t>1. DISCOVERY FIRST. Inspect the current app (backend, frontend, data model, storage) and tell me exactly what it does today, with evidence. Do NOT change anything yet. (Note: today the app appears to be a 'Document Centre' that serves pre-generated documents for download — confirm or correct this.)</w:t>
              <w:br/>
              <w:t>2. AUDIT against the ten checks below and answer each YES/PARTIAL/NO with evidence:</w:t>
              <w:br/>
              <w:t xml:space="preserve">   (a) ingests multiple wordings (old/base, new, competitors, template) as .docx and .pdf;</w:t>
              <w:br/>
              <w:t xml:space="preserve">   (b) parses clauses (sections, definitions, insuring clauses, extensions, exclusions, conditions, warranties, limits);</w:t>
              <w:br/>
              <w:t xml:space="preserve">   (c) maps wording clause-for-clause with stable clause IDs and a coverage-function taxonomy (compare by legal effect, not heading);</w:t>
              <w:br/>
              <w:t xml:space="preserve">   (d) compares base vs competitor wordings and scores by legal effect;</w:t>
              <w:br/>
              <w:t xml:space="preserve">   (e) generates: full tracked-changes wording, clean final wording, summary of changes, summary of cover, coverage comparison, gap-fill strategy, enhancement register;</w:t>
              <w:br/>
              <w:t xml:space="preserve">   (f) supports accept/reject recommendation workflow (one at a time; accepted → tracked change; rejected → parked with reason);</w:t>
              <w:br/>
              <w:t xml:space="preserve">   (g) each recommendation carries AI insight, competitor source, coverage impact, underwriting risk, legal sign-off note, copy-paste wording and exact insertion location;</w:t>
              <w:br/>
              <w:t xml:space="preserve">   (h) outputs are branded and market-ready (.docx + PDF, clean within margins, contents/hyperlinks preserved);</w:t>
              <w:br/>
              <w:t xml:space="preserve">   (i) keeps underwriting enhancements separately identifiable and UNACCEPTED by default;</w:t>
              <w:br/>
              <w:t xml:space="preserve">   (j) can use the seven TMHCC documents as a base project and reproduce the outputs.</w:t>
              <w:br/>
              <w:t>3. THEN choose ONE of:</w:t>
              <w:br/>
              <w:t xml:space="preserve">   A. CONFIRM it already does all of this precisely — with evidence (screenshots + a generated sample for each output); OR</w:t>
              <w:br/>
              <w:t xml:space="preserve">   B. PRODUCE a detailed rebuild/update plan (architecture, data model, parsing approach, redline engine, comparison engine, recommendation queue, export pipeline, milestones); OR</w:t>
              <w:br/>
              <w:t xml:space="preserve">   C. IMPLEMENT the missing pieces if it is safe to do so.</w:t>
              <w:br/>
              <w:br/>
              <w:t>HARD CONSTRAINTS:</w:t>
              <w:br/>
              <w:t>- Discovery before any change. No destructive changes. No data deletion. No schema changes without review. Do not break existing functionality (the current download flows must keep working).</w:t>
              <w:br/>
              <w:t>- Use the seven TMHCC wordings/documents as a TEST PROJECT to prove the workflow end-to-end.</w:t>
              <w:br/>
              <w:t>- Keys/config in environment variables only; never hardcode URLs or secrets.</w:t>
              <w:br/>
              <w:br/>
              <w:t>DELIVERABLES:</w:t>
              <w:br/>
              <w:t>- A discovery report (what the app does today).</w:t>
              <w:br/>
              <w:t>- The ten-point audit answered with evidence.</w:t>
              <w:br/>
              <w:t>- Either an evidenced confirmation, a detailed rebuild plan, or the safe implementation.</w:t>
              <w:br/>
              <w:t>- A final QA report, screenshots of the working flows, and generated sample outputs (the seven documents) for the TMHCC test project.</w:t>
              <w:br/>
              <w:br/>
              <w:t>ACCEPTANCE: Done only when PolicyBridge can ingest the multiple wordings, parse and map clauses, compare by legal effect, generate the full tracked redline (UW enhancements separately identifiable + unaccepted), the clean wording, the summary of changes, the summary of cover, the coverage comparison, the gap-fill strategy and the enhancement register — all branded, traceable to source and marked for sign-off — reproducing the TMHCC outputs.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3. The ten audit checks (reference)</w:t>
      </w:r>
    </w:p>
    <w:tbl>
      <w:tblPr>
        <w:tblW w:type="dxa" w:w="10206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9639"/>
      </w:tblGrid>
      <w:tr>
        <w:tc>
          <w:tcPr>
            <w:tcW w:type="dxa" w:w="567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9638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Audit check</w:t>
            </w:r>
          </w:p>
        </w:tc>
      </w:tr>
      <w:tr>
        <w:tc>
          <w:tcPr>
            <w:tcW w:type="dxa" w:w="567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1</w:t>
            </w:r>
          </w:p>
        </w:tc>
        <w:tc>
          <w:tcPr>
            <w:tcW w:type="dxa" w:w="963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Audit the current PolicyBridge app end-to-end (backend, frontend, data model, storage) and report what it actually does today.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2</w:t>
            </w:r>
          </w:p>
        </w:tc>
        <w:tc>
          <w:tcPr>
            <w:tcW w:type="dxa" w:w="963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Identify whether it can INGEST multiple wordings (old/base, new draft, multiple competitors, branded template) as .docx and .pdf.</w:t>
            </w:r>
          </w:p>
        </w:tc>
      </w:tr>
      <w:tr>
        <w:tc>
          <w:tcPr>
            <w:tcW w:type="dxa" w:w="567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3</w:t>
            </w:r>
          </w:p>
        </w:tc>
        <w:tc>
          <w:tcPr>
            <w:tcW w:type="dxa" w:w="963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Identify whether it PARSES clauses properly (sections, definitions, insuring clauses, extensions, exclusions, conditions, warranties, limits).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4</w:t>
            </w:r>
          </w:p>
        </w:tc>
        <w:tc>
          <w:tcPr>
            <w:tcW w:type="dxa" w:w="963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Identify whether it MAPS wording clause-for-clause with stable clause IDs and a coverage-function taxonomy (compare by legal effect, not heading).</w:t>
            </w:r>
          </w:p>
        </w:tc>
      </w:tr>
      <w:tr>
        <w:tc>
          <w:tcPr>
            <w:tcW w:type="dxa" w:w="567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5</w:t>
            </w:r>
          </w:p>
        </w:tc>
        <w:tc>
          <w:tcPr>
            <w:tcW w:type="dxa" w:w="963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Identify whether it COMPARES the base wording against competitor wordings and scores ✓/◐/✗/? by legal effect.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6</w:t>
            </w:r>
          </w:p>
        </w:tc>
        <w:tc>
          <w:tcPr>
            <w:tcW w:type="dxa" w:w="963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Identify whether it GENERATES: full tracked-changes wording; clean final wording; summary of changes; summary of cover; coverage comparison; gap-fill strategy; enhancement register.</w:t>
            </w:r>
          </w:p>
        </w:tc>
      </w:tr>
      <w:tr>
        <w:tc>
          <w:tcPr>
            <w:tcW w:type="dxa" w:w="567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7</w:t>
            </w:r>
          </w:p>
        </w:tc>
        <w:tc>
          <w:tcPr>
            <w:tcW w:type="dxa" w:w="963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Identify whether it supports an ACCEPT/REJECT recommendation workflow (one recommendation at a time; accepted → tracked change; rejected → parked with reason).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8</w:t>
            </w:r>
          </w:p>
        </w:tc>
        <w:tc>
          <w:tcPr>
            <w:tcW w:type="dxa" w:w="963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Identify whether each recommendation includes: AI insight; competitor source; coverage impact; underwriting risk; legal sign-off note; copy-paste wording; exact insertion location.</w:t>
            </w:r>
          </w:p>
        </w:tc>
      </w:tr>
      <w:tr>
        <w:tc>
          <w:tcPr>
            <w:tcW w:type="dxa" w:w="567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9</w:t>
            </w:r>
          </w:p>
        </w:tc>
        <w:tc>
          <w:tcPr>
            <w:tcW w:type="dxa" w:w="963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Identify whether outputs are BRANDED and market-ready (logo, fonts, palette, contents/hyperlinks, clean within margins; .docx + PDF).</w:t>
            </w:r>
          </w:p>
        </w:tc>
      </w:tr>
      <w:tr>
        <w:tc>
          <w:tcPr>
            <w:tcW w:type="dxa" w:w="567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10</w:t>
            </w:r>
          </w:p>
        </w:tc>
        <w:tc>
          <w:tcPr>
            <w:tcW w:type="dxa" w:w="9639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Identify whether it can use the SEVEN TMHCC documents as a base project and REPRODUCE today's outputs.</w:t>
            </w:r>
          </w:p>
        </w:tc>
      </w:tr>
    </w:tbl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4. Hard constraints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DISCOVERY FIRST — inspect and report before changing anything.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NO destructive changes; NO data deletion.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NO schema changes without review and explicit approval.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Do NOT break existing app functionality (the current Document Centre download flows must keep working).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Use the seven TMHCC wordings/documents as a TEST PROJECT to prove the workflow.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Produce a final QA report; capture SCREENSHOTS of the working flows; attach GENERATED SAMPLE OUTPUTS.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Keep all third-party keys/config in environment variables; never hardcode.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5. The seven TMHCC documents (test project)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1. Full tracked-changes wording (0223C → final redline)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2. Clean final wording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3. UW Enhancement Register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4. Summary of changes (0223C → final)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5. Six-insurer legal review / coverage comparison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6. Gap-fill / enhancement strategy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8"/>
        </w:rPr>
        <w:t>7. Summary of cover (and/or QA / sign-off register)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8"/>
        </w:rPr>
        <w:t>These documents (produced in this workflow) are the proof-set: the rebuilt PolicyBridge must be able to reproduce them from the same source wordings, with the same fidelity (full tracked redline with separately-identifiable, unaccepted UW enhancements; branded, traceable, sign-off-marked outputs).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6. Product standard (definition of done)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6E6"/>
            <w:tcBorders>
              <w:top w:val="single" w:sz="4" w:space="0" w:color="B88A3C"/>
              <w:left w:val="single" w:sz="22" w:space="0" w:color="B88A3C"/>
              <w:bottom w:val="single" w:sz="4" w:space="0" w:color="B88A3C"/>
              <w:right w:val="single" w:sz="4" w:space="0" w:color="B88A3C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B88A3C"/>
                <w:sz w:val="19"/>
              </w:rPr>
              <w:t xml:space="preserve">Standard: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PolicyBridge is not working properly unless it can reproduce the same mapping, comparison, gap analysis, tracked-changes update and document-generation workflow achieved in the TMHCC project — with discovery first, no destructive changes, a final QA report, screenshots of the working flows, and generated sample outputs.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Lato" w:hAnsi="Lato" w:cs="Lato"/>
        <w:b w:val="0"/>
        <w:i/>
        <w:color w:val="AEB4B8"/>
        <w:sz w:val="13"/>
      </w:rPr>
      <w:t>Phase 07 — a ready-to-paste prompt to audit and (safely) upgrade PolicyBridge Wording Studio.</w:t>
    </w:r>
  </w:p>
  <w:p>
    <w:pPr>
      <w:jc w:val="center"/>
    </w:pPr>
    <w:r>
      <w:rPr>
        <w:rFonts w:ascii="Lato" w:hAnsi="Lato" w:cs="Lato"/>
        <w:b w:val="0"/>
        <w:i w:val="0"/>
        <w:color w:val="6C7378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pct" w:w="5000"/>
      <w:jc w:val="center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  <w:tblLook w:firstColumn="1" w:firstRow="1" w:lastColumn="0" w:lastRow="0" w:noHBand="0" w:noVBand="1" w:val="04A0"/>
    </w:tblPr>
    <w:tblGrid>
      <w:gridCol w:w="4933"/>
      <w:gridCol w:w="4933"/>
    </w:tblGrid>
    <w:tr>
      <w:tc>
        <w:tcPr>
          <w:tcW w:type="dxa" w:w="7301"/>
          <w:vAlign w:val="center"/>
        </w:tcPr>
        <w:p>
          <w:pPr>
            <w:spacing w:after="0"/>
          </w:pPr>
          <w:r>
            <w:rPr>
              <w:rFonts w:ascii="Lato" w:hAnsi="Lato" w:cs="Lato"/>
              <w:b/>
              <w:i w:val="0"/>
              <w:color w:val="6C7378"/>
              <w:sz w:val="16"/>
            </w:rPr>
            <w:t>PolicyBridge Wording Studio — Audit / Rebuild Prompt</w:t>
          </w:r>
        </w:p>
      </w:tc>
      <w:tc>
        <w:tcPr>
          <w:tcW w:type="dxa" w:w="2565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29906" cy="30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hcc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906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ato" w:hAnsi="Lato" w:cs="Lato"/>
      <w:color w:val="2B2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