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left"/>
      </w:pPr>
      <w:r>
        <w:drawing>
          <wp:inline xmlns:a="http://schemas.openxmlformats.org/drawingml/2006/main" xmlns:pic="http://schemas.openxmlformats.org/drawingml/2006/picture">
            <wp:extent cx="582188" cy="540000"/>
            <wp:docPr id="1" name="Picture 1"/>
            <wp:cNvGraphicFramePr>
              <a:graphicFrameLocks noChangeAspect="1"/>
            </wp:cNvGraphicFramePr>
            <a:graphic>
              <a:graphicData uri="http://schemas.openxmlformats.org/drawingml/2006/picture">
                <pic:pic>
                  <pic:nvPicPr>
                    <pic:cNvPr id="0" name="tmhcc_logo.png"/>
                    <pic:cNvPicPr/>
                  </pic:nvPicPr>
                  <pic:blipFill>
                    <a:blip r:embed="rId11"/>
                    <a:stretch>
                      <a:fillRect/>
                    </a:stretch>
                  </pic:blipFill>
                  <pic:spPr>
                    <a:xfrm>
                      <a:off x="0" y="0"/>
                      <a:ext cx="582188" cy="540000"/>
                    </a:xfrm>
                    <a:prstGeom prst="rect"/>
                  </pic:spPr>
                </pic:pic>
              </a:graphicData>
            </a:graphic>
          </wp:inline>
        </w:drawing>
      </w:r>
    </w:p>
    <w:p>
      <w:pPr>
        <w:spacing w:after="600"/>
      </w:pPr>
    </w:p>
    <w:p>
      <w:pPr>
        <w:spacing w:after="40"/>
      </w:pPr>
      <w:r>
        <w:rPr>
          <w:rFonts w:ascii="Lato" w:hAnsi="Lato" w:cs="Lato"/>
          <w:b/>
          <w:i w:val="0"/>
          <w:color w:val="B88A3C"/>
          <w:sz w:val="22"/>
          <w:caps w:val="true"/>
        </w:rPr>
        <w:t>Phase 05 · Gap-Fill Strategy</w:t>
      </w:r>
    </w:p>
    <w:p>
      <w:pPr>
        <w:spacing w:after="80"/>
        <w:pBdr>
          <w:bottom w:val="single" w:sz="14" w:space="2" w:color="B88A3C"/>
        </w:pBdr>
      </w:pPr>
      <w:r>
        <w:rPr>
          <w:rFonts w:ascii="Lato" w:hAnsi="Lato" w:cs="Lato"/>
          <w:b/>
          <w:i w:val="0"/>
          <w:color w:val="00648B"/>
          <w:sz w:val="60"/>
        </w:rPr>
        <w:t>Gap-Fill / Enhancement Strategy</w:t>
      </w:r>
    </w:p>
    <w:p>
      <w:pPr>
        <w:spacing w:after="280" w:before="120"/>
      </w:pPr>
      <w:r>
        <w:rPr>
          <w:rFonts w:ascii="Lato" w:hAnsi="Lato" w:cs="Lato"/>
          <w:b w:val="0"/>
          <w:i w:val="0"/>
          <w:color w:val="2B2F33"/>
          <w:sz w:val="26"/>
        </w:rPr>
        <w:t>Every gap with copy-paste wording, exact location, risk, priority and status</w:t>
      </w:r>
    </w:p>
    <w:p>
      <w:pPr>
        <w:keepNext/>
        <w:spacing w:before="120" w:after="20"/>
      </w:pPr>
      <w:r>
        <w:rPr>
          <w:rFonts w:ascii="Lato" w:hAnsi="Lato" w:cs="Lato"/>
          <w:b/>
          <w:i w:val="0"/>
          <w:color w:val="B88A3C"/>
          <w:sz w:val="20"/>
        </w:rPr>
        <w:t>Wordings reviewed</w:t>
      </w:r>
    </w:p>
    <w:p>
      <w:pPr>
        <w:pStyle w:val="ListBullet"/>
        <w:spacing w:after="40"/>
        <w:ind w:left="340"/>
      </w:pPr>
      <w:r>
        <w:rPr>
          <w:rFonts w:ascii="Lato" w:hAnsi="Lato" w:cs="Lato"/>
          <w:b w:val="0"/>
          <w:i w:val="0"/>
          <w:color w:val="2B2F33"/>
          <w:sz w:val="19"/>
        </w:rPr>
        <w:t>TMHCC final wording (commit 58b8340) vs six competitors</w:t>
      </w:r>
    </w:p>
    <w:p>
      <w:pPr>
        <w:spacing w:after="200"/>
      </w:pPr>
    </w:p>
    <w:p>
      <w:pPr>
        <w:spacing w:after="60" w:before="0"/>
      </w:pPr>
      <w:r>
        <w:rPr>
          <w:rFonts w:ascii="Lato" w:hAnsi="Lato" w:cs="Lato"/>
          <w:b w:val="0"/>
          <w:i/>
          <w:color w:val="6C7378"/>
          <w:sz w:val="17"/>
        </w:rPr>
        <w:t>Updated from the refreshed six-insurer legal review (Phase 03), incl. the abuse/Tysers item.</w:t>
      </w:r>
    </w:p>
    <w:p>
      <w:pPr>
        <w:spacing w:after="60" w:before="0"/>
      </w:pPr>
      <w:r>
        <w:rPr>
          <w:rFonts w:ascii="Lato" w:hAnsi="Lato" w:cs="Lato"/>
          <w:b w:val="0"/>
          <w:i/>
          <w:color w:val="6C7378"/>
          <w:sz w:val="17"/>
        </w:rPr>
        <w:t>Purpose: make TMHCC more holistic and demonstrably market-leading where commercially sensible — not to copy competitors blindly.</w:t>
      </w:r>
    </w:p>
    <w:p>
      <w:pPr>
        <w:spacing w:after="60" w:before="0"/>
      </w:pPr>
      <w:r>
        <w:rPr>
          <w:rFonts w:ascii="Lato" w:hAnsi="Lato" w:cs="Lato"/>
          <w:b w:val="0"/>
          <w:i/>
          <w:color w:val="6C7378"/>
          <w:sz w:val="17"/>
        </w:rPr>
        <w:t>Where TMHCC should NOT follow a competitor (e.g. patents), the reason is stated.</w:t>
      </w:r>
    </w:p>
    <w:p>
      <w:r>
        <w:br w:type="page"/>
      </w:r>
    </w:p>
    <w:p>
      <w:pPr>
        <w:keepNext/>
        <w:spacing w:before="280" w:after="40"/>
        <w:pBdr>
          <w:bottom w:val="single" w:sz="8" w:space="2" w:color="B88A3C"/>
        </w:pBdr>
      </w:pPr>
      <w:r>
        <w:rPr>
          <w:rFonts w:ascii="Lato" w:hAnsi="Lato" w:cs="Lato"/>
          <w:b/>
          <w:i w:val="0"/>
          <w:color w:val="00648B"/>
          <w:sz w:val="30"/>
        </w:rPr>
        <w:t>Priority summary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510"/>
        <w:gridCol w:w="4309"/>
        <w:gridCol w:w="1928"/>
        <w:gridCol w:w="1304"/>
        <w:gridCol w:w="2155"/>
      </w:tblGrid>
      <w:tr>
        <w:tc>
          <w:tcPr>
            <w:tcW w:type="dxa" w:w="510"/>
            <w:shd w:val="clear" w:color="auto" w:fill="00648B"/>
          </w:tcPr>
          <w:p>
            <w:pPr>
              <w:spacing w:after="20" w:before="0"/>
              <w:jc w:val="center"/>
            </w:pPr>
            <w:r/>
            <w:r>
              <w:rPr>
                <w:rFonts w:ascii="Lato" w:hAnsi="Lato" w:cs="Lato"/>
                <w:b/>
                <w:i w:val="0"/>
                <w:color w:val="FFFFFF"/>
                <w:sz w:val="17"/>
              </w:rPr>
              <w:t>#</w:t>
            </w:r>
          </w:p>
        </w:tc>
        <w:tc>
          <w:tcPr>
            <w:tcW w:type="dxa" w:w="4309"/>
            <w:shd w:val="clear" w:color="auto" w:fill="00648B"/>
          </w:tcPr>
          <w:p>
            <w:pPr>
              <w:spacing w:after="20" w:before="0"/>
              <w:jc w:val="center"/>
            </w:pPr>
            <w:r/>
            <w:r>
              <w:rPr>
                <w:rFonts w:ascii="Lato" w:hAnsi="Lato" w:cs="Lato"/>
                <w:b/>
                <w:i w:val="0"/>
                <w:color w:val="FFFFFF"/>
                <w:sz w:val="17"/>
              </w:rPr>
              <w:t>Gap / enhancement</w:t>
            </w:r>
          </w:p>
        </w:tc>
        <w:tc>
          <w:tcPr>
            <w:tcW w:type="dxa" w:w="1928"/>
            <w:shd w:val="clear" w:color="auto" w:fill="00648B"/>
          </w:tcPr>
          <w:p>
            <w:pPr>
              <w:spacing w:after="20" w:before="0"/>
              <w:jc w:val="center"/>
            </w:pPr>
            <w:r/>
            <w:r>
              <w:rPr>
                <w:rFonts w:ascii="Lato" w:hAnsi="Lato" w:cs="Lato"/>
                <w:b/>
                <w:i w:val="0"/>
                <w:color w:val="FFFFFF"/>
                <w:sz w:val="17"/>
              </w:rPr>
              <w:t>Mode</w:t>
            </w:r>
          </w:p>
        </w:tc>
        <w:tc>
          <w:tcPr>
            <w:tcW w:type="dxa" w:w="1304"/>
            <w:shd w:val="clear" w:color="auto" w:fill="00648B"/>
          </w:tcPr>
          <w:p>
            <w:pPr>
              <w:spacing w:after="20" w:before="0"/>
              <w:jc w:val="center"/>
            </w:pPr>
            <w:r/>
            <w:r>
              <w:rPr>
                <w:rFonts w:ascii="Lato" w:hAnsi="Lato" w:cs="Lato"/>
                <w:b/>
                <w:i w:val="0"/>
                <w:color w:val="FFFFFF"/>
                <w:sz w:val="17"/>
              </w:rPr>
              <w:t>Priority</w:t>
            </w:r>
          </w:p>
        </w:tc>
        <w:tc>
          <w:tcPr>
            <w:tcW w:type="dxa" w:w="2154"/>
            <w:shd w:val="clear" w:color="auto" w:fill="00648B"/>
          </w:tcPr>
          <w:p>
            <w:pPr>
              <w:spacing w:after="20" w:before="0"/>
              <w:jc w:val="center"/>
            </w:pPr>
            <w:r/>
            <w:r>
              <w:rPr>
                <w:rFonts w:ascii="Lato" w:hAnsi="Lato" w:cs="Lato"/>
                <w:b/>
                <w:i w:val="0"/>
                <w:color w:val="FFFFFF"/>
                <w:sz w:val="17"/>
              </w:rPr>
              <w:t>Status</w:t>
            </w:r>
          </w:p>
        </w:tc>
      </w:tr>
      <w:tr>
        <w:tc>
          <w:tcPr>
            <w:tcW w:type="dxa" w:w="510"/>
          </w:tcPr>
          <w:p>
            <w:pPr>
              <w:spacing w:after="20" w:before="0"/>
            </w:pPr>
            <w:r/>
            <w:r>
              <w:rPr>
                <w:rFonts w:ascii="Lato" w:hAnsi="Lato" w:cs="Lato"/>
                <w:b w:val="0"/>
                <w:i w:val="0"/>
                <w:color w:val="2B2F33"/>
                <w:sz w:val="16"/>
              </w:rPr>
              <w:t>1</w:t>
            </w:r>
          </w:p>
        </w:tc>
        <w:tc>
          <w:tcPr>
            <w:tcW w:type="dxa" w:w="4309"/>
          </w:tcPr>
          <w:p>
            <w:pPr>
              <w:spacing w:after="20" w:before="0"/>
            </w:pPr>
            <w:r/>
            <w:r>
              <w:rPr>
                <w:rFonts w:ascii="Lato" w:hAnsi="Lato" w:cs="Lato"/>
                <w:b/>
                <w:i w:val="0"/>
                <w:color w:val="00648B"/>
                <w:sz w:val="16"/>
              </w:rPr>
              <w:t>Abuse / Molestation — optional sub-limited write-back</w:t>
            </w:r>
          </w:p>
        </w:tc>
        <w:tc>
          <w:tcPr>
            <w:tcW w:type="dxa" w:w="1928"/>
          </w:tcPr>
          <w:p>
            <w:pPr>
              <w:spacing w:after="20" w:before="0"/>
            </w:pPr>
            <w:r/>
            <w:r>
              <w:rPr>
                <w:rFonts w:ascii="Lato" w:hAnsi="Lato" w:cs="Lato"/>
                <w:b w:val="0"/>
                <w:i w:val="0"/>
                <w:color w:val="2B2F33"/>
                <w:sz w:val="15"/>
              </w:rPr>
              <w:t>Optional / Schedule-selectable</w:t>
            </w:r>
          </w:p>
        </w:tc>
        <w:tc>
          <w:tcPr>
            <w:tcW w:type="dxa" w:w="1304"/>
          </w:tcPr>
          <w:p>
            <w:pPr>
              <w:spacing w:after="20" w:before="0"/>
            </w:pPr>
            <w:r/>
            <w:r>
              <w:rPr>
                <w:rFonts w:ascii="Lato" w:hAnsi="Lato" w:cs="Lato"/>
                <w:b/>
                <w:i w:val="0"/>
                <w:color w:val="C0563F"/>
                <w:sz w:val="16"/>
              </w:rPr>
              <w:t>High</w:t>
            </w:r>
          </w:p>
        </w:tc>
        <w:tc>
          <w:tcPr>
            <w:tcW w:type="dxa" w:w="2155"/>
          </w:tcPr>
          <w:p>
            <w:pPr>
              <w:spacing w:after="20" w:before="0"/>
            </w:pPr>
            <w:r/>
            <w:r>
              <w:rPr>
                <w:rFonts w:ascii="Lato" w:hAnsi="Lato" w:cs="Lato"/>
                <w:b w:val="0"/>
                <w:i w:val="0"/>
                <w:color w:val="B88A3C"/>
                <w:sz w:val="15"/>
              </w:rPr>
              <w:t>PARKED</w:t>
            </w:r>
          </w:p>
        </w:tc>
      </w:tr>
      <w:tr>
        <w:tc>
          <w:tcPr>
            <w:tcW w:type="dxa" w:w="510"/>
            <w:shd w:val="clear" w:color="auto" w:fill="F4F7F9"/>
          </w:tcPr>
          <w:p>
            <w:pPr>
              <w:spacing w:after="20" w:before="0"/>
            </w:pPr>
            <w:r/>
            <w:r>
              <w:rPr>
                <w:rFonts w:ascii="Lato" w:hAnsi="Lato" w:cs="Lato"/>
                <w:b w:val="0"/>
                <w:i w:val="0"/>
                <w:color w:val="2B2F33"/>
                <w:sz w:val="16"/>
              </w:rPr>
              <w:t>2</w:t>
            </w:r>
          </w:p>
        </w:tc>
        <w:tc>
          <w:tcPr>
            <w:tcW w:type="dxa" w:w="4309"/>
            <w:shd w:val="clear" w:color="auto" w:fill="F4F7F9"/>
          </w:tcPr>
          <w:p>
            <w:pPr>
              <w:spacing w:after="20" w:before="0"/>
            </w:pPr>
            <w:r/>
            <w:r>
              <w:rPr>
                <w:rFonts w:ascii="Lato" w:hAnsi="Lato" w:cs="Lato"/>
                <w:b/>
                <w:i w:val="0"/>
                <w:color w:val="00648B"/>
                <w:sz w:val="16"/>
              </w:rPr>
              <w:t>Worldwide / USA-Canada territory option (Media Liability)</w:t>
            </w:r>
          </w:p>
        </w:tc>
        <w:tc>
          <w:tcPr>
            <w:tcW w:type="dxa" w:w="1928"/>
            <w:shd w:val="clear" w:color="auto" w:fill="F4F7F9"/>
          </w:tcPr>
          <w:p>
            <w:pPr>
              <w:spacing w:after="20" w:before="0"/>
            </w:pPr>
            <w:r/>
            <w:r>
              <w:rPr>
                <w:rFonts w:ascii="Lato" w:hAnsi="Lato" w:cs="Lato"/>
                <w:b w:val="0"/>
                <w:i w:val="0"/>
                <w:color w:val="2B2F33"/>
                <w:sz w:val="15"/>
              </w:rPr>
              <w:t>Optional / Schedule-selectable</w:t>
            </w:r>
          </w:p>
        </w:tc>
        <w:tc>
          <w:tcPr>
            <w:tcW w:type="dxa" w:w="1304"/>
            <w:shd w:val="clear" w:color="auto" w:fill="F4F7F9"/>
          </w:tcPr>
          <w:p>
            <w:pPr>
              <w:spacing w:after="20" w:before="0"/>
            </w:pPr>
            <w:r/>
            <w:r>
              <w:rPr>
                <w:rFonts w:ascii="Lato" w:hAnsi="Lato" w:cs="Lato"/>
                <w:b/>
                <w:i w:val="0"/>
                <w:color w:val="C0563F"/>
                <w:sz w:val="16"/>
              </w:rPr>
              <w:t>High</w:t>
            </w:r>
          </w:p>
        </w:tc>
        <w:tc>
          <w:tcPr>
            <w:tcW w:type="dxa" w:w="2155"/>
            <w:shd w:val="clear" w:color="auto" w:fill="F4F7F9"/>
          </w:tcPr>
          <w:p>
            <w:pPr>
              <w:spacing w:after="20" w:before="0"/>
            </w:pPr>
            <w:r/>
            <w:r>
              <w:rPr>
                <w:rFonts w:ascii="Lato" w:hAnsi="Lato" w:cs="Lato"/>
                <w:b w:val="0"/>
                <w:i w:val="0"/>
                <w:color w:val="1B7A3D"/>
                <w:sz w:val="15"/>
              </w:rPr>
              <w:t>IMPLEMENTED as tracked change (B5)</w:t>
            </w:r>
          </w:p>
        </w:tc>
      </w:tr>
      <w:tr>
        <w:tc>
          <w:tcPr>
            <w:tcW w:type="dxa" w:w="510"/>
          </w:tcPr>
          <w:p>
            <w:pPr>
              <w:spacing w:after="20" w:before="0"/>
            </w:pPr>
            <w:r/>
            <w:r>
              <w:rPr>
                <w:rFonts w:ascii="Lato" w:hAnsi="Lato" w:cs="Lato"/>
                <w:b w:val="0"/>
                <w:i w:val="0"/>
                <w:color w:val="2B2F33"/>
                <w:sz w:val="16"/>
              </w:rPr>
              <w:t>3</w:t>
            </w:r>
          </w:p>
        </w:tc>
        <w:tc>
          <w:tcPr>
            <w:tcW w:type="dxa" w:w="4309"/>
          </w:tcPr>
          <w:p>
            <w:pPr>
              <w:spacing w:after="20" w:before="0"/>
            </w:pPr>
            <w:r/>
            <w:r>
              <w:rPr>
                <w:rFonts w:ascii="Lato" w:hAnsi="Lato" w:cs="Lato"/>
                <w:b/>
                <w:i w:val="0"/>
                <w:color w:val="00648B"/>
                <w:sz w:val="16"/>
              </w:rPr>
              <w:t>Distributors &amp; Purchasers extension (Media Liability)</w:t>
            </w:r>
          </w:p>
        </w:tc>
        <w:tc>
          <w:tcPr>
            <w:tcW w:type="dxa" w:w="1928"/>
          </w:tcPr>
          <w:p>
            <w:pPr>
              <w:spacing w:after="20" w:before="0"/>
            </w:pPr>
            <w:r/>
            <w:r>
              <w:rPr>
                <w:rFonts w:ascii="Lato" w:hAnsi="Lato" w:cs="Lato"/>
                <w:b w:val="0"/>
                <w:i w:val="0"/>
                <w:color w:val="2B2F33"/>
                <w:sz w:val="15"/>
              </w:rPr>
              <w:t>Optional</w:t>
            </w:r>
          </w:p>
        </w:tc>
        <w:tc>
          <w:tcPr>
            <w:tcW w:type="dxa" w:w="1304"/>
          </w:tcPr>
          <w:p>
            <w:pPr>
              <w:spacing w:after="20" w:before="0"/>
            </w:pPr>
            <w:r/>
            <w:r>
              <w:rPr>
                <w:rFonts w:ascii="Lato" w:hAnsi="Lato" w:cs="Lato"/>
                <w:b/>
                <w:i w:val="0"/>
                <w:color w:val="2B2F33"/>
                <w:sz w:val="16"/>
              </w:rPr>
              <w:t>Medium</w:t>
            </w:r>
          </w:p>
        </w:tc>
        <w:tc>
          <w:tcPr>
            <w:tcW w:type="dxa" w:w="2155"/>
          </w:tcPr>
          <w:p>
            <w:pPr>
              <w:spacing w:after="20" w:before="0"/>
            </w:pPr>
            <w:r/>
            <w:r>
              <w:rPr>
                <w:rFonts w:ascii="Lato" w:hAnsi="Lato" w:cs="Lato"/>
                <w:b w:val="0"/>
                <w:i w:val="0"/>
                <w:color w:val="1B7A3D"/>
                <w:sz w:val="15"/>
              </w:rPr>
              <w:t>IMPLEMENTED as tracked change (B1)</w:t>
            </w:r>
          </w:p>
        </w:tc>
      </w:tr>
      <w:tr>
        <w:tc>
          <w:tcPr>
            <w:tcW w:type="dxa" w:w="510"/>
            <w:shd w:val="clear" w:color="auto" w:fill="F4F7F9"/>
          </w:tcPr>
          <w:p>
            <w:pPr>
              <w:spacing w:after="20" w:before="0"/>
            </w:pPr>
            <w:r/>
            <w:r>
              <w:rPr>
                <w:rFonts w:ascii="Lato" w:hAnsi="Lato" w:cs="Lato"/>
                <w:b w:val="0"/>
                <w:i w:val="0"/>
                <w:color w:val="2B2F33"/>
                <w:sz w:val="16"/>
              </w:rPr>
              <w:t>4</w:t>
            </w:r>
          </w:p>
        </w:tc>
        <w:tc>
          <w:tcPr>
            <w:tcW w:type="dxa" w:w="4309"/>
            <w:shd w:val="clear" w:color="auto" w:fill="F4F7F9"/>
          </w:tcPr>
          <w:p>
            <w:pPr>
              <w:spacing w:after="20" w:before="0"/>
            </w:pPr>
            <w:r/>
            <w:r>
              <w:rPr>
                <w:rFonts w:ascii="Lato" w:hAnsi="Lato" w:cs="Lato"/>
                <w:b/>
                <w:i w:val="0"/>
                <w:color w:val="00648B"/>
                <w:sz w:val="16"/>
              </w:rPr>
              <w:t>Representation costs at investigations / inquiries (Media Liability)</w:t>
            </w:r>
          </w:p>
        </w:tc>
        <w:tc>
          <w:tcPr>
            <w:tcW w:type="dxa" w:w="1928"/>
            <w:shd w:val="clear" w:color="auto" w:fill="F4F7F9"/>
          </w:tcPr>
          <w:p>
            <w:pPr>
              <w:spacing w:after="20" w:before="0"/>
            </w:pPr>
            <w:r/>
            <w:r>
              <w:rPr>
                <w:rFonts w:ascii="Lato" w:hAnsi="Lato" w:cs="Lato"/>
                <w:b w:val="0"/>
                <w:i w:val="0"/>
                <w:color w:val="2B2F33"/>
                <w:sz w:val="15"/>
              </w:rPr>
              <w:t>Automatic (sub-limited)</w:t>
            </w:r>
          </w:p>
        </w:tc>
        <w:tc>
          <w:tcPr>
            <w:tcW w:type="dxa" w:w="1304"/>
            <w:shd w:val="clear" w:color="auto" w:fill="F4F7F9"/>
          </w:tcPr>
          <w:p>
            <w:pPr>
              <w:spacing w:after="20" w:before="0"/>
            </w:pPr>
            <w:r/>
            <w:r>
              <w:rPr>
                <w:rFonts w:ascii="Lato" w:hAnsi="Lato" w:cs="Lato"/>
                <w:b/>
                <w:i w:val="0"/>
                <w:color w:val="2B2F33"/>
                <w:sz w:val="16"/>
              </w:rPr>
              <w:t>Medium</w:t>
            </w:r>
          </w:p>
        </w:tc>
        <w:tc>
          <w:tcPr>
            <w:tcW w:type="dxa" w:w="2155"/>
            <w:shd w:val="clear" w:color="auto" w:fill="F4F7F9"/>
          </w:tcPr>
          <w:p>
            <w:pPr>
              <w:spacing w:after="20" w:before="0"/>
            </w:pPr>
            <w:r/>
            <w:r>
              <w:rPr>
                <w:rFonts w:ascii="Lato" w:hAnsi="Lato" w:cs="Lato"/>
                <w:b w:val="0"/>
                <w:i w:val="0"/>
                <w:color w:val="1B7A3D"/>
                <w:sz w:val="15"/>
              </w:rPr>
              <w:t>IMPLEMENTED as tracked change (B2)</w:t>
            </w:r>
          </w:p>
        </w:tc>
      </w:tr>
      <w:tr>
        <w:tc>
          <w:tcPr>
            <w:tcW w:type="dxa" w:w="510"/>
          </w:tcPr>
          <w:p>
            <w:pPr>
              <w:spacing w:after="20" w:before="0"/>
            </w:pPr>
            <w:r/>
            <w:r>
              <w:rPr>
                <w:rFonts w:ascii="Lato" w:hAnsi="Lato" w:cs="Lato"/>
                <w:b w:val="0"/>
                <w:i w:val="0"/>
                <w:color w:val="2B2F33"/>
                <w:sz w:val="16"/>
              </w:rPr>
              <w:t>5</w:t>
            </w:r>
          </w:p>
        </w:tc>
        <w:tc>
          <w:tcPr>
            <w:tcW w:type="dxa" w:w="4309"/>
          </w:tcPr>
          <w:p>
            <w:pPr>
              <w:spacing w:after="20" w:before="0"/>
            </w:pPr>
            <w:r/>
            <w:r>
              <w:rPr>
                <w:rFonts w:ascii="Lato" w:hAnsi="Lato" w:cs="Lato"/>
                <w:b/>
                <w:i w:val="0"/>
                <w:color w:val="00648B"/>
                <w:sz w:val="16"/>
              </w:rPr>
              <w:t>Journalistic source-protection costs (Media Liability)</w:t>
            </w:r>
          </w:p>
        </w:tc>
        <w:tc>
          <w:tcPr>
            <w:tcW w:type="dxa" w:w="1928"/>
          </w:tcPr>
          <w:p>
            <w:pPr>
              <w:spacing w:after="20" w:before="0"/>
            </w:pPr>
            <w:r/>
            <w:r>
              <w:rPr>
                <w:rFonts w:ascii="Lato" w:hAnsi="Lato" w:cs="Lato"/>
                <w:b w:val="0"/>
                <w:i w:val="0"/>
                <w:color w:val="2B2F33"/>
                <w:sz w:val="15"/>
              </w:rPr>
              <w:t>Optional / Schedule sub-limit</w:t>
            </w:r>
          </w:p>
        </w:tc>
        <w:tc>
          <w:tcPr>
            <w:tcW w:type="dxa" w:w="1304"/>
          </w:tcPr>
          <w:p>
            <w:pPr>
              <w:spacing w:after="20" w:before="0"/>
            </w:pPr>
            <w:r/>
            <w:r>
              <w:rPr>
                <w:rFonts w:ascii="Lato" w:hAnsi="Lato" w:cs="Lato"/>
                <w:b/>
                <w:i w:val="0"/>
                <w:color w:val="2B2F33"/>
                <w:sz w:val="16"/>
              </w:rPr>
              <w:t>Medium</w:t>
            </w:r>
          </w:p>
        </w:tc>
        <w:tc>
          <w:tcPr>
            <w:tcW w:type="dxa" w:w="2155"/>
          </w:tcPr>
          <w:p>
            <w:pPr>
              <w:spacing w:after="20" w:before="0"/>
            </w:pPr>
            <w:r/>
            <w:r>
              <w:rPr>
                <w:rFonts w:ascii="Lato" w:hAnsi="Lato" w:cs="Lato"/>
                <w:b w:val="0"/>
                <w:i w:val="0"/>
                <w:color w:val="1B7A3D"/>
                <w:sz w:val="15"/>
              </w:rPr>
              <w:t>IMPLEMENTED as tracked change (B3)</w:t>
            </w:r>
          </w:p>
        </w:tc>
      </w:tr>
      <w:tr>
        <w:tc>
          <w:tcPr>
            <w:tcW w:type="dxa" w:w="510"/>
            <w:shd w:val="clear" w:color="auto" w:fill="F4F7F9"/>
          </w:tcPr>
          <w:p>
            <w:pPr>
              <w:spacing w:after="20" w:before="0"/>
            </w:pPr>
            <w:r/>
            <w:r>
              <w:rPr>
                <w:rFonts w:ascii="Lato" w:hAnsi="Lato" w:cs="Lato"/>
                <w:b w:val="0"/>
                <w:i w:val="0"/>
                <w:color w:val="2B2F33"/>
                <w:sz w:val="16"/>
              </w:rPr>
              <w:t>6</w:t>
            </w:r>
          </w:p>
        </w:tc>
        <w:tc>
          <w:tcPr>
            <w:tcW w:type="dxa" w:w="4309"/>
            <w:shd w:val="clear" w:color="auto" w:fill="F4F7F9"/>
          </w:tcPr>
          <w:p>
            <w:pPr>
              <w:spacing w:after="20" w:before="0"/>
            </w:pPr>
            <w:r/>
            <w:r>
              <w:rPr>
                <w:rFonts w:ascii="Lato" w:hAnsi="Lato" w:cs="Lato"/>
                <w:b/>
                <w:i w:val="0"/>
                <w:color w:val="00648B"/>
                <w:sz w:val="16"/>
              </w:rPr>
              <w:t>Criminal / regulatory defence-costs cross-reference (Media Liability)</w:t>
            </w:r>
          </w:p>
        </w:tc>
        <w:tc>
          <w:tcPr>
            <w:tcW w:type="dxa" w:w="1928"/>
            <w:shd w:val="clear" w:color="auto" w:fill="F4F7F9"/>
          </w:tcPr>
          <w:p>
            <w:pPr>
              <w:spacing w:after="20" w:before="0"/>
            </w:pPr>
            <w:r/>
            <w:r>
              <w:rPr>
                <w:rFonts w:ascii="Lato" w:hAnsi="Lato" w:cs="Lato"/>
                <w:b w:val="0"/>
                <w:i w:val="0"/>
                <w:color w:val="2B2F33"/>
                <w:sz w:val="15"/>
              </w:rPr>
              <w:t>Automatic (cross-reference + sub-limit)</w:t>
            </w:r>
          </w:p>
        </w:tc>
        <w:tc>
          <w:tcPr>
            <w:tcW w:type="dxa" w:w="1304"/>
            <w:shd w:val="clear" w:color="auto" w:fill="F4F7F9"/>
          </w:tcPr>
          <w:p>
            <w:pPr>
              <w:spacing w:after="20" w:before="0"/>
            </w:pPr>
            <w:r/>
            <w:r>
              <w:rPr>
                <w:rFonts w:ascii="Lato" w:hAnsi="Lato" w:cs="Lato"/>
                <w:b/>
                <w:i w:val="0"/>
                <w:color w:val="2B2F33"/>
                <w:sz w:val="16"/>
              </w:rPr>
              <w:t>Medium-High</w:t>
            </w:r>
          </w:p>
        </w:tc>
        <w:tc>
          <w:tcPr>
            <w:tcW w:type="dxa" w:w="2155"/>
            <w:shd w:val="clear" w:color="auto" w:fill="F4F7F9"/>
          </w:tcPr>
          <w:p>
            <w:pPr>
              <w:spacing w:after="20" w:before="0"/>
            </w:pPr>
            <w:r/>
            <w:r>
              <w:rPr>
                <w:rFonts w:ascii="Lato" w:hAnsi="Lato" w:cs="Lato"/>
                <w:b w:val="0"/>
                <w:i w:val="0"/>
                <w:color w:val="1B7A3D"/>
                <w:sz w:val="15"/>
              </w:rPr>
              <w:t>IMPLEMENTED as tracked change (B4)</w:t>
            </w:r>
          </w:p>
        </w:tc>
      </w:tr>
      <w:tr>
        <w:tc>
          <w:tcPr>
            <w:tcW w:type="dxa" w:w="510"/>
          </w:tcPr>
          <w:p>
            <w:pPr>
              <w:spacing w:after="20" w:before="0"/>
            </w:pPr>
            <w:r/>
            <w:r>
              <w:rPr>
                <w:rFonts w:ascii="Lato" w:hAnsi="Lato" w:cs="Lato"/>
                <w:b w:val="0"/>
                <w:i w:val="0"/>
                <w:color w:val="2B2F33"/>
                <w:sz w:val="16"/>
              </w:rPr>
              <w:t>7</w:t>
            </w:r>
          </w:p>
        </w:tc>
        <w:tc>
          <w:tcPr>
            <w:tcW w:type="dxa" w:w="4309"/>
          </w:tcPr>
          <w:p>
            <w:pPr>
              <w:spacing w:after="20" w:before="0"/>
            </w:pPr>
            <w:r/>
            <w:r>
              <w:rPr>
                <w:rFonts w:ascii="Lato" w:hAnsi="Lato" w:cs="Lato"/>
                <w:b/>
                <w:i w:val="0"/>
                <w:color w:val="00648B"/>
                <w:sz w:val="16"/>
              </w:rPr>
              <w:t>King's Counsel dispute-resolution clause (Media Liability)</w:t>
            </w:r>
          </w:p>
        </w:tc>
        <w:tc>
          <w:tcPr>
            <w:tcW w:type="dxa" w:w="1928"/>
          </w:tcPr>
          <w:p>
            <w:pPr>
              <w:spacing w:after="20" w:before="0"/>
            </w:pPr>
            <w:r/>
            <w:r>
              <w:rPr>
                <w:rFonts w:ascii="Lato" w:hAnsi="Lato" w:cs="Lato"/>
                <w:b w:val="0"/>
                <w:i w:val="0"/>
                <w:color w:val="2B2F33"/>
                <w:sz w:val="15"/>
              </w:rPr>
              <w:t>Automatic</w:t>
            </w:r>
          </w:p>
        </w:tc>
        <w:tc>
          <w:tcPr>
            <w:tcW w:type="dxa" w:w="1304"/>
          </w:tcPr>
          <w:p>
            <w:pPr>
              <w:spacing w:after="20" w:before="0"/>
            </w:pPr>
            <w:r/>
            <w:r>
              <w:rPr>
                <w:rFonts w:ascii="Lato" w:hAnsi="Lato" w:cs="Lato"/>
                <w:b/>
                <w:i w:val="0"/>
                <w:color w:val="2B2F33"/>
                <w:sz w:val="16"/>
              </w:rPr>
              <w:t>Low-Medium</w:t>
            </w:r>
          </w:p>
        </w:tc>
        <w:tc>
          <w:tcPr>
            <w:tcW w:type="dxa" w:w="2155"/>
          </w:tcPr>
          <w:p>
            <w:pPr>
              <w:spacing w:after="20" w:before="0"/>
            </w:pPr>
            <w:r/>
            <w:r>
              <w:rPr>
                <w:rFonts w:ascii="Lato" w:hAnsi="Lato" w:cs="Lato"/>
                <w:b w:val="0"/>
                <w:i w:val="0"/>
                <w:color w:val="1B7A3D"/>
                <w:sz w:val="15"/>
              </w:rPr>
              <w:t>IMPLEMENTED as tracked change (B6)</w:t>
            </w:r>
          </w:p>
        </w:tc>
      </w:tr>
      <w:tr>
        <w:tc>
          <w:tcPr>
            <w:tcW w:type="dxa" w:w="510"/>
            <w:shd w:val="clear" w:color="auto" w:fill="F4F7F9"/>
          </w:tcPr>
          <w:p>
            <w:pPr>
              <w:spacing w:after="20" w:before="0"/>
            </w:pPr>
            <w:r/>
            <w:r>
              <w:rPr>
                <w:rFonts w:ascii="Lato" w:hAnsi="Lato" w:cs="Lato"/>
                <w:b w:val="0"/>
                <w:i w:val="0"/>
                <w:color w:val="2B2F33"/>
                <w:sz w:val="16"/>
              </w:rPr>
              <w:t>8</w:t>
            </w:r>
          </w:p>
        </w:tc>
        <w:tc>
          <w:tcPr>
            <w:tcW w:type="dxa" w:w="4309"/>
            <w:shd w:val="clear" w:color="auto" w:fill="F4F7F9"/>
          </w:tcPr>
          <w:p>
            <w:pPr>
              <w:spacing w:after="20" w:before="0"/>
            </w:pPr>
            <w:r/>
            <w:r>
              <w:rPr>
                <w:rFonts w:ascii="Lato" w:hAnsi="Lato" w:cs="Lato"/>
                <w:b/>
                <w:i w:val="0"/>
                <w:color w:val="00648B"/>
                <w:sz w:val="16"/>
              </w:rPr>
              <w:t>Pollution negligent-advice write-back (Media Liability PI)</w:t>
            </w:r>
          </w:p>
        </w:tc>
        <w:tc>
          <w:tcPr>
            <w:tcW w:type="dxa" w:w="1928"/>
            <w:shd w:val="clear" w:color="auto" w:fill="F4F7F9"/>
          </w:tcPr>
          <w:p>
            <w:pPr>
              <w:spacing w:after="20" w:before="0"/>
            </w:pPr>
            <w:r/>
            <w:r>
              <w:rPr>
                <w:rFonts w:ascii="Lato" w:hAnsi="Lato" w:cs="Lato"/>
                <w:b w:val="0"/>
                <w:i w:val="0"/>
                <w:color w:val="2B2F33"/>
                <w:sz w:val="15"/>
              </w:rPr>
              <w:t>Automatic (narrow, sub-limited)</w:t>
            </w:r>
          </w:p>
        </w:tc>
        <w:tc>
          <w:tcPr>
            <w:tcW w:type="dxa" w:w="1304"/>
            <w:shd w:val="clear" w:color="auto" w:fill="F4F7F9"/>
          </w:tcPr>
          <w:p>
            <w:pPr>
              <w:spacing w:after="20" w:before="0"/>
            </w:pPr>
            <w:r/>
            <w:r>
              <w:rPr>
                <w:rFonts w:ascii="Lato" w:hAnsi="Lato" w:cs="Lato"/>
                <w:b/>
                <w:i w:val="0"/>
                <w:color w:val="2B2F33"/>
                <w:sz w:val="16"/>
              </w:rPr>
              <w:t>Medium</w:t>
            </w:r>
          </w:p>
        </w:tc>
        <w:tc>
          <w:tcPr>
            <w:tcW w:type="dxa" w:w="2155"/>
            <w:shd w:val="clear" w:color="auto" w:fill="F4F7F9"/>
          </w:tcPr>
          <w:p>
            <w:pPr>
              <w:spacing w:after="20" w:before="0"/>
            </w:pPr>
            <w:r/>
            <w:r>
              <w:rPr>
                <w:rFonts w:ascii="Lato" w:hAnsi="Lato" w:cs="Lato"/>
                <w:b w:val="0"/>
                <w:i w:val="0"/>
                <w:color w:val="1B7A3D"/>
                <w:sz w:val="15"/>
              </w:rPr>
              <w:t>IMPLEMENTED as tracked change (B7)</w:t>
            </w:r>
          </w:p>
        </w:tc>
      </w:tr>
      <w:tr>
        <w:tc>
          <w:tcPr>
            <w:tcW w:type="dxa" w:w="510"/>
          </w:tcPr>
          <w:p>
            <w:pPr>
              <w:spacing w:after="20" w:before="0"/>
            </w:pPr>
            <w:r/>
            <w:r>
              <w:rPr>
                <w:rFonts w:ascii="Lato" w:hAnsi="Lato" w:cs="Lato"/>
                <w:b w:val="0"/>
                <w:i w:val="0"/>
                <w:color w:val="2B2F33"/>
                <w:sz w:val="16"/>
              </w:rPr>
              <w:t>9</w:t>
            </w:r>
          </w:p>
        </w:tc>
        <w:tc>
          <w:tcPr>
            <w:tcW w:type="dxa" w:w="4309"/>
          </w:tcPr>
          <w:p>
            <w:pPr>
              <w:spacing w:after="20" w:before="0"/>
            </w:pPr>
            <w:r/>
            <w:r>
              <w:rPr>
                <w:rFonts w:ascii="Lato" w:hAnsi="Lato" w:cs="Lato"/>
                <w:b/>
                <w:i w:val="0"/>
                <w:color w:val="00648B"/>
                <w:sz w:val="16"/>
              </w:rPr>
              <w:t>Money restructure — Premises + Touring/Festivals/Events (Section 8)</w:t>
            </w:r>
          </w:p>
        </w:tc>
        <w:tc>
          <w:tcPr>
            <w:tcW w:type="dxa" w:w="1928"/>
          </w:tcPr>
          <w:p>
            <w:pPr>
              <w:spacing w:after="20" w:before="0"/>
            </w:pPr>
            <w:r/>
            <w:r>
              <w:rPr>
                <w:rFonts w:ascii="Lato" w:hAnsi="Lato" w:cs="Lato"/>
                <w:b w:val="0"/>
                <w:i w:val="0"/>
                <w:color w:val="2B2F33"/>
                <w:sz w:val="15"/>
              </w:rPr>
              <w:t>Schedule-selectable (two sub-limits)</w:t>
            </w:r>
          </w:p>
        </w:tc>
        <w:tc>
          <w:tcPr>
            <w:tcW w:type="dxa" w:w="1304"/>
          </w:tcPr>
          <w:p>
            <w:pPr>
              <w:spacing w:after="20" w:before="0"/>
            </w:pPr>
            <w:r/>
            <w:r>
              <w:rPr>
                <w:rFonts w:ascii="Lato" w:hAnsi="Lato" w:cs="Lato"/>
                <w:b/>
                <w:i w:val="0"/>
                <w:color w:val="2B2F33"/>
                <w:sz w:val="16"/>
              </w:rPr>
              <w:t>Medium</w:t>
            </w:r>
          </w:p>
        </w:tc>
        <w:tc>
          <w:tcPr>
            <w:tcW w:type="dxa" w:w="2155"/>
          </w:tcPr>
          <w:p>
            <w:pPr>
              <w:spacing w:after="20" w:before="0"/>
            </w:pPr>
            <w:r/>
            <w:r>
              <w:rPr>
                <w:rFonts w:ascii="Lato" w:hAnsi="Lato" w:cs="Lato"/>
                <w:b w:val="0"/>
                <w:i w:val="0"/>
                <w:color w:val="1B7A3D"/>
                <w:sz w:val="15"/>
              </w:rPr>
              <w:t>IMPLEMENTED as tracked change (A4)</w:t>
            </w:r>
          </w:p>
        </w:tc>
      </w:tr>
      <w:tr>
        <w:tc>
          <w:tcPr>
            <w:tcW w:type="dxa" w:w="510"/>
            <w:shd w:val="clear" w:color="auto" w:fill="F4F7F9"/>
          </w:tcPr>
          <w:p>
            <w:pPr>
              <w:spacing w:after="20" w:before="0"/>
            </w:pPr>
            <w:r/>
            <w:r>
              <w:rPr>
                <w:rFonts w:ascii="Lato" w:hAnsi="Lato" w:cs="Lato"/>
                <w:b w:val="0"/>
                <w:i w:val="0"/>
                <w:color w:val="2B2F33"/>
                <w:sz w:val="16"/>
              </w:rPr>
              <w:t>10</w:t>
            </w:r>
          </w:p>
        </w:tc>
        <w:tc>
          <w:tcPr>
            <w:tcW w:type="dxa" w:w="4309"/>
            <w:shd w:val="clear" w:color="auto" w:fill="F4F7F9"/>
          </w:tcPr>
          <w:p>
            <w:pPr>
              <w:spacing w:after="20" w:before="0"/>
            </w:pPr>
            <w:r/>
            <w:r>
              <w:rPr>
                <w:rFonts w:ascii="Lato" w:hAnsi="Lato" w:cs="Lato"/>
                <w:b/>
                <w:i w:val="0"/>
                <w:color w:val="00648B"/>
                <w:sz w:val="16"/>
              </w:rPr>
              <w:t>Proof of Ownership and Value — claims condition (Sections 1–11)</w:t>
            </w:r>
          </w:p>
        </w:tc>
        <w:tc>
          <w:tcPr>
            <w:tcW w:type="dxa" w:w="1928"/>
            <w:shd w:val="clear" w:color="auto" w:fill="F4F7F9"/>
          </w:tcPr>
          <w:p>
            <w:pPr>
              <w:spacing w:after="20" w:before="0"/>
            </w:pPr>
            <w:r/>
            <w:r>
              <w:rPr>
                <w:rFonts w:ascii="Lato" w:hAnsi="Lato" w:cs="Lato"/>
                <w:b w:val="0"/>
                <w:i w:val="0"/>
                <w:color w:val="2B2F33"/>
                <w:sz w:val="15"/>
              </w:rPr>
              <w:t>Automatic (claims condition)</w:t>
            </w:r>
          </w:p>
        </w:tc>
        <w:tc>
          <w:tcPr>
            <w:tcW w:type="dxa" w:w="1304"/>
            <w:shd w:val="clear" w:color="auto" w:fill="F4F7F9"/>
          </w:tcPr>
          <w:p>
            <w:pPr>
              <w:spacing w:after="20" w:before="0"/>
            </w:pPr>
            <w:r/>
            <w:r>
              <w:rPr>
                <w:rFonts w:ascii="Lato" w:hAnsi="Lato" w:cs="Lato"/>
                <w:b/>
                <w:i w:val="0"/>
                <w:color w:val="2B2F33"/>
                <w:sz w:val="16"/>
              </w:rPr>
              <w:t>Medium</w:t>
            </w:r>
          </w:p>
        </w:tc>
        <w:tc>
          <w:tcPr>
            <w:tcW w:type="dxa" w:w="2155"/>
            <w:shd w:val="clear" w:color="auto" w:fill="F4F7F9"/>
          </w:tcPr>
          <w:p>
            <w:pPr>
              <w:spacing w:after="20" w:before="0"/>
            </w:pPr>
            <w:r/>
            <w:r>
              <w:rPr>
                <w:rFonts w:ascii="Lato" w:hAnsi="Lato" w:cs="Lato"/>
                <w:b w:val="0"/>
                <w:i w:val="0"/>
                <w:color w:val="1B7A3D"/>
                <w:sz w:val="15"/>
              </w:rPr>
              <w:t>IMPLEMENTED as tracked change</w:t>
            </w:r>
          </w:p>
        </w:tc>
      </w:tr>
      <w:tr>
        <w:tc>
          <w:tcPr>
            <w:tcW w:type="dxa" w:w="510"/>
          </w:tcPr>
          <w:p>
            <w:pPr>
              <w:spacing w:after="20" w:before="0"/>
            </w:pPr>
            <w:r/>
            <w:r>
              <w:rPr>
                <w:rFonts w:ascii="Lato" w:hAnsi="Lato" w:cs="Lato"/>
                <w:b w:val="0"/>
                <w:i w:val="0"/>
                <w:color w:val="2B2F33"/>
                <w:sz w:val="16"/>
              </w:rPr>
              <w:t>11</w:t>
            </w:r>
          </w:p>
        </w:tc>
        <w:tc>
          <w:tcPr>
            <w:tcW w:type="dxa" w:w="4309"/>
          </w:tcPr>
          <w:p>
            <w:pPr>
              <w:spacing w:after="20" w:before="0"/>
            </w:pPr>
            <w:r/>
            <w:r>
              <w:rPr>
                <w:rFonts w:ascii="Lato" w:hAnsi="Lato" w:cs="Lato"/>
                <w:b/>
                <w:i w:val="0"/>
                <w:color w:val="00648B"/>
                <w:sz w:val="16"/>
              </w:rPr>
              <w:t>Broaden S13 'Employee' &amp; align S12 'Computer System' definitions</w:t>
            </w:r>
          </w:p>
        </w:tc>
        <w:tc>
          <w:tcPr>
            <w:tcW w:type="dxa" w:w="1928"/>
          </w:tcPr>
          <w:p>
            <w:pPr>
              <w:spacing w:after="20" w:before="0"/>
            </w:pPr>
            <w:r/>
            <w:r>
              <w:rPr>
                <w:rFonts w:ascii="Lato" w:hAnsi="Lato" w:cs="Lato"/>
                <w:b w:val="0"/>
                <w:i w:val="0"/>
                <w:color w:val="2B2F33"/>
                <w:sz w:val="15"/>
              </w:rPr>
              <w:t>Automatic (definition)</w:t>
            </w:r>
          </w:p>
        </w:tc>
        <w:tc>
          <w:tcPr>
            <w:tcW w:type="dxa" w:w="1304"/>
          </w:tcPr>
          <w:p>
            <w:pPr>
              <w:spacing w:after="20" w:before="0"/>
            </w:pPr>
            <w:r/>
            <w:r>
              <w:rPr>
                <w:rFonts w:ascii="Lato" w:hAnsi="Lato" w:cs="Lato"/>
                <w:b/>
                <w:i w:val="0"/>
                <w:color w:val="2B2F33"/>
                <w:sz w:val="16"/>
              </w:rPr>
              <w:t>Medium</w:t>
            </w:r>
          </w:p>
        </w:tc>
        <w:tc>
          <w:tcPr>
            <w:tcW w:type="dxa" w:w="2155"/>
          </w:tcPr>
          <w:p>
            <w:pPr>
              <w:spacing w:after="20" w:before="0"/>
            </w:pPr>
            <w:r/>
            <w:r>
              <w:rPr>
                <w:rFonts w:ascii="Lato" w:hAnsi="Lato" w:cs="Lato"/>
                <w:b w:val="0"/>
                <w:i w:val="0"/>
                <w:color w:val="1B7A3D"/>
                <w:sz w:val="15"/>
              </w:rPr>
              <w:t>IMPLEMENTED as tracked change (A5/A6)</w:t>
            </w:r>
          </w:p>
        </w:tc>
      </w:tr>
      <w:tr>
        <w:tc>
          <w:tcPr>
            <w:tcW w:type="dxa" w:w="510"/>
            <w:shd w:val="clear" w:color="auto" w:fill="F4F7F9"/>
          </w:tcPr>
          <w:p>
            <w:pPr>
              <w:spacing w:after="20" w:before="0"/>
            </w:pPr>
            <w:r/>
            <w:r>
              <w:rPr>
                <w:rFonts w:ascii="Lato" w:hAnsi="Lato" w:cs="Lato"/>
                <w:b w:val="0"/>
                <w:i w:val="0"/>
                <w:color w:val="2B2F33"/>
                <w:sz w:val="16"/>
              </w:rPr>
              <w:t>12</w:t>
            </w:r>
          </w:p>
        </w:tc>
        <w:tc>
          <w:tcPr>
            <w:tcW w:type="dxa" w:w="4309"/>
            <w:shd w:val="clear" w:color="auto" w:fill="F4F7F9"/>
          </w:tcPr>
          <w:p>
            <w:pPr>
              <w:spacing w:after="20" w:before="0"/>
            </w:pPr>
            <w:r/>
            <w:r>
              <w:rPr>
                <w:rFonts w:ascii="Lato" w:hAnsi="Lato" w:cs="Lato"/>
                <w:b/>
                <w:i w:val="0"/>
                <w:color w:val="00648B"/>
                <w:sz w:val="16"/>
              </w:rPr>
              <w:t>Personal Accident &amp; Business Travel section</w:t>
            </w:r>
          </w:p>
        </w:tc>
        <w:tc>
          <w:tcPr>
            <w:tcW w:type="dxa" w:w="1928"/>
            <w:shd w:val="clear" w:color="auto" w:fill="F4F7F9"/>
          </w:tcPr>
          <w:p>
            <w:pPr>
              <w:spacing w:after="20" w:before="0"/>
            </w:pPr>
            <w:r/>
            <w:r>
              <w:rPr>
                <w:rFonts w:ascii="Lato" w:hAnsi="Lato" w:cs="Lato"/>
                <w:b w:val="0"/>
                <w:i w:val="0"/>
                <w:color w:val="2B2F33"/>
                <w:sz w:val="15"/>
              </w:rPr>
              <w:t>Optional (new section)</w:t>
            </w:r>
          </w:p>
        </w:tc>
        <w:tc>
          <w:tcPr>
            <w:tcW w:type="dxa" w:w="1304"/>
            <w:shd w:val="clear" w:color="auto" w:fill="F4F7F9"/>
          </w:tcPr>
          <w:p>
            <w:pPr>
              <w:spacing w:after="20" w:before="0"/>
            </w:pPr>
            <w:r/>
            <w:r>
              <w:rPr>
                <w:rFonts w:ascii="Lato" w:hAnsi="Lato" w:cs="Lato"/>
                <w:b/>
                <w:i w:val="0"/>
                <w:color w:val="C0563F"/>
                <w:sz w:val="16"/>
              </w:rPr>
              <w:t>High</w:t>
            </w:r>
          </w:p>
        </w:tc>
        <w:tc>
          <w:tcPr>
            <w:tcW w:type="dxa" w:w="2155"/>
            <w:shd w:val="clear" w:color="auto" w:fill="F4F7F9"/>
          </w:tcPr>
          <w:p>
            <w:pPr>
              <w:spacing w:after="20" w:before="0"/>
            </w:pPr>
            <w:r/>
            <w:r>
              <w:rPr>
                <w:rFonts w:ascii="Lato" w:hAnsi="Lato" w:cs="Lato"/>
                <w:b w:val="0"/>
                <w:i w:val="0"/>
                <w:color w:val="B88A3C"/>
                <w:sz w:val="15"/>
              </w:rPr>
              <w:t>PARKED</w:t>
            </w:r>
          </w:p>
        </w:tc>
      </w:tr>
      <w:tr>
        <w:tc>
          <w:tcPr>
            <w:tcW w:type="dxa" w:w="510"/>
          </w:tcPr>
          <w:p>
            <w:pPr>
              <w:spacing w:after="20" w:before="0"/>
            </w:pPr>
            <w:r/>
            <w:r>
              <w:rPr>
                <w:rFonts w:ascii="Lato" w:hAnsi="Lato" w:cs="Lato"/>
                <w:b w:val="0"/>
                <w:i w:val="0"/>
                <w:color w:val="2B2F33"/>
                <w:sz w:val="16"/>
              </w:rPr>
              <w:t>13</w:t>
            </w:r>
          </w:p>
        </w:tc>
        <w:tc>
          <w:tcPr>
            <w:tcW w:type="dxa" w:w="4309"/>
          </w:tcPr>
          <w:p>
            <w:pPr>
              <w:spacing w:after="20" w:before="0"/>
            </w:pPr>
            <w:r/>
            <w:r>
              <w:rPr>
                <w:rFonts w:ascii="Lato" w:hAnsi="Lato" w:cs="Lato"/>
                <w:b/>
                <w:i w:val="0"/>
                <w:color w:val="00648B"/>
                <w:sz w:val="16"/>
              </w:rPr>
              <w:t>Asbestos negligent-advice write-back (PI) — consider</w:t>
            </w:r>
          </w:p>
        </w:tc>
        <w:tc>
          <w:tcPr>
            <w:tcW w:type="dxa" w:w="1928"/>
          </w:tcPr>
          <w:p>
            <w:pPr>
              <w:spacing w:after="20" w:before="0"/>
            </w:pPr>
            <w:r/>
            <w:r>
              <w:rPr>
                <w:rFonts w:ascii="Lato" w:hAnsi="Lato" w:cs="Lato"/>
                <w:b w:val="0"/>
                <w:i w:val="0"/>
                <w:color w:val="2B2F33"/>
                <w:sz w:val="15"/>
              </w:rPr>
              <w:t>Optional (if adopted)</w:t>
            </w:r>
          </w:p>
        </w:tc>
        <w:tc>
          <w:tcPr>
            <w:tcW w:type="dxa" w:w="1304"/>
          </w:tcPr>
          <w:p>
            <w:pPr>
              <w:spacing w:after="20" w:before="0"/>
            </w:pPr>
            <w:r/>
            <w:r>
              <w:rPr>
                <w:rFonts w:ascii="Lato" w:hAnsi="Lato" w:cs="Lato"/>
                <w:b/>
                <w:i w:val="0"/>
                <w:color w:val="2B2F33"/>
                <w:sz w:val="16"/>
              </w:rPr>
              <w:t>Medium</w:t>
            </w:r>
          </w:p>
        </w:tc>
        <w:tc>
          <w:tcPr>
            <w:tcW w:type="dxa" w:w="2155"/>
          </w:tcPr>
          <w:p>
            <w:pPr>
              <w:spacing w:after="20" w:before="0"/>
            </w:pPr>
            <w:r/>
            <w:r>
              <w:rPr>
                <w:rFonts w:ascii="Lato" w:hAnsi="Lato" w:cs="Lato"/>
                <w:b w:val="0"/>
                <w:i w:val="0"/>
                <w:color w:val="B88A3C"/>
                <w:sz w:val="15"/>
              </w:rPr>
              <w:t>PARKED</w:t>
            </w:r>
          </w:p>
        </w:tc>
      </w:tr>
      <w:tr>
        <w:tc>
          <w:tcPr>
            <w:tcW w:type="dxa" w:w="510"/>
            <w:shd w:val="clear" w:color="auto" w:fill="F4F7F9"/>
          </w:tcPr>
          <w:p>
            <w:pPr>
              <w:spacing w:after="20" w:before="0"/>
            </w:pPr>
            <w:r/>
            <w:r>
              <w:rPr>
                <w:rFonts w:ascii="Lato" w:hAnsi="Lato" w:cs="Lato"/>
                <w:b w:val="0"/>
                <w:i w:val="0"/>
                <w:color w:val="2B2F33"/>
                <w:sz w:val="16"/>
              </w:rPr>
              <w:t>14</w:t>
            </w:r>
          </w:p>
        </w:tc>
        <w:tc>
          <w:tcPr>
            <w:tcW w:type="dxa" w:w="4309"/>
            <w:shd w:val="clear" w:color="auto" w:fill="F4F7F9"/>
          </w:tcPr>
          <w:p>
            <w:pPr>
              <w:spacing w:after="20" w:before="0"/>
            </w:pPr>
            <w:r/>
            <w:r>
              <w:rPr>
                <w:rFonts w:ascii="Lato" w:hAnsi="Lato" w:cs="Lato"/>
                <w:b/>
                <w:i w:val="0"/>
                <w:color w:val="00648B"/>
                <w:sz w:val="16"/>
              </w:rPr>
              <w:t>Patents — LEAVE EXCLUDED (no action)</w:t>
            </w:r>
          </w:p>
        </w:tc>
        <w:tc>
          <w:tcPr>
            <w:tcW w:type="dxa" w:w="1928"/>
            <w:shd w:val="clear" w:color="auto" w:fill="F4F7F9"/>
          </w:tcPr>
          <w:p>
            <w:pPr>
              <w:spacing w:after="20" w:before="0"/>
            </w:pPr>
            <w:r/>
            <w:r>
              <w:rPr>
                <w:rFonts w:ascii="Lato" w:hAnsi="Lato" w:cs="Lato"/>
                <w:b w:val="0"/>
                <w:i w:val="0"/>
                <w:color w:val="2B2F33"/>
                <w:sz w:val="15"/>
              </w:rPr>
              <w:t>n/a</w:t>
            </w:r>
          </w:p>
        </w:tc>
        <w:tc>
          <w:tcPr>
            <w:tcW w:type="dxa" w:w="1304"/>
            <w:shd w:val="clear" w:color="auto" w:fill="F4F7F9"/>
          </w:tcPr>
          <w:p>
            <w:pPr>
              <w:spacing w:after="20" w:before="0"/>
            </w:pPr>
            <w:r/>
            <w:r>
              <w:rPr>
                <w:rFonts w:ascii="Lato" w:hAnsi="Lato" w:cs="Lato"/>
                <w:b/>
                <w:i w:val="0"/>
                <w:color w:val="2B2F33"/>
                <w:sz w:val="16"/>
              </w:rPr>
              <w:t>Low</w:t>
            </w:r>
          </w:p>
        </w:tc>
        <w:tc>
          <w:tcPr>
            <w:tcW w:type="dxa" w:w="2155"/>
            <w:shd w:val="clear" w:color="auto" w:fill="F4F7F9"/>
          </w:tcPr>
          <w:p>
            <w:pPr>
              <w:spacing w:after="20" w:before="0"/>
            </w:pPr>
            <w:r/>
            <w:r>
              <w:rPr>
                <w:rFonts w:ascii="Lato" w:hAnsi="Lato" w:cs="Lato"/>
                <w:b w:val="0"/>
                <w:i w:val="0"/>
                <w:color w:val="B88A3C"/>
                <w:sz w:val="15"/>
              </w:rPr>
              <w:t>NO ACTION</w:t>
            </w:r>
          </w:p>
        </w:tc>
      </w:tr>
      <w:tr>
        <w:tc>
          <w:tcPr>
            <w:tcW w:type="dxa" w:w="510"/>
          </w:tcPr>
          <w:p>
            <w:pPr>
              <w:spacing w:after="20" w:before="0"/>
            </w:pPr>
            <w:r/>
            <w:r>
              <w:rPr>
                <w:rFonts w:ascii="Lato" w:hAnsi="Lato" w:cs="Lato"/>
                <w:b w:val="0"/>
                <w:i w:val="0"/>
                <w:color w:val="2B2F33"/>
                <w:sz w:val="16"/>
              </w:rPr>
              <w:t>15</w:t>
            </w:r>
          </w:p>
        </w:tc>
        <w:tc>
          <w:tcPr>
            <w:tcW w:type="dxa" w:w="4309"/>
          </w:tcPr>
          <w:p>
            <w:pPr>
              <w:spacing w:after="20" w:before="0"/>
            </w:pPr>
            <w:r/>
            <w:r>
              <w:rPr>
                <w:rFonts w:ascii="Lato" w:hAnsi="Lato" w:cs="Lato"/>
                <w:b/>
                <w:i w:val="0"/>
                <w:color w:val="00648B"/>
                <w:sz w:val="16"/>
              </w:rPr>
              <w:t>ICOW / Book Debts naming + computer-breakdown signpost</w:t>
            </w:r>
          </w:p>
        </w:tc>
        <w:tc>
          <w:tcPr>
            <w:tcW w:type="dxa" w:w="1928"/>
          </w:tcPr>
          <w:p>
            <w:pPr>
              <w:spacing w:after="20" w:before="0"/>
            </w:pPr>
            <w:r/>
            <w:r>
              <w:rPr>
                <w:rFonts w:ascii="Lato" w:hAnsi="Lato" w:cs="Lato"/>
                <w:b w:val="0"/>
                <w:i w:val="0"/>
                <w:color w:val="2B2F33"/>
                <w:sz w:val="15"/>
              </w:rPr>
              <w:t>Automatic (labelling/clarification)</w:t>
            </w:r>
          </w:p>
        </w:tc>
        <w:tc>
          <w:tcPr>
            <w:tcW w:type="dxa" w:w="1304"/>
          </w:tcPr>
          <w:p>
            <w:pPr>
              <w:spacing w:after="20" w:before="0"/>
            </w:pPr>
            <w:r/>
            <w:r>
              <w:rPr>
                <w:rFonts w:ascii="Lato" w:hAnsi="Lato" w:cs="Lato"/>
                <w:b/>
                <w:i w:val="0"/>
                <w:color w:val="2B2F33"/>
                <w:sz w:val="16"/>
              </w:rPr>
              <w:t>Low-Medium</w:t>
            </w:r>
          </w:p>
        </w:tc>
        <w:tc>
          <w:tcPr>
            <w:tcW w:type="dxa" w:w="2155"/>
          </w:tcPr>
          <w:p>
            <w:pPr>
              <w:spacing w:after="20" w:before="0"/>
            </w:pPr>
            <w:r/>
            <w:r>
              <w:rPr>
                <w:rFonts w:ascii="Lato" w:hAnsi="Lato" w:cs="Lato"/>
                <w:b w:val="0"/>
                <w:i w:val="0"/>
                <w:color w:val="2B2F33"/>
                <w:sz w:val="15"/>
              </w:rPr>
              <w:t>PARTLY DONE (Book Debts relabel) / clarify breakdown signpost</w:t>
            </w:r>
          </w:p>
        </w:tc>
      </w:tr>
    </w:tbl>
    <w:p>
      <w:r>
        <w:br w:type="page"/>
      </w:r>
    </w:p>
    <w:p>
      <w:pPr>
        <w:keepNext/>
        <w:spacing w:before="280" w:after="40"/>
        <w:pBdr>
          <w:bottom w:val="single" w:sz="8" w:space="2" w:color="B88A3C"/>
        </w:pBdr>
      </w:pPr>
      <w:r>
        <w:rPr>
          <w:rFonts w:ascii="Lato" w:hAnsi="Lato" w:cs="Lato"/>
          <w:b/>
          <w:i w:val="0"/>
          <w:color w:val="00648B"/>
          <w:sz w:val="30"/>
        </w:rPr>
        <w:t>Detailed gap-fill recommendations</w:t>
      </w:r>
    </w:p>
    <w:p>
      <w:pPr>
        <w:keepNext/>
        <w:spacing w:before="180" w:after="40"/>
      </w:pPr>
      <w:r>
        <w:rPr>
          <w:rFonts w:ascii="Lato" w:hAnsi="Lato" w:cs="Lato"/>
          <w:b/>
          <w:i w:val="0"/>
          <w:color w:val="00648B"/>
          <w:sz w:val="23"/>
        </w:rPr>
        <w:t>1. Abuse / Molestation — optional sub-limited write-back</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Liberty, Allianz, Entertainment Elite (no express abuse exclusion — silent)</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Public Liability EXPRESSLY EXCLUDES abuse (intentional/neglectful mistreatment; Sexual Offences Act 2003).</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Tysers — the closest media competitor — and three other competitors do not carve out abuse, so TMHCC looks narrower on this peril. Abuse is, however, high-severity, long-tail and reputational; an outright exclusion is a defensible default.</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KEEP the exclusion as default; OFFER an optional, sub-limited, Schedule-operative abuse/molestation write-back with safeguarding conditions precedent for client segments with genuine exposure (festivals/youth/community events).</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6 (Public Liability) — Exclusions: add as an 'Optional Extension' disapplying the Abuse exclusion when operative.</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Optional / Schedule-selectable</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HIGH — severe, long-tail, reputational; reinsurance-sensitive.</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High severity / low frequency; coverage litigation likely.</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C0563F"/>
                <w:sz w:val="16"/>
              </w:rPr>
              <w:t>High</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 claims + legal + reinsurance; consider directing the core exposure to a specialist abuse market.</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B88A3C"/>
                <w:sz w:val="16"/>
              </w:rPr>
              <w:t>PARKED — proposed wording for consideration (not in current wording)</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Optional Abuse and Molestation Extension (operative only if stated in the Schedule): The Abuse exclusion under this Section shall not apply, and the Insurer will indemnify the Insured for Bodily Injury arising from the actual or alleged abuse or molestation of any person, up to the sub-limit and in the aggregate stated in the Schedule, PROVIDED THAT: (a) cover applies on a claims-made basis to claims first made and notified during the Period of Insurance; (b) it is a condition precedent that the Insured maintains a documented safeguarding policy and, where required, obtains and records satisfactory DBS/PVG (or equivalent) checks for all persons working with children or vulnerable adults, and applies appropriate supervision arrangements; (c) no indemnity applies to any person who committed, condoned or, after becoming aware of it, failed to take reasonable steps to prevent the abuse; (d) the Self-Insured Retention stated in the Schedule applies; and (e) fines, penalties and punitive/exemplary damages are excluded save where insurable by law.</w:t>
            </w:r>
          </w:p>
        </w:tc>
      </w:tr>
    </w:tbl>
    <w:p>
      <w:pPr>
        <w:spacing w:after="80"/>
      </w:pPr>
    </w:p>
    <w:p>
      <w:pPr>
        <w:spacing w:after="120"/>
      </w:pPr>
    </w:p>
    <w:p>
      <w:pPr>
        <w:keepNext/>
        <w:spacing w:before="180" w:after="40"/>
      </w:pPr>
      <w:r>
        <w:rPr>
          <w:rFonts w:ascii="Lato" w:hAnsi="Lato" w:cs="Lato"/>
          <w:b/>
          <w:i w:val="0"/>
          <w:color w:val="00648B"/>
          <w:sz w:val="23"/>
        </w:rPr>
        <w:t>2. Worldwide / USA-Canada territory option (Media Liability)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(PI worldwide)</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S12 limited to Schedule Geographical Limits; excludes actions brought/governed outside the stated Jurisdiction (default ex-US/Canada).</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Media clients with global digital distribution can face actions outside the default jurisdiction; TMHCC looks narrower on the matrix.</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an OPTIONAL worldwide (and separately, USA/Canada) write-back to the Geographical Limits / Legal-Action exclusion, rated accordingly.</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new Optional Extension after 'Distributors and Purchasers'.</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Optional / Schedule-selectable</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HIGH if US/Canada operative — price/sub-limit/higher excess; retain ex-US/Canada default.</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Higher in US/Canada (costs, punitive). Control via defence-cost caps and consent.</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C0563F"/>
                <w:sz w:val="16"/>
              </w:rPr>
              <w:t>High</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(S12) — confirm reinsurance treaty territory before offering US/Canada.</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(B5)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Worldwide Territory and Jurisdiction (Optional) — applies only if stated operative in the Schedule. Where operative, the Geographical Limits are amended to anywhere in the world and the Jurisdiction to worldwide, and the exclusions of claims brought, or in which the governing law is contended to be, outside the Jurisdiction shall not apply. Cover for claims brought in, or determined under the laws of, the USA or Canada (or any territory/protectorate thereof) applies only if 'USA/Canada Jurisdiction' is ADDITIONALLY stated operative.</w:t>
            </w:r>
          </w:p>
        </w:tc>
      </w:tr>
    </w:tbl>
    <w:p>
      <w:pPr>
        <w:spacing w:after="80"/>
      </w:pPr>
    </w:p>
    <w:p>
      <w:pPr>
        <w:spacing w:after="120"/>
      </w:pPr>
    </w:p>
    <w:p>
      <w:pPr>
        <w:keepNext/>
        <w:spacing w:before="180" w:after="40"/>
      </w:pPr>
      <w:r>
        <w:rPr>
          <w:rFonts w:ascii="Lato" w:hAnsi="Lato" w:cs="Lato"/>
          <w:b/>
          <w:i w:val="0"/>
          <w:color w:val="00648B"/>
          <w:sz w:val="23"/>
        </w:rPr>
        <w:t>3. Distributors &amp; Purchasers extension (Media Liability)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(clause 8.7, up to 5x limit)</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No equivalent extension.</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Production/distribution clients expect their distribution chain to be protected.</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an optional Distributors &amp; Purchasers extension, capped at a multiple of the limit, with control-of-defence and notice conditions.</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new Extension after 'Indemnity to Principals'.</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Optional</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Medium — control via claim window, certificate, control-of-defence (mirror Tysers).</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Medium; aggregate multiple must be capped.</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(S12) — confirm acceptable aggregate multiple.</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(B1)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The indemnity provided by Insuring Clause 1. (Indemnity) is extended to apply to any purchaser, co-producer, licensee or distributor of Media Material produced or supplied by the Insured, but only in respect of claims arising from such Media Material and only where the Insured is contractually obliged to provide such indemnity. The Insurer's total liability under this Extension shall not exceed five (5) times the Indemnity Limit in the aggregate during the Period of Insurance for all claims arising from each production. Cover is conditional upon the Insurer retaining the right to conduct the defence and settlement of any such claim, and upon any claim being first made against, and notified to, the Insurer during the Period of Insurance.</w:t>
            </w:r>
          </w:p>
        </w:tc>
      </w:tr>
    </w:tbl>
    <w:p>
      <w:pPr>
        <w:spacing w:after="80"/>
      </w:pPr>
    </w:p>
    <w:p>
      <w:pPr>
        <w:spacing w:after="120"/>
      </w:pPr>
    </w:p>
    <w:p>
      <w:pPr>
        <w:keepNext/>
        <w:spacing w:before="180" w:after="40"/>
      </w:pPr>
      <w:r>
        <w:rPr>
          <w:rFonts w:ascii="Lato" w:hAnsi="Lato" w:cs="Lato"/>
          <w:b/>
          <w:i w:val="0"/>
          <w:color w:val="00648B"/>
          <w:sz w:val="23"/>
        </w:rPr>
        <w:t>4. Representation costs at investigations / inquiries (Media Liability)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(clause 8.15, GBP 25k)</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Provided only via Data-Protection defence; otherwise absent.</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Regulators increasingly investigate content/advertising (ASA/CMA/Ofcom).</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 sub-limited representation-costs extension (GBP 25k).</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new extension after the IP-pursuit clause.</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Automatic (sub-limited)</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Low — small sub-limit.</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Low.</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(S12) — confirm sub-limit and consent mechanics.</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(B2)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Up to a maximum of GBP 25,000 in the aggregate in the Period of Insurance, for the reasonable costs and expenses incurred by the Insured, with the Insurer's prior written consent, in respect of attendance at or representation before any official examination, investigation, inquiry or other proceeding arising from the Insured's Media Business Services and likely to give rise to a claim under Insuring Clause 1. This cover forms part of and does not increase the Indemnity Limit.</w:t>
            </w:r>
          </w:p>
        </w:tc>
      </w:tr>
    </w:tbl>
    <w:p>
      <w:pPr>
        <w:spacing w:after="80"/>
      </w:pPr>
    </w:p>
    <w:p>
      <w:pPr>
        <w:spacing w:after="120"/>
      </w:pPr>
    </w:p>
    <w:p>
      <w:pPr>
        <w:keepNext/>
        <w:spacing w:before="180" w:after="40"/>
      </w:pPr>
      <w:r>
        <w:rPr>
          <w:rFonts w:ascii="Lato" w:hAnsi="Lato" w:cs="Lato"/>
          <w:b/>
          <w:i w:val="0"/>
          <w:color w:val="00648B"/>
          <w:sz w:val="23"/>
        </w:rPr>
        <w:t>5. Journalistic source-protection costs (Media Liability)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(clause 8.13)</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Not provided.</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Broker-sensitive for editorial, news and publishing clients.</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 sub-limited source-protection costs extension (consent; counsel reasonable-prospects test).</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new extension following Representation Costs.</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Optional / Schedule sub-limit</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Low — low-frequency; consent + counsel test.</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Low frequency.</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(S12) — confirm sub-limit.</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(B3)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Up to the sub-limit stated in the Schedule, with the Insurer's prior written consent, for the reasonable legal costs of opposing or responding to any subpoena, court order or other legal compulsion requiring the Insured to disclose the identity of a confidential journalistic source, where such disclosure arises from the Insured's Media Business Services, and only where, in the opinion of counsel, there are reasonable grounds to oppose disclosure. This cover forms part of and does not increase the Indemnity Limit.</w:t>
            </w:r>
          </w:p>
        </w:tc>
      </w:tr>
    </w:tbl>
    <w:p>
      <w:pPr>
        <w:spacing w:after="80"/>
      </w:pPr>
    </w:p>
    <w:p>
      <w:pPr>
        <w:spacing w:after="120"/>
      </w:pPr>
    </w:p>
    <w:p>
      <w:pPr>
        <w:keepNext/>
        <w:spacing w:before="180" w:after="40"/>
      </w:pPr>
      <w:r>
        <w:rPr>
          <w:rFonts w:ascii="Lato" w:hAnsi="Lato" w:cs="Lato"/>
          <w:b/>
          <w:i w:val="0"/>
          <w:color w:val="00648B"/>
          <w:sz w:val="23"/>
        </w:rPr>
        <w:t>6. Criminal / regulatory defence-costs cross-reference (Media Liability)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(statutory defence GBP 1m); Yutree (criminal-prosecution defence GBP 250k)</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S12 funds only Data-Protection defence (GBP 250k); broader criminal/regulatory defence sits in S13/S14.</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On a section-by-section read of S12 alone, TMHCC looks narrower.</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an express cross-reference to S13/S14 plus a modest sub-limited contribution (excess of S13/S14), excluding fines.</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new clause following Source-Protection costs.</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Automatic (cross-reference + sub-limit)</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Low–medium — largely clarifying.</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Low.</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Medium-High</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(S12) — confirm interaction with S13/S14.</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(B4)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In addition to the Data Protection Defence Costs provided above, the Insured is reminded that defence of criminal and regulatory proceedings may also be available under Section 13 (Commercial Legal Expenses) and Section 14 (Management Liability). The Insurer will further contribute, up to the sub-limit stated in the Schedule and with prior written consent, towards the reasonable defence costs of any criminal or regulatory proceeding arising directly from the Insured's Media Business Services, save to the extent covered under S13 or S14. This cover forms part of and does not increase the Indemnity Limit and excludes fines, penalties and costs incurred after a plea or finding of guilt.</w:t>
            </w:r>
          </w:p>
        </w:tc>
      </w:tr>
    </w:tbl>
    <w:p>
      <w:pPr>
        <w:spacing w:after="80"/>
      </w:pPr>
    </w:p>
    <w:p>
      <w:pPr>
        <w:spacing w:after="120"/>
      </w:pPr>
    </w:p>
    <w:p>
      <w:pPr>
        <w:keepNext/>
        <w:spacing w:before="180" w:after="40"/>
      </w:pPr>
      <w:r>
        <w:rPr>
          <w:rFonts w:ascii="Lato" w:hAnsi="Lato" w:cs="Lato"/>
          <w:b/>
          <w:i w:val="0"/>
          <w:color w:val="00648B"/>
          <w:sz w:val="23"/>
        </w:rPr>
        <w:t>7. King's Counsel dispute-resolution clause (Media Liability)</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Yutree (KC clause)</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Relies on a general mediation/dispute condition.</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Drafting-clarity opportunity; reduces coverage friction on defence/settlement disputes.</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 King's Counsel-determination clause to S12 defence/settlement provisions.</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new clause after the dispute/mediation provision.</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Automatic</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Low — procedural.</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Reduces dispute cost.</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Low-Medium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(S12) — confirm cost-allocation wording.</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(B6)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In respect of Section 12 only, if the Insured and the Insurer disagree as to whether or how any claim should be defended, settled or pursued, either party may require the matter to be referred to a King's Counsel of the English Bar (mutually agreed, or failing agreement within 14 working days, appointed by the Chairman of the Bar Council). The opinion of such King's Counsel as to the conduct of the matter shall be binding on both parties, having regard to the interests of both, and the costs of the reference shall be allocated on a fair and equitable basis.</w:t>
            </w:r>
          </w:p>
        </w:tc>
      </w:tr>
    </w:tbl>
    <w:p>
      <w:pPr>
        <w:spacing w:after="80"/>
      </w:pPr>
    </w:p>
    <w:p>
      <w:pPr>
        <w:spacing w:after="120"/>
      </w:pPr>
    </w:p>
    <w:p>
      <w:pPr>
        <w:keepNext/>
        <w:spacing w:before="180" w:after="40"/>
      </w:pPr>
      <w:r>
        <w:rPr>
          <w:rFonts w:ascii="Lato" w:hAnsi="Lato" w:cs="Lato"/>
          <w:b/>
          <w:i w:val="0"/>
          <w:color w:val="00648B"/>
          <w:sz w:val="23"/>
        </w:rPr>
        <w:t>8. Pollution negligent-advice write-back (Media Liability PI)</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Yutree (pollution write-back for own negligence)</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S12 excludes seepage/pollution/contamination outright.</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Genuine E&amp;O exposures (negligent advice/specification) fall in the exclusion gap.</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 narrow, sub-limited write-back limited to negligent advice, expressly excluding BI, property damage and clean-up.</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proviso to the Seepage &amp; Pollution exclusion.</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Automatic (narrow, sub-limited)</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Medium — must keep BI/contamination excluded; cap tightly.</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Medium; cap tightly.</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(S12) — careful legal drafting review essential.</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(B7)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provided that this Exclusion shall not apply to any claim arising solely from a negligent act, error or omission in the provision of the Insured's Media Business Services (and not from any seepage, Pollution or contamination caused by the Insured's own operations, premises or activities), and provided further that this write-back shall not extend to any claim for Bodily Injury, property damage, or the costs of removing, nullifying, cleaning up or remediating any pollutant. The Insurer's liability under this write-back shall not exceed the sub-limit stated in the Schedule against this write-back.</w:t>
            </w:r>
          </w:p>
        </w:tc>
      </w:tr>
    </w:tbl>
    <w:p>
      <w:pPr>
        <w:spacing w:after="80"/>
      </w:pPr>
    </w:p>
    <w:p>
      <w:pPr>
        <w:spacing w:after="120"/>
      </w:pPr>
    </w:p>
    <w:p>
      <w:pPr>
        <w:keepNext/>
        <w:spacing w:before="180" w:after="40"/>
      </w:pPr>
      <w:r>
        <w:rPr>
          <w:rFonts w:ascii="Lato" w:hAnsi="Lato" w:cs="Lato"/>
          <w:b/>
          <w:i w:val="0"/>
          <w:color w:val="00648B"/>
          <w:sz w:val="23"/>
        </w:rPr>
        <w:t>9. Money restructure — Premises + Touring/Festivals/Events (Section 8)</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Entertainment Elite (event-money); 0523 'Venue'</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Single Money section.</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Touring/festival/event money exposure not clearly addressed.</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Restructure Money into two Schedule-referenced extensions, preserving existing covers/exclusions.</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8 (Money) — new extensions after 'Loss of Keys'.</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Schedule-selectable (two sub-limits)</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Medium — dishonesty/assault heads; Schedule sub-limits.</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Medium.</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 underwriting to set sub-limits.</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(A4)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Money – Premises: extends cover to Damage to Money at the Premises up to the Schedule sub-limit. Money – Touring, Festivals and Events: extends cover to Money in transit/temporary storage/safe/custody at any venue, festival site, box office or touring/event location, including (a) damage to safes/containers/money belts; (b) damage to clothing, personal effects and personal Money following assault/violence; and (c) employee dishonesty discovered within 12 months. Both are subject to the Schedule sub-limit and do not reduce existing Money cover. (Full text in the Full Redline, Section 8.)</w:t>
            </w:r>
          </w:p>
        </w:tc>
      </w:tr>
    </w:tbl>
    <w:p>
      <w:pPr>
        <w:spacing w:after="80"/>
      </w:pPr>
    </w:p>
    <w:p>
      <w:pPr>
        <w:spacing w:after="120"/>
      </w:pPr>
    </w:p>
    <w:p>
      <w:pPr>
        <w:keepNext/>
        <w:spacing w:before="180" w:after="40"/>
      </w:pPr>
      <w:r>
        <w:rPr>
          <w:rFonts w:ascii="Lato" w:hAnsi="Lato" w:cs="Lato"/>
          <w:b/>
          <w:i w:val="0"/>
          <w:color w:val="00648B"/>
          <w:sz w:val="23"/>
        </w:rPr>
        <w:t>10. Proof of Ownership and Value — claims condition (Sections 1–11)</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Entertainment Elite (Money security/proof conditions)</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No express proof-of-ownership condition.</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Claims-handling hygiene for theft/property/equipment claims; reduces disputed-value claims.</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 Proof of Ownership and Value claims condition.</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Policy Claims Conditions (S1–11) — between 'Notification to the Police' and 'Terms of Settlement'.</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Automatic (claims condition)</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Low–medium — confirm ordinary condition (not CP).</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Reduces disputed-value claims.</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 confirm status (ordinary condition vs CP).</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Proof of Ownership and Value — The Insured shall, at the request of the Insurer, produce reasonable documentary proof of ownership and of the value of any property the subject of a claim (for example purchase invoices, receipts, valuations, asset registers, hire agreements or photographs).</w:t>
            </w:r>
          </w:p>
        </w:tc>
      </w:tr>
    </w:tbl>
    <w:p>
      <w:pPr>
        <w:spacing w:after="80"/>
      </w:pPr>
    </w:p>
    <w:p>
      <w:pPr>
        <w:spacing w:after="120"/>
      </w:pPr>
    </w:p>
    <w:p>
      <w:pPr>
        <w:keepNext/>
        <w:spacing w:before="180" w:after="40"/>
      </w:pPr>
      <w:r>
        <w:rPr>
          <w:rFonts w:ascii="Lato" w:hAnsi="Lato" w:cs="Lato"/>
          <w:b/>
          <w:i w:val="0"/>
          <w:color w:val="00648B"/>
          <w:sz w:val="23"/>
        </w:rPr>
        <w:t>11. Broaden S13 'Employee' &amp; align S12 'Computer System' definitions</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(p9), Yutree (p88) employee defs; internal S15 cyber def</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S13 'Employee' was narrow; S12 'Computer System' was narrower than S15.</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Consistency and competitiveness of the protected classes/triggers.</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Broaden S13 'Employee' (labour-only, hired/borrowed, voluntary/work-experience/secondee/student/prospective) and align S12 'Computer System' to S15.</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13 (Definitions) and Section 12 (Definitions).</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Automatic (definition)</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Medium — widens protected class/triggers.</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Low–medium.</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 confirm intended widening (S13 EL/legal-expenses class; S12 computer triggers).</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1B7A3D"/>
                <w:sz w:val="16"/>
              </w:rPr>
              <w:t>IMPLEMENTED as tracked change (A5/A6) — awaiting UW sign-off</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(See the Full Redline — S13 Employee definition and S12 Computer System definition, both shown as old→new tracked replacements.)</w:t>
            </w:r>
          </w:p>
        </w:tc>
      </w:tr>
    </w:tbl>
    <w:p>
      <w:pPr>
        <w:spacing w:after="80"/>
      </w:pPr>
    </w:p>
    <w:p>
      <w:pPr>
        <w:spacing w:after="120"/>
      </w:pPr>
    </w:p>
    <w:p>
      <w:pPr>
        <w:keepNext/>
        <w:spacing w:before="180" w:after="40"/>
      </w:pPr>
      <w:r>
        <w:rPr>
          <w:rFonts w:ascii="Lato" w:hAnsi="Lato" w:cs="Lato"/>
          <w:b/>
          <w:i w:val="0"/>
          <w:color w:val="00648B"/>
          <w:sz w:val="23"/>
        </w:rPr>
        <w:t>12. Personal Accident &amp; Business Travel section</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(extensive); Yutree (PA assault)</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No standalone PA / business-travel section.</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Entertainment clients (crew, artists, touring personnel) routinely expect PA/business-travel; visible whole-section gap.</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Add a new optional PA &amp; Business Travel section — capacity-permitting; control via benefit schedule, age limits, hazardous-activity carve-outs.</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New optional Section (PA &amp; Business Travel) within the 15-section structure.</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Optional (new section)</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Medium — PA/travel well-understood; control via benefit schedule.</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Low–medium; defined benefits cap exposure.</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C0563F"/>
                <w:sz w:val="16"/>
              </w:rPr>
              <w:t>High</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 confirm capacity/appetite; draft benefit schedule + assault definition.</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B88A3C"/>
                <w:sz w:val="16"/>
              </w:rPr>
              <w:t>PARKED — proposed skeleton (not in current wording)</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Optional Personal Accident &amp; Business Travel Section (operative only if stated in the Schedule): the Insurer will pay the benefits stated in the Benefit Schedule to or in respect of an Insured Person who sustains Bodily Injury caused by an Accident during the Period of Insurance (death; permanent total/partial disablement; temporary total disablement), together with business-travel cover (emergency medical, repatriation, cancellation, personal effects) where stated operative, subject to the age limits, hazardous-activity conditions and territorial limits stated in the Schedule. [Skeleton — to be drafted in full subject to capacity/appetite.]</w:t>
            </w:r>
          </w:p>
        </w:tc>
      </w:tr>
    </w:tbl>
    <w:p>
      <w:pPr>
        <w:spacing w:after="80"/>
      </w:pPr>
    </w:p>
    <w:p>
      <w:pPr>
        <w:spacing w:after="120"/>
      </w:pPr>
    </w:p>
    <w:p>
      <w:pPr>
        <w:keepNext/>
        <w:spacing w:before="180" w:after="40"/>
      </w:pPr>
      <w:r>
        <w:rPr>
          <w:rFonts w:ascii="Lato" w:hAnsi="Lato" w:cs="Lato"/>
          <w:b/>
          <w:i w:val="0"/>
          <w:color w:val="00648B"/>
          <w:sz w:val="23"/>
        </w:rPr>
        <w:t>13. Asbestos negligent-advice write-back (PI) — consider</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(asbestos professional-duty write-back, GBP 1m, ex-BI)</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S12 excludes asbestos outright.</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Negligent advice/specification touching asbestos is a genuine E&amp;O exposure.</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CONSIDER a narrow negligent-advice write-back (ex-BI, ex-contamination); otherwise leave excluded.</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proviso to the Asbestos exclusion (if adopted).</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Optional (if adopted)</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Medium — ring-fence to negligent advice; exclude BI and clean-up.</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Medium; cap tightly.</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YES — careful drafting; keep BI and contamination excluded.</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B88A3C"/>
                <w:sz w:val="16"/>
              </w:rPr>
              <w:t>PARKED — for consideration</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[If adopted] provided that this Exclusion shall not apply to a claim arising solely from a negligent act, error or omission in the provision of the Insured's Media Business Services, and shall not extend to any claim for Bodily Injury or the costs of removing/remediating asbestos; sub-limit per Schedule.</w:t>
            </w:r>
          </w:p>
        </w:tc>
      </w:tr>
    </w:tbl>
    <w:p>
      <w:pPr>
        <w:spacing w:after="80"/>
      </w:pPr>
    </w:p>
    <w:p>
      <w:pPr>
        <w:spacing w:after="120"/>
      </w:pPr>
    </w:p>
    <w:p>
      <w:pPr>
        <w:keepNext/>
        <w:spacing w:before="180" w:after="40"/>
      </w:pPr>
      <w:r>
        <w:rPr>
          <w:rFonts w:ascii="Lato" w:hAnsi="Lato" w:cs="Lato"/>
          <w:b/>
          <w:i w:val="0"/>
          <w:color w:val="00648B"/>
          <w:sz w:val="23"/>
        </w:rPr>
        <w:t>14. Patents — LEAVE EXCLUDED (no action)</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Tysers (covers patents)</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Excludes patents (as does Yutree).</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Patents are hard to underwrite and high-severity; the exclusion is a deliberate, defensible restriction.</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No change. At most a limited defence-costs write-back; otherwise leave excluded and explain as disciplined underwriting.</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12 (Media Liability) — IP exclusion (no change).</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n/a</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Retaining the exclusion protects TMHCC.</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Patents are high-severity.</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Low</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No change — document rationale.</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B88A3C"/>
                <w:sz w:val="16"/>
              </w:rPr>
              <w:t>NO ACTION — confirmed defensible restriction</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(No change recommended.)</w:t>
            </w:r>
          </w:p>
        </w:tc>
      </w:tr>
    </w:tbl>
    <w:p>
      <w:pPr>
        <w:spacing w:after="80"/>
      </w:pPr>
    </w:p>
    <w:p>
      <w:pPr>
        <w:spacing w:after="120"/>
      </w:pPr>
    </w:p>
    <w:p>
      <w:pPr>
        <w:keepNext/>
        <w:spacing w:before="180" w:after="40"/>
      </w:pPr>
      <w:r>
        <w:rPr>
          <w:rFonts w:ascii="Lato" w:hAnsi="Lato" w:cs="Lato"/>
          <w:b/>
          <w:i w:val="0"/>
          <w:color w:val="00648B"/>
          <w:sz w:val="23"/>
        </w:rPr>
        <w:t>15. ICOW / Book Debts naming + computer-breakdown signpost</w:t>
      </w:r>
    </w:p>
    <w:tbl>
      <w:tblPr>
        <w:tblW w:type="dxa" w:w="10206"/>
        <w:jc w:val="center"/>
        <w:tblBorders>
          <w:top w:val="single" w:sz="4" w:space="0" w:color="D6DCE0"/>
          <w:left w:val="single" w:sz="4" w:space="0" w:color="D6DCE0"/>
          <w:bottom w:val="single" w:sz="4" w:space="0" w:color="D6DCE0"/>
          <w:right w:val="single" w:sz="4" w:space="0" w:color="D6DCE0"/>
          <w:insideH w:val="single" w:sz="4" w:space="0" w:color="D6DCE0"/>
          <w:insideV w:val="single" w:sz="4" w:space="0" w:color="D6DCE0"/>
        </w:tblBorders>
        <w:tblLayout w:type="fixed"/>
        <w:tblLook w:firstColumn="1" w:firstRow="1" w:lastColumn="0" w:lastRow="0" w:noHBand="0" w:noVBand="1" w:val="04A0"/>
      </w:tblPr>
      <w:tblGrid>
        <w:gridCol w:w="2268"/>
        <w:gridCol w:w="7938"/>
      </w:tblGrid>
      <w:tr>
        <w:tc>
          <w:tcPr>
            <w:tcW w:type="dxa" w:w="2268"/>
            <w:shd w:val="clear" w:color="auto" w:fill="00648B"/>
          </w:tcPr>
          <w:p>
            <w:pPr>
              <w:spacing w:after="20" w:before="0"/>
              <w:jc w:val="center"/>
            </w:pPr>
            <w:r/>
            <w:r>
              <w:rPr>
                <w:rFonts w:ascii="Lato" w:hAnsi="Lato" w:cs="Lato"/>
                <w:b/>
                <w:i w:val="0"/>
                <w:color w:val="FFFFFF"/>
                <w:sz w:val="17"/>
              </w:rPr>
              <w:t>Field</w:t>
            </w:r>
          </w:p>
        </w:tc>
        <w:tc>
          <w:tcPr>
            <w:tcW w:type="dxa" w:w="7937"/>
            <w:shd w:val="clear" w:color="auto" w:fill="00648B"/>
          </w:tcPr>
          <w:p>
            <w:pPr>
              <w:spacing w:after="20" w:before="0"/>
              <w:jc w:val="center"/>
            </w:pPr>
            <w:r/>
            <w:r>
              <w:rPr>
                <w:rFonts w:ascii="Lato" w:hAnsi="Lato" w:cs="Lato"/>
                <w:b/>
                <w:i w:val="0"/>
                <w:color w:val="FFFFFF"/>
                <w:sz w:val="17"/>
              </w:rPr>
              <w:t>Detail</w:t>
            </w:r>
          </w:p>
        </w:tc>
      </w:tr>
      <w:tr>
        <w:tc>
          <w:tcPr>
            <w:tcW w:type="dxa" w:w="2268"/>
          </w:tcPr>
          <w:p>
            <w:pPr>
              <w:spacing w:after="20" w:before="0"/>
            </w:pPr>
            <w:r/>
            <w:r>
              <w:rPr>
                <w:rFonts w:ascii="Lato" w:hAnsi="Lato" w:cs="Lato"/>
                <w:b/>
                <w:i w:val="0"/>
                <w:color w:val="00648B"/>
                <w:sz w:val="16"/>
              </w:rPr>
              <w:t>Competitor(s) broader/better</w:t>
            </w:r>
          </w:p>
        </w:tc>
        <w:tc>
          <w:tcPr>
            <w:tcW w:type="dxa" w:w="7938"/>
          </w:tcPr>
          <w:p>
            <w:pPr>
              <w:spacing w:after="20" w:before="0"/>
            </w:pPr>
            <w:r/>
            <w:r>
              <w:rPr>
                <w:rFonts w:ascii="Lato" w:hAnsi="Lato" w:cs="Lato"/>
                <w:b w:val="0"/>
                <w:i w:val="0"/>
                <w:color w:val="2B2F33"/>
                <w:sz w:val="16"/>
              </w:rPr>
              <w:t>Allianz (names ICOW/Book Debts); Yutree (Computer Breakdown section)</w:t>
            </w:r>
          </w:p>
        </w:tc>
      </w:tr>
      <w:tr>
        <w:tc>
          <w:tcPr>
            <w:tcW w:type="dxa" w:w="2268"/>
          </w:tcPr>
          <w:p>
            <w:pPr>
              <w:spacing w:after="20" w:before="0"/>
            </w:pPr>
            <w:r/>
            <w:r>
              <w:rPr>
                <w:rFonts w:ascii="Lato" w:hAnsi="Lato" w:cs="Lato"/>
                <w:b/>
                <w:i w:val="0"/>
                <w:color w:val="00648B"/>
                <w:sz w:val="16"/>
              </w:rPr>
              <w:t>TMHCC current position</w:t>
            </w:r>
          </w:p>
        </w:tc>
        <w:tc>
          <w:tcPr>
            <w:tcW w:type="dxa" w:w="7938"/>
          </w:tcPr>
          <w:p>
            <w:pPr>
              <w:spacing w:after="20" w:before="0"/>
            </w:pPr>
            <w:r/>
            <w:r>
              <w:rPr>
                <w:rFonts w:ascii="Lato" w:hAnsi="Lato" w:cs="Lato"/>
                <w:b w:val="0"/>
                <w:i w:val="0"/>
                <w:color w:val="2B2F33"/>
                <w:sz w:val="16"/>
              </w:rPr>
              <w:t>BI (S3) covers ICOW/AICOW &amp; book debts; IT/computer breakdown consolidated within S1/S2.</w:t>
            </w:r>
          </w:p>
        </w:tc>
      </w:tr>
      <w:tr>
        <w:tc>
          <w:tcPr>
            <w:tcW w:type="dxa" w:w="2268"/>
          </w:tcPr>
          <w:p>
            <w:pPr>
              <w:spacing w:after="20" w:before="0"/>
            </w:pPr>
            <w:r/>
            <w:r>
              <w:rPr>
                <w:rFonts w:ascii="Lato" w:hAnsi="Lato" w:cs="Lato"/>
                <w:b/>
                <w:i w:val="0"/>
                <w:color w:val="00648B"/>
                <w:sz w:val="16"/>
              </w:rPr>
              <w:t>Why this matters</w:t>
            </w:r>
          </w:p>
        </w:tc>
        <w:tc>
          <w:tcPr>
            <w:tcW w:type="dxa" w:w="7938"/>
          </w:tcPr>
          <w:p>
            <w:pPr>
              <w:spacing w:after="20" w:before="0"/>
            </w:pPr>
            <w:r/>
            <w:r>
              <w:rPr>
                <w:rFonts w:ascii="Lato" w:hAnsi="Lato" w:cs="Lato"/>
                <w:b w:val="0"/>
                <w:i w:val="0"/>
                <w:color w:val="2B2F33"/>
                <w:sz w:val="16"/>
              </w:rPr>
              <w:t>Presentational — competitors show more named heads; avoids perceived gaps.</w:t>
            </w:r>
          </w:p>
        </w:tc>
      </w:tr>
      <w:tr>
        <w:tc>
          <w:tcPr>
            <w:tcW w:type="dxa" w:w="2268"/>
          </w:tcPr>
          <w:p>
            <w:pPr>
              <w:spacing w:after="20" w:before="0"/>
            </w:pPr>
            <w:r/>
            <w:r>
              <w:rPr>
                <w:rFonts w:ascii="Lato" w:hAnsi="Lato" w:cs="Lato"/>
                <w:b/>
                <w:i w:val="0"/>
                <w:color w:val="00648B"/>
                <w:sz w:val="16"/>
              </w:rPr>
              <w:t>Recommended action</w:t>
            </w:r>
          </w:p>
        </w:tc>
        <w:tc>
          <w:tcPr>
            <w:tcW w:type="dxa" w:w="7938"/>
          </w:tcPr>
          <w:p>
            <w:pPr>
              <w:spacing w:after="20" w:before="0"/>
            </w:pPr>
            <w:r/>
            <w:r>
              <w:rPr>
                <w:rFonts w:ascii="Lato" w:hAnsi="Lato" w:cs="Lato"/>
                <w:b w:val="0"/>
                <w:i w:val="0"/>
                <w:color w:val="2B2F33"/>
                <w:sz w:val="16"/>
              </w:rPr>
              <w:t>'Accounts Receivable' re-labelled '(Book Debts)' (done). Confirm/signpost computer-breakdown within S1/S2.</w:t>
            </w:r>
          </w:p>
        </w:tc>
      </w:tr>
      <w:tr>
        <w:tc>
          <w:tcPr>
            <w:tcW w:type="dxa" w:w="2268"/>
          </w:tcPr>
          <w:p>
            <w:pPr>
              <w:spacing w:after="20" w:before="0"/>
            </w:pPr>
            <w:r/>
            <w:r>
              <w:rPr>
                <w:rFonts w:ascii="Lato" w:hAnsi="Lato" w:cs="Lato"/>
                <w:b/>
                <w:i w:val="0"/>
                <w:color w:val="00648B"/>
                <w:sz w:val="16"/>
              </w:rPr>
              <w:t>Exact policy location</w:t>
            </w:r>
          </w:p>
        </w:tc>
        <w:tc>
          <w:tcPr>
            <w:tcW w:type="dxa" w:w="7938"/>
          </w:tcPr>
          <w:p>
            <w:pPr>
              <w:spacing w:after="20" w:before="0"/>
            </w:pPr>
            <w:r/>
            <w:r>
              <w:rPr>
                <w:rFonts w:ascii="Lato" w:hAnsi="Lato" w:cs="Lato"/>
                <w:b w:val="0"/>
                <w:i w:val="0"/>
                <w:color w:val="2B2F33"/>
                <w:sz w:val="16"/>
              </w:rPr>
              <w:t>Section 3 (Definitions / Basis of Settlement) and Sections 1/2.</w:t>
            </w:r>
          </w:p>
        </w:tc>
      </w:tr>
      <w:tr>
        <w:tc>
          <w:tcPr>
            <w:tcW w:type="dxa" w:w="2268"/>
          </w:tcPr>
          <w:p>
            <w:pPr>
              <w:spacing w:after="20" w:before="0"/>
            </w:pPr>
            <w:r/>
            <w:r>
              <w:rPr>
                <w:rFonts w:ascii="Lato" w:hAnsi="Lato" w:cs="Lato"/>
                <w:b/>
                <w:i w:val="0"/>
                <w:color w:val="00648B"/>
                <w:sz w:val="16"/>
              </w:rPr>
              <w:t>Automatic / optional / schedule</w:t>
            </w:r>
          </w:p>
        </w:tc>
        <w:tc>
          <w:tcPr>
            <w:tcW w:type="dxa" w:w="7938"/>
          </w:tcPr>
          <w:p>
            <w:pPr>
              <w:spacing w:after="20" w:before="0"/>
            </w:pPr>
            <w:r/>
            <w:r>
              <w:rPr>
                <w:rFonts w:ascii="Lato" w:hAnsi="Lato" w:cs="Lato"/>
                <w:b w:val="0"/>
                <w:i w:val="0"/>
                <w:color w:val="2B2F33"/>
                <w:sz w:val="16"/>
              </w:rPr>
              <w:t>Automatic (labelling/clarification)</w:t>
            </w:r>
          </w:p>
        </w:tc>
      </w:tr>
      <w:tr>
        <w:tc>
          <w:tcPr>
            <w:tcW w:type="dxa" w:w="2268"/>
          </w:tcPr>
          <w:p>
            <w:pPr>
              <w:spacing w:after="20" w:before="0"/>
            </w:pPr>
            <w:r/>
            <w:r>
              <w:rPr>
                <w:rFonts w:ascii="Lato" w:hAnsi="Lato" w:cs="Lato"/>
                <w:b/>
                <w:i w:val="0"/>
                <w:color w:val="00648B"/>
                <w:sz w:val="16"/>
              </w:rPr>
              <w:t>Underwriting risk</w:t>
            </w:r>
          </w:p>
        </w:tc>
        <w:tc>
          <w:tcPr>
            <w:tcW w:type="dxa" w:w="7938"/>
          </w:tcPr>
          <w:p>
            <w:pPr>
              <w:spacing w:after="20" w:before="0"/>
            </w:pPr>
            <w:r/>
            <w:r>
              <w:rPr>
                <w:rFonts w:ascii="Lato" w:hAnsi="Lato" w:cs="Lato"/>
                <w:b w:val="0"/>
                <w:i w:val="0"/>
                <w:color w:val="2B2F33"/>
                <w:sz w:val="16"/>
              </w:rPr>
              <w:t>Low — clarification, not broadening.</w:t>
            </w:r>
          </w:p>
        </w:tc>
      </w:tr>
      <w:tr>
        <w:tc>
          <w:tcPr>
            <w:tcW w:type="dxa" w:w="2268"/>
          </w:tcPr>
          <w:p>
            <w:pPr>
              <w:spacing w:after="20" w:before="0"/>
            </w:pPr>
            <w:r/>
            <w:r>
              <w:rPr>
                <w:rFonts w:ascii="Lato" w:hAnsi="Lato" w:cs="Lato"/>
                <w:b/>
                <w:i w:val="0"/>
                <w:color w:val="00648B"/>
                <w:sz w:val="16"/>
              </w:rPr>
              <w:t>Claims risk</w:t>
            </w:r>
          </w:p>
        </w:tc>
        <w:tc>
          <w:tcPr>
            <w:tcW w:type="dxa" w:w="7938"/>
          </w:tcPr>
          <w:p>
            <w:pPr>
              <w:spacing w:after="20" w:before="0"/>
            </w:pPr>
            <w:r/>
            <w:r>
              <w:rPr>
                <w:rFonts w:ascii="Lato" w:hAnsi="Lato" w:cs="Lato"/>
                <w:b w:val="0"/>
                <w:i w:val="0"/>
                <w:color w:val="2B2F33"/>
                <w:sz w:val="16"/>
              </w:rPr>
              <w:t>Neutral.</w:t>
            </w:r>
          </w:p>
        </w:tc>
      </w:tr>
      <w:tr>
        <w:tc>
          <w:tcPr>
            <w:tcW w:type="dxa" w:w="2268"/>
          </w:tcPr>
          <w:p>
            <w:pPr>
              <w:spacing w:after="20" w:before="0"/>
            </w:pPr>
            <w:r/>
            <w:r>
              <w:rPr>
                <w:rFonts w:ascii="Lato" w:hAnsi="Lato" w:cs="Lato"/>
                <w:b/>
                <w:i w:val="0"/>
                <w:color w:val="00648B"/>
                <w:sz w:val="16"/>
              </w:rPr>
              <w:t>Priority</w:t>
            </w:r>
          </w:p>
        </w:tc>
        <w:tc>
          <w:tcPr>
            <w:tcW w:type="dxa" w:w="7938"/>
          </w:tcPr>
          <w:p>
            <w:pPr>
              <w:spacing w:after="20" w:before="0"/>
            </w:pPr>
            <w:r/>
            <w:r>
              <w:rPr>
                <w:rFonts w:ascii="Lato" w:hAnsi="Lato" w:cs="Lato"/>
                <w:b/>
                <w:i w:val="0"/>
                <w:color w:val="2B2F33"/>
                <w:sz w:val="16"/>
              </w:rPr>
              <w:t>Low-Medium</w:t>
            </w:r>
          </w:p>
        </w:tc>
      </w:tr>
      <w:tr>
        <w:tc>
          <w:tcPr>
            <w:tcW w:type="dxa" w:w="2268"/>
          </w:tcPr>
          <w:p>
            <w:pPr>
              <w:spacing w:after="20" w:before="0"/>
            </w:pPr>
            <w:r/>
            <w:r>
              <w:rPr>
                <w:rFonts w:ascii="Lato" w:hAnsi="Lato" w:cs="Lato"/>
                <w:b/>
                <w:i w:val="0"/>
                <w:color w:val="00648B"/>
                <w:sz w:val="16"/>
              </w:rPr>
              <w:t>Sign-off required</w:t>
            </w:r>
          </w:p>
        </w:tc>
        <w:tc>
          <w:tcPr>
            <w:tcW w:type="dxa" w:w="7938"/>
          </w:tcPr>
          <w:p>
            <w:pPr>
              <w:spacing w:after="20" w:before="0"/>
            </w:pPr>
            <w:r/>
            <w:r>
              <w:rPr>
                <w:rFonts w:ascii="Lato" w:hAnsi="Lato" w:cs="Lato"/>
                <w:b w:val="0"/>
                <w:i w:val="0"/>
                <w:color w:val="2B2F33"/>
                <w:sz w:val="16"/>
              </w:rPr>
              <w:t>Confirm S3 scope and S1/S2 breakdown; headings only.</w:t>
            </w:r>
          </w:p>
        </w:tc>
      </w:tr>
      <w:tr>
        <w:tc>
          <w:tcPr>
            <w:tcW w:type="dxa" w:w="2268"/>
          </w:tcPr>
          <w:p>
            <w:pPr>
              <w:spacing w:after="20" w:before="0"/>
            </w:pPr>
            <w:r/>
            <w:r>
              <w:rPr>
                <w:rFonts w:ascii="Lato" w:hAnsi="Lato" w:cs="Lato"/>
                <w:b/>
                <w:i w:val="0"/>
                <w:color w:val="00648B"/>
                <w:sz w:val="16"/>
              </w:rPr>
              <w:t>Status</w:t>
            </w:r>
          </w:p>
        </w:tc>
        <w:tc>
          <w:tcPr>
            <w:tcW w:type="dxa" w:w="7938"/>
          </w:tcPr>
          <w:p>
            <w:pPr>
              <w:spacing w:after="20" w:before="0"/>
            </w:pPr>
            <w:r/>
            <w:r>
              <w:rPr>
                <w:rFonts w:ascii="Lato" w:hAnsi="Lato" w:cs="Lato"/>
                <w:b/>
                <w:i w:val="0"/>
                <w:color w:val="2B2F33"/>
                <w:sz w:val="16"/>
              </w:rPr>
              <w:t>PARTLY DONE (Book Debts relabel) / clarify breakdown signpost</w:t>
            </w:r>
          </w:p>
        </w:tc>
      </w:tr>
    </w:tbl>
    <w:tbl>
      <w:tblPr>
        <w:tblW w:type="pct" w:w="5000"/>
        <w:tblLayout w:type="fixed"/>
        <w:tblLook w:firstColumn="1" w:firstRow="1" w:lastColumn="0" w:lastRow="0" w:noHBand="0" w:noVBand="1" w:val="04A0"/>
      </w:tblPr>
      <w:tblGrid>
        <w:gridCol w:w="9866"/>
      </w:tblGrid>
      <w:tr>
        <w:tc>
          <w:tcPr>
            <w:tcW w:type="dxa" w:w="9866"/>
            <w:shd w:val="clear" w:color="auto" w:fill="F4F7F9"/>
            <w:tcBorders>
              <w:top w:val="single" w:sz="4" w:space="0" w:color="00648B"/>
              <w:left w:val="single" w:sz="22" w:space="0" w:color="00648B"/>
              <w:bottom w:val="single" w:sz="4" w:space="0" w:color="00648B"/>
              <w:right w:val="single" w:sz="4" w:space="0" w:color="00648B"/>
            </w:tcBorders>
          </w:tcPr>
          <w:p>
            <w:pPr>
              <w:spacing w:after="40" w:before="40"/>
            </w:pPr>
            <w:r/>
            <w:r>
              <w:rPr>
                <w:rFonts w:ascii="Lato" w:hAnsi="Lato" w:cs="Lato"/>
                <w:b/>
                <w:i w:val="0"/>
                <w:color w:val="00648B"/>
                <w:sz w:val="19"/>
              </w:rPr>
              <w:t xml:space="preserve">Copy-paste-ready proposed wording:  </w:t>
            </w:r>
            <w:r>
              <w:rPr>
                <w:rFonts w:ascii="Lato" w:hAnsi="Lato" w:cs="Lato"/>
                <w:b w:val="0"/>
                <w:i w:val="0"/>
                <w:color w:val="2B2F33"/>
                <w:sz w:val="19"/>
              </w:rPr>
              <w:t>(Relabel implemented; add an explicit 'computer/IT breakdown' signpost within S1/S2 if confirmed in scope.)</w:t>
            </w:r>
          </w:p>
        </w:tc>
      </w:tr>
    </w:tbl>
    <w:p>
      <w:pPr>
        <w:spacing w:after="80"/>
      </w:pPr>
    </w:p>
    <w:p>
      <w:pPr>
        <w:spacing w:after="120"/>
      </w:pPr>
    </w:p>
    <w:p>
      <w:pPr>
        <w:keepNext/>
        <w:spacing w:before="280" w:after="40"/>
        <w:pBdr>
          <w:bottom w:val="single" w:sz="8" w:space="2" w:color="B88A3C"/>
        </w:pBdr>
      </w:pPr>
      <w:r>
        <w:rPr>
          <w:rFonts w:ascii="Lato" w:hAnsi="Lato" w:cs="Lato"/>
          <w:b/>
          <w:i w:val="0"/>
          <w:color w:val="00648B"/>
          <w:sz w:val="30"/>
        </w:rPr>
        <w:t>Strategic note</w:t>
      </w:r>
    </w:p>
    <w:p>
      <w:pPr>
        <w:spacing w:after="80" w:before="0"/>
      </w:pPr>
      <w:r>
        <w:rPr>
          <w:rFonts w:ascii="Lato" w:hAnsi="Lato" w:cs="Lato"/>
          <w:b w:val="0"/>
          <w:i w:val="0"/>
          <w:color w:val="2B2F33"/>
          <w:sz w:val="19"/>
        </w:rPr>
        <w:t>The objective is to make TMHCC demonstrably broader and more holistic WHERE COMMERCIALLY SENSIBLE — not to mirror competitors blindly. TMHCC already leads on section count and on four unique sections (Loss of Licence, Legal Expenses, Management Liability, standalone Cyber). The recommendations above close the genuine, wording-supported narrower points (abuse, jurisdiction, S12 extensions, PA). Patents and the default ex-US/Canada jurisdiction are retained deliberately. Every implemented item remains a tracked change pending underwriting/legal sign-off; parked items carry proposed wording for consideration.</w:t>
      </w:r>
    </w:p>
    <w:sectPr w:rsidR="00FC693F" w:rsidRPr="0006063C" w:rsidSect="00034616">
      <w:headerReference w:type="default" r:id="rId9"/>
      <w:footerReference w:type="default" r:id="rId10"/>
      <w:pgSz w:w="11906" w:h="16838"/>
      <w:pgMar w:top="1020" w:right="1020" w:bottom="1020" w:left="1020"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
      <w:rPr>
        <w:rFonts w:ascii="Lato" w:hAnsi="Lato" w:cs="Lato"/>
        <w:b w:val="0"/>
        <w:i/>
        <w:color w:val="AEB4B8"/>
        <w:sz w:val="13"/>
      </w:rPr>
      <w:t>Phase 05 — gap-fill strategy. Copy-paste wording is PROPOSED and subject to TMHCC legal/underwriting sign-off. 'Implemented as tracked change' = present in the Full Redline but NOT accepted.</w:t>
    </w:r>
  </w:p>
  <w:p>
    <w:pPr>
      <w:jc w:val="center"/>
    </w:pPr>
    <w:r>
      <w:rPr>
        <w:rFonts w:ascii="Lato" w:hAnsi="Lato" w:cs="Lato"/>
        <w:b w:val="0"/>
        <w:i w:val="0"/>
        <w:color w:val="6C7378"/>
        <w:sz w:val="15"/>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tbl>
    <w:tblPr>
      <w:tblW w:type="pct" w:w="5000"/>
      <w:jc w:val="center"/>
      <w:tblBorders>
        <w:top w:val="none"/>
        <w:left w:val="none"/>
        <w:bottom w:val="none"/>
        <w:right w:val="none"/>
        <w:insideH w:val="none"/>
        <w:insideV w:val="none"/>
      </w:tblBorders>
      <w:tblLayout w:type="fixed"/>
      <w:tblLook w:firstColumn="1" w:firstRow="1" w:lastColumn="0" w:lastRow="0" w:noHBand="0" w:noVBand="1" w:val="04A0"/>
    </w:tblPr>
    <w:tblGrid>
      <w:gridCol w:w="4933"/>
      <w:gridCol w:w="4933"/>
    </w:tblGrid>
    <w:tr>
      <w:tc>
        <w:tcPr>
          <w:tcW w:type="dxa" w:w="7301"/>
          <w:vAlign w:val="center"/>
        </w:tcPr>
        <w:p>
          <w:pPr>
            <w:spacing w:after="0"/>
          </w:pPr>
          <w:r>
            <w:rPr>
              <w:rFonts w:ascii="Lato" w:hAnsi="Lato" w:cs="Lato"/>
              <w:b/>
              <w:i w:val="0"/>
              <w:color w:val="6C7378"/>
              <w:sz w:val="16"/>
            </w:rPr>
            <w:t>TMHCC Media &amp; Music Combined — Gap-Fill Strategy</w:t>
          </w:r>
        </w:p>
      </w:tc>
      <w:tc>
        <w:tcPr>
          <w:tcW w:type="dxa" w:w="2565"/>
        </w:tcPr>
        <w:p>
          <w:pPr>
            <w:jc w:val="right"/>
          </w:pPr>
          <w:r>
            <w:drawing>
              <wp:inline xmlns:a="http://schemas.openxmlformats.org/drawingml/2006/main" xmlns:pic="http://schemas.openxmlformats.org/drawingml/2006/picture">
                <wp:extent cx="329906" cy="306000"/>
                <wp:docPr id="1" name="Picture 1"/>
                <wp:cNvGraphicFramePr>
                  <a:graphicFrameLocks noChangeAspect="1"/>
                </wp:cNvGraphicFramePr>
                <a:graphic>
                  <a:graphicData uri="http://schemas.openxmlformats.org/drawingml/2006/picture">
                    <pic:pic>
                      <pic:nvPicPr>
                        <pic:cNvPr id="0" name="tmhcc_logo.png"/>
                        <pic:cNvPicPr/>
                      </pic:nvPicPr>
                      <pic:blipFill>
                        <a:blip r:embed="rId1"/>
                        <a:stretch>
                          <a:fillRect/>
                        </a:stretch>
                      </pic:blipFill>
                      <pic:spPr>
                        <a:xfrm>
                          <a:off x="0" y="0"/>
                          <a:ext cx="329906" cy="306000"/>
                        </a:xfrm>
                        <a:prstGeom prst="rect"/>
                      </pic:spPr>
                    </pic:pic>
                  </a:graphicData>
                </a:graphic>
              </wp:inline>
            </w:drawing>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Lato" w:hAnsi="Lato" w:cs="Lato"/>
      <w:color w:val="2B2F3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