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left"/>
      </w:pPr>
      <w:r>
        <w:drawing>
          <wp:inline xmlns:a="http://schemas.openxmlformats.org/drawingml/2006/main" xmlns:pic="http://schemas.openxmlformats.org/drawingml/2006/picture">
            <wp:extent cx="582188" cy="540000"/>
            <wp:docPr id="1" name="Picture 1"/>
            <wp:cNvGraphicFramePr>
              <a:graphicFrameLocks noChangeAspect="1"/>
            </wp:cNvGraphicFramePr>
            <a:graphic>
              <a:graphicData uri="http://schemas.openxmlformats.org/drawingml/2006/picture">
                <pic:pic>
                  <pic:nvPicPr>
                    <pic:cNvPr id="0" name="tmhcc_logo.png"/>
                    <pic:cNvPicPr/>
                  </pic:nvPicPr>
                  <pic:blipFill>
                    <a:blip r:embed="rId11"/>
                    <a:stretch>
                      <a:fillRect/>
                    </a:stretch>
                  </pic:blipFill>
                  <pic:spPr>
                    <a:xfrm>
                      <a:off x="0" y="0"/>
                      <a:ext cx="582188" cy="540000"/>
                    </a:xfrm>
                    <a:prstGeom prst="rect"/>
                  </pic:spPr>
                </pic:pic>
              </a:graphicData>
            </a:graphic>
          </wp:inline>
        </w:drawing>
      </w:r>
    </w:p>
    <w:p>
      <w:pPr>
        <w:spacing w:after="600"/>
      </w:pPr>
    </w:p>
    <w:p>
      <w:pPr>
        <w:spacing w:after="40"/>
      </w:pPr>
      <w:r>
        <w:rPr>
          <w:rFonts w:ascii="Lato" w:hAnsi="Lato" w:cs="Lato"/>
          <w:b/>
          <w:i w:val="0"/>
          <w:color w:val="B88A3C"/>
          <w:sz w:val="22"/>
          <w:caps w:val="true"/>
        </w:rPr>
        <w:t>Phase 03 · Legal Review (Reset)</w:t>
      </w:r>
    </w:p>
    <w:p>
      <w:pPr>
        <w:spacing w:after="80"/>
        <w:pBdr>
          <w:bottom w:val="single" w:sz="14" w:space="2" w:color="B88A3C"/>
        </w:pBdr>
      </w:pPr>
      <w:r>
        <w:rPr>
          <w:rFonts w:ascii="Lato" w:hAnsi="Lato" w:cs="Lato"/>
          <w:b/>
          <w:i w:val="0"/>
          <w:color w:val="00648B"/>
          <w:sz w:val="60"/>
        </w:rPr>
        <w:t>Six-Insurer Legal Competitor Review</w:t>
      </w:r>
    </w:p>
    <w:p>
      <w:pPr>
        <w:spacing w:after="280" w:before="120"/>
      </w:pPr>
      <w:r>
        <w:rPr>
          <w:rFonts w:ascii="Lato" w:hAnsi="Lato" w:cs="Lato"/>
          <w:b w:val="0"/>
          <w:i w:val="0"/>
          <w:color w:val="2B2F33"/>
          <w:sz w:val="26"/>
        </w:rPr>
        <w:t>A fresh, granular legal review — benchmarked by the abuse/Tysers issue the prior review missed</w:t>
      </w:r>
    </w:p>
    <w:p>
      <w:pPr>
        <w:keepNext/>
        <w:spacing w:before="120" w:after="20"/>
      </w:pPr>
      <w:r>
        <w:rPr>
          <w:rFonts w:ascii="Lato" w:hAnsi="Lato" w:cs="Lato"/>
          <w:b/>
          <w:i w:val="0"/>
          <w:color w:val="B88A3C"/>
          <w:sz w:val="20"/>
        </w:rPr>
        <w:t>Wordings reviewed</w:t>
      </w:r>
    </w:p>
    <w:p>
      <w:pPr>
        <w:pStyle w:val="ListBullet"/>
        <w:spacing w:after="40"/>
        <w:ind w:left="340"/>
      </w:pPr>
      <w:r>
        <w:rPr>
          <w:rFonts w:ascii="Lato" w:hAnsi="Lato" w:cs="Lato"/>
          <w:b w:val="0"/>
          <w:i w:val="0"/>
          <w:color w:val="2B2F33"/>
          <w:sz w:val="19"/>
        </w:rPr>
        <w:t>Tokio Marine HCC — Media &amp; Music Combined</w:t>
      </w:r>
    </w:p>
    <w:p>
      <w:pPr>
        <w:pStyle w:val="ListBullet"/>
        <w:spacing w:after="40"/>
        <w:ind w:left="340"/>
      </w:pPr>
      <w:r>
        <w:rPr>
          <w:rFonts w:ascii="Lato" w:hAnsi="Lato" w:cs="Lato"/>
          <w:b w:val="0"/>
          <w:i w:val="0"/>
          <w:color w:val="2B2F33"/>
          <w:sz w:val="19"/>
        </w:rPr>
        <w:t>Tysers “Focus” Combined ‘All Risks’ Media policy</w:t>
      </w:r>
    </w:p>
    <w:p>
      <w:pPr>
        <w:pStyle w:val="ListBullet"/>
        <w:spacing w:after="40"/>
        <w:ind w:left="340"/>
      </w:pPr>
      <w:r>
        <w:rPr>
          <w:rFonts w:ascii="Lato" w:hAnsi="Lato" w:cs="Lato"/>
          <w:b w:val="0"/>
          <w:i w:val="0"/>
          <w:color w:val="2B2F33"/>
          <w:sz w:val="19"/>
        </w:rPr>
        <w:t>Media &amp; Entertainment by Yutree</w:t>
      </w:r>
    </w:p>
    <w:p>
      <w:pPr>
        <w:pStyle w:val="ListBullet"/>
        <w:spacing w:after="40"/>
        <w:ind w:left="340"/>
      </w:pPr>
      <w:r>
        <w:rPr>
          <w:rFonts w:ascii="Lato" w:hAnsi="Lato" w:cs="Lato"/>
          <w:b w:val="0"/>
          <w:i w:val="0"/>
          <w:color w:val="2B2F33"/>
          <w:sz w:val="19"/>
        </w:rPr>
        <w:t>Liberty Entertainment Combined Policy</w:t>
      </w:r>
    </w:p>
    <w:p>
      <w:pPr>
        <w:pStyle w:val="ListBullet"/>
        <w:spacing w:after="40"/>
        <w:ind w:left="340"/>
      </w:pPr>
      <w:r>
        <w:rPr>
          <w:rFonts w:ascii="Lato" w:hAnsi="Lato" w:cs="Lato"/>
          <w:b w:val="0"/>
          <w:i w:val="0"/>
          <w:color w:val="2B2F33"/>
          <w:sz w:val="19"/>
        </w:rPr>
        <w:t>Allianz Entertainment ‘Complete’ Policy</w:t>
      </w:r>
    </w:p>
    <w:p>
      <w:pPr>
        <w:pStyle w:val="ListBullet"/>
        <w:spacing w:after="40"/>
        <w:ind w:left="340"/>
      </w:pPr>
      <w:r>
        <w:rPr>
          <w:rFonts w:ascii="Lato" w:hAnsi="Lato" w:cs="Lato"/>
          <w:b w:val="0"/>
          <w:i w:val="0"/>
          <w:color w:val="2B2F33"/>
          <w:sz w:val="19"/>
        </w:rPr>
        <w:t>AXA XL Media &amp; Entertainment Combined Corporate (Crisis Management &amp; Special Risks)</w:t>
      </w:r>
    </w:p>
    <w:p>
      <w:pPr>
        <w:pStyle w:val="ListBullet"/>
        <w:spacing w:after="40"/>
        <w:ind w:left="340"/>
      </w:pPr>
      <w:r>
        <w:rPr>
          <w:rFonts w:ascii="Lato" w:hAnsi="Lato" w:cs="Lato"/>
          <w:b w:val="0"/>
          <w:i w:val="0"/>
          <w:color w:val="2B2F33"/>
          <w:sz w:val="19"/>
        </w:rPr>
        <w:t>Entertainment Elite Policy (v3.2)</w:t>
      </w:r>
    </w:p>
    <w:p>
      <w:pPr>
        <w:spacing w:after="200"/>
      </w:pPr>
    </w:p>
    <w:p>
      <w:pPr>
        <w:spacing w:after="60" w:before="0"/>
      </w:pPr>
      <w:r>
        <w:rPr>
          <w:rFonts w:ascii="Lato" w:hAnsi="Lato" w:cs="Lato"/>
          <w:b w:val="0"/>
          <w:i/>
          <w:color w:val="6C7378"/>
          <w:sz w:val="17"/>
        </w:rPr>
        <w:t>Reviewed by LEGAL EFFECT and coverage function, not by heading. Where a clause could not be verified it is marked '? requires review' rather than assumed.</w:t>
      </w:r>
    </w:p>
    <w:p>
      <w:pPr>
        <w:spacing w:after="60" w:before="0"/>
      </w:pPr>
      <w:r>
        <w:rPr>
          <w:rFonts w:ascii="Lato" w:hAnsi="Lato" w:cs="Lato"/>
          <w:b w:val="0"/>
          <w:i/>
          <w:color w:val="6C7378"/>
          <w:sz w:val="17"/>
        </w:rPr>
        <w:t>Dedicated Abuse / Safeguarding / Molestation section (TMHCC vs Tysers and all competitors).</w:t>
      </w:r>
    </w:p>
    <w:p>
      <w:pPr>
        <w:spacing w:after="60" w:before="0"/>
      </w:pPr>
      <w:r>
        <w:rPr>
          <w:rFonts w:ascii="Lato" w:hAnsi="Lato" w:cs="Lato"/>
          <w:b w:val="0"/>
          <w:i/>
          <w:color w:val="6C7378"/>
          <w:sz w:val="17"/>
        </w:rPr>
        <w:t>No cover invented; no exclusion or restriction softened.</w:t>
      </w:r>
    </w:p>
    <w:p>
      <w:r>
        <w:br w:type="page"/>
      </w:r>
    </w:p>
    <w:p>
      <w:pPr>
        <w:spacing w:after="120"/>
      </w:pPr>
      <w:r>
        <w:rPr>
          <w:rFonts w:ascii="Lato" w:hAnsi="Lato" w:cs="Lato"/>
          <w:b/>
          <w:i w:val="0"/>
          <w:color w:val="1B7A3D"/>
          <w:sz w:val="19"/>
        </w:rPr>
        <w:t xml:space="preserve">✓ </w:t>
      </w:r>
      <w:r>
        <w:rPr>
          <w:rFonts w:ascii="Lato" w:hAnsi="Lato" w:cs="Lato"/>
          <w:b w:val="0"/>
          <w:i w:val="0"/>
          <w:color w:val="6C7378"/>
          <w:sz w:val="17"/>
        </w:rPr>
        <w:t>Covered</w:t>
      </w:r>
      <w:r>
        <w:rPr>
          <w:rFonts w:ascii="Lato" w:hAnsi="Lato" w:cs="Lato"/>
          <w:b w:val="0"/>
          <w:i w:val="0"/>
          <w:color w:val="AEB4B8"/>
          <w:sz w:val="17"/>
        </w:rPr>
        <w:t xml:space="preserve">     </w:t>
      </w:r>
      <w:r>
        <w:rPr>
          <w:rFonts w:ascii="Lato" w:hAnsi="Lato" w:cs="Lato"/>
          <w:b/>
          <w:i w:val="0"/>
          <w:color w:val="8A6A1E"/>
          <w:sz w:val="19"/>
        </w:rPr>
        <w:t xml:space="preserve">◐ </w:t>
      </w:r>
      <w:r>
        <w:rPr>
          <w:rFonts w:ascii="Lato" w:hAnsi="Lato" w:cs="Lato"/>
          <w:b w:val="0"/>
          <w:i w:val="0"/>
          <w:color w:val="6C7378"/>
          <w:sz w:val="17"/>
        </w:rPr>
        <w:t>Partial / conditional / sub-limit</w:t>
      </w:r>
      <w:r>
        <w:rPr>
          <w:rFonts w:ascii="Lato" w:hAnsi="Lato" w:cs="Lato"/>
          <w:b w:val="0"/>
          <w:i w:val="0"/>
          <w:color w:val="AEB4B8"/>
          <w:sz w:val="17"/>
        </w:rPr>
        <w:t xml:space="preserve">     </w:t>
      </w:r>
      <w:r>
        <w:rPr>
          <w:rFonts w:ascii="Lato" w:hAnsi="Lato" w:cs="Lato"/>
          <w:b/>
          <w:i w:val="0"/>
          <w:color w:val="A4233B"/>
          <w:sz w:val="19"/>
        </w:rPr>
        <w:t xml:space="preserve">✗ </w:t>
      </w:r>
      <w:r>
        <w:rPr>
          <w:rFonts w:ascii="Lato" w:hAnsi="Lato" w:cs="Lato"/>
          <w:b w:val="0"/>
          <w:i w:val="0"/>
          <w:color w:val="6C7378"/>
          <w:sz w:val="17"/>
        </w:rPr>
        <w:t>Not covered / not identified</w:t>
      </w:r>
      <w:r>
        <w:rPr>
          <w:rFonts w:ascii="Lato" w:hAnsi="Lato" w:cs="Lato"/>
          <w:b w:val="0"/>
          <w:i w:val="0"/>
          <w:color w:val="AEB4B8"/>
          <w:sz w:val="17"/>
        </w:rPr>
        <w:t xml:space="preserve">     </w:t>
      </w:r>
      <w:r>
        <w:rPr>
          <w:rFonts w:ascii="Lato" w:hAnsi="Lato" w:cs="Lato"/>
          <w:b/>
          <w:i w:val="0"/>
          <w:color w:val="5B6166"/>
          <w:sz w:val="19"/>
        </w:rPr>
        <w:t xml:space="preserve">? </w:t>
      </w:r>
      <w:r>
        <w:rPr>
          <w:rFonts w:ascii="Lato" w:hAnsi="Lato" w:cs="Lato"/>
          <w:b w:val="0"/>
          <w:i w:val="0"/>
          <w:color w:val="6C7378"/>
          <w:sz w:val="17"/>
        </w:rPr>
        <w:t>Unclear – requires review</w:t>
      </w:r>
    </w:p>
    <w:tbl>
      <w:tblPr>
        <w:tblW w:type="pct" w:w="5000"/>
        <w:tblLayout w:type="fixed"/>
        <w:tblLook w:firstColumn="1" w:firstRow="1" w:lastColumn="0" w:lastRow="0" w:noHBand="0" w:noVBand="1" w:val="04A0"/>
      </w:tblPr>
      <w:tblGrid>
        <w:gridCol w:w="15250"/>
      </w:tblGrid>
      <w:tr>
        <w:tc>
          <w:tcPr>
            <w:tcW w:type="dxa" w:w="15250"/>
            <w:shd w:val="clear" w:color="auto" w:fill="EAF1F5"/>
            <w:tcBorders>
              <w:top w:val="single" w:sz="4" w:space="0" w:color="00648B"/>
              <w:left w:val="single" w:sz="22" w:space="0" w:color="00648B"/>
              <w:bottom w:val="single" w:sz="4" w:space="0" w:color="00648B"/>
              <w:right w:val="single" w:sz="4" w:space="0" w:color="00648B"/>
            </w:tcBorders>
          </w:tcPr>
          <w:p>
            <w:pPr>
              <w:spacing w:after="40" w:before="40"/>
            </w:pPr>
            <w:r/>
            <w:r>
              <w:rPr>
                <w:rFonts w:ascii="Lato" w:hAnsi="Lato" w:cs="Lato"/>
                <w:b/>
                <w:i w:val="0"/>
                <w:color w:val="00648B"/>
                <w:sz w:val="19"/>
              </w:rPr>
              <w:t xml:space="preserve">Quality benchmark:  </w:t>
            </w:r>
            <w:r>
              <w:rPr>
                <w:rFonts w:ascii="Lato" w:hAnsi="Lato" w:cs="Lato"/>
                <w:b w:val="0"/>
                <w:i w:val="0"/>
                <w:color w:val="2B2F33"/>
                <w:sz w:val="19"/>
              </w:rPr>
              <w:t>The prior comparison missed that TMHCC's Public Liability EXCLUDES abuse while Tysers (the closest media competitor) appears NOT to exclude abuse. This review treats that level of granularity as the standard for every coverage/legal area below.</w:t>
            </w:r>
          </w:p>
        </w:tc>
      </w:tr>
    </w:tbl>
    <w:p>
      <w:pPr>
        <w:spacing w:after="80"/>
      </w:pPr>
    </w:p>
    <w:p>
      <w:pPr>
        <w:keepNext/>
        <w:spacing w:before="280" w:after="40"/>
        <w:pBdr>
          <w:bottom w:val="single" w:sz="8" w:space="2" w:color="B88A3C"/>
        </w:pBdr>
      </w:pPr>
      <w:r>
        <w:rPr>
          <w:rFonts w:ascii="Lato" w:hAnsi="Lato" w:cs="Lato"/>
          <w:b/>
          <w:i w:val="0"/>
          <w:color w:val="00648B"/>
          <w:sz w:val="30"/>
        </w:rPr>
        <w:t>A. Abuse / Safeguarding / Molestation — TMHCC vs Tysers and other competitors</w:t>
      </w:r>
    </w:p>
    <w:p>
      <w:pPr>
        <w:spacing w:after="80" w:before="0"/>
      </w:pPr>
      <w:r>
        <w:rPr>
          <w:rFonts w:ascii="Lato" w:hAnsi="Lato" w:cs="Lato"/>
          <w:b w:val="0"/>
          <w:i w:val="0"/>
          <w:color w:val="2B2F33"/>
          <w:sz w:val="18"/>
        </w:rPr>
        <w:t>Finding: TMHCC's Public Liability expressly EXCLUDES abuse. Of the six competitors, only Yutree and AXA XL also expressly exclude abuse. Tysers, Liberty, Allianz and Entertainment Elite contain NO express abuse exclusion that could be located — i.e. they are silent, and abuse-related bodily-injury claims are not specifically carved out. On this peril TMHCC is therefore NARROWER than Tysers/Liberty/Allianz/Entertainment Elite and broadly comparable to Yutree/AXA XL.</w:t>
      </w:r>
    </w:p>
    <w:tbl>
      <w:tblPr>
        <w:tblW w:type="dxa" w:w="15252"/>
        <w:jc w:val="center"/>
        <w:tblBorders>
          <w:top w:val="single" w:sz="4" w:space="0" w:color="D6DCE0"/>
          <w:left w:val="single" w:sz="4" w:space="0" w:color="D6DCE0"/>
          <w:bottom w:val="single" w:sz="4" w:space="0" w:color="D6DCE0"/>
          <w:right w:val="single" w:sz="4" w:space="0" w:color="D6DCE0"/>
          <w:insideH w:val="single" w:sz="4" w:space="0" w:color="D6DCE0"/>
          <w:insideV w:val="single" w:sz="4" w:space="0" w:color="D6DCE0"/>
        </w:tblBorders>
        <w:tblLayout w:type="fixed"/>
        <w:tblLook w:firstColumn="1" w:firstRow="1" w:lastColumn="0" w:lastRow="0" w:noHBand="0" w:noVBand="1" w:val="04A0"/>
      </w:tblPr>
      <w:tblGrid>
        <w:gridCol w:w="2041"/>
        <w:gridCol w:w="1701"/>
        <w:gridCol w:w="6237"/>
        <w:gridCol w:w="5273"/>
      </w:tblGrid>
      <w:tr>
        <w:tc>
          <w:tcPr>
            <w:tcW w:type="dxa" w:w="2041"/>
            <w:shd w:val="clear" w:color="auto" w:fill="00648B"/>
          </w:tcPr>
          <w:p>
            <w:pPr>
              <w:spacing w:after="20" w:before="0"/>
              <w:jc w:val="center"/>
            </w:pPr>
            <w:r/>
            <w:r>
              <w:rPr>
                <w:rFonts w:ascii="Lato" w:hAnsi="Lato" w:cs="Lato"/>
                <w:b/>
                <w:i w:val="0"/>
                <w:color w:val="FFFFFF"/>
                <w:sz w:val="17"/>
              </w:rPr>
              <w:t>Insurer</w:t>
            </w:r>
          </w:p>
        </w:tc>
        <w:tc>
          <w:tcPr>
            <w:tcW w:type="dxa" w:w="1701"/>
            <w:shd w:val="clear" w:color="auto" w:fill="00648B"/>
          </w:tcPr>
          <w:p>
            <w:pPr>
              <w:spacing w:after="20" w:before="0"/>
              <w:jc w:val="center"/>
            </w:pPr>
            <w:r/>
            <w:r>
              <w:rPr>
                <w:rFonts w:ascii="Lato" w:hAnsi="Lato" w:cs="Lato"/>
                <w:b/>
                <w:i w:val="0"/>
                <w:color w:val="FFFFFF"/>
                <w:sz w:val="17"/>
              </w:rPr>
              <w:t>Abuse position</w:t>
            </w:r>
          </w:p>
        </w:tc>
        <w:tc>
          <w:tcPr>
            <w:tcW w:type="dxa" w:w="6236"/>
            <w:shd w:val="clear" w:color="auto" w:fill="00648B"/>
          </w:tcPr>
          <w:p>
            <w:pPr>
              <w:spacing w:after="20" w:before="0"/>
              <w:jc w:val="center"/>
            </w:pPr>
            <w:r/>
            <w:r>
              <w:rPr>
                <w:rFonts w:ascii="Lato" w:hAnsi="Lato" w:cs="Lato"/>
                <w:b/>
                <w:i w:val="0"/>
                <w:color w:val="FFFFFF"/>
                <w:sz w:val="17"/>
              </w:rPr>
              <w:t>Wording basis</w:t>
            </w:r>
          </w:p>
        </w:tc>
        <w:tc>
          <w:tcPr>
            <w:tcW w:type="dxa" w:w="5272"/>
            <w:shd w:val="clear" w:color="auto" w:fill="00648B"/>
          </w:tcPr>
          <w:p>
            <w:pPr>
              <w:spacing w:after="20" w:before="0"/>
              <w:jc w:val="center"/>
            </w:pPr>
            <w:r/>
            <w:r>
              <w:rPr>
                <w:rFonts w:ascii="Lato" w:hAnsi="Lato" w:cs="Lato"/>
                <w:b/>
                <w:i w:val="0"/>
                <w:color w:val="FFFFFF"/>
                <w:sz w:val="17"/>
              </w:rPr>
              <w:t>Legal effect</w:t>
            </w:r>
          </w:p>
        </w:tc>
      </w:tr>
      <w:tr>
        <w:tc>
          <w:tcPr>
            <w:tcW w:type="dxa" w:w="2041"/>
          </w:tcPr>
          <w:p>
            <w:pPr>
              <w:spacing w:after="20" w:before="0"/>
            </w:pPr>
            <w:r/>
            <w:r>
              <w:rPr>
                <w:rFonts w:ascii="Lato" w:hAnsi="Lato" w:cs="Lato"/>
                <w:b/>
                <w:i w:val="0"/>
                <w:color w:val="00648B"/>
                <w:sz w:val="16"/>
              </w:rPr>
              <w:t>TMHCC</w:t>
            </w:r>
          </w:p>
        </w:tc>
        <w:tc>
          <w:tcPr>
            <w:tcW w:type="dxa" w:w="1701"/>
          </w:tcPr>
          <w:p>
            <w:pPr>
              <w:spacing w:after="20" w:before="0"/>
            </w:pPr>
            <w:r/>
            <w:r>
              <w:rPr>
                <w:rFonts w:ascii="Lato" w:hAnsi="Lato" w:cs="Lato"/>
                <w:b/>
                <w:i w:val="0"/>
                <w:color w:val="1B7A3D"/>
                <w:sz w:val="15"/>
              </w:rPr>
              <w:t>EXCLUDED</w:t>
            </w:r>
          </w:p>
        </w:tc>
        <w:tc>
          <w:tcPr>
            <w:tcW w:type="dxa" w:w="6237"/>
          </w:tcPr>
          <w:p>
            <w:pPr>
              <w:spacing w:after="20" w:before="0"/>
            </w:pPr>
            <w:r/>
            <w:r>
              <w:rPr>
                <w:rFonts w:ascii="Lato" w:hAnsi="Lato" w:cs="Lato"/>
                <w:b w:val="0"/>
                <w:i w:val="0"/>
                <w:color w:val="2B2F33"/>
                <w:sz w:val="15"/>
              </w:rPr>
              <w:t>Express Public Liability 'Abuse' exclusion: 'the mental or physical intentional or neglectful mistreatment of a person which results in Bodily Injury including any act which amounts to an offence under the Sexual Offences Act 2003.'</w:t>
            </w:r>
          </w:p>
        </w:tc>
        <w:tc>
          <w:tcPr>
            <w:tcW w:type="dxa" w:w="5273"/>
          </w:tcPr>
          <w:p>
            <w:pPr>
              <w:spacing w:after="20" w:before="0"/>
            </w:pPr>
            <w:r/>
            <w:r>
              <w:rPr>
                <w:rFonts w:ascii="Lato" w:hAnsi="Lato" w:cs="Lato"/>
                <w:b w:val="0"/>
                <w:i w:val="0"/>
                <w:color w:val="2B2F33"/>
                <w:sz w:val="15"/>
              </w:rPr>
              <w:t>Abuse-related bodily-injury claims are NOT covered under Public Liability.</w:t>
            </w:r>
          </w:p>
        </w:tc>
      </w:tr>
      <w:tr>
        <w:tc>
          <w:tcPr>
            <w:tcW w:type="dxa" w:w="2041"/>
            <w:shd w:val="clear" w:color="auto" w:fill="F4F7F9"/>
          </w:tcPr>
          <w:p>
            <w:pPr>
              <w:spacing w:after="20" w:before="0"/>
            </w:pPr>
            <w:r/>
            <w:r>
              <w:rPr>
                <w:rFonts w:ascii="Lato" w:hAnsi="Lato" w:cs="Lato"/>
                <w:b/>
                <w:i w:val="0"/>
                <w:color w:val="00648B"/>
                <w:sz w:val="16"/>
              </w:rPr>
              <w:t>Tysers (Zurich)</w:t>
            </w:r>
          </w:p>
        </w:tc>
        <w:tc>
          <w:tcPr>
            <w:tcW w:type="dxa" w:w="1701"/>
            <w:shd w:val="clear" w:color="auto" w:fill="F4F7F9"/>
          </w:tcPr>
          <w:p>
            <w:pPr>
              <w:spacing w:after="20" w:before="0"/>
            </w:pPr>
            <w:r/>
            <w:r>
              <w:rPr>
                <w:rFonts w:ascii="Lato" w:hAnsi="Lato" w:cs="Lato"/>
                <w:b/>
                <w:i w:val="0"/>
                <w:color w:val="8A6A1E"/>
                <w:sz w:val="15"/>
              </w:rPr>
              <w:t>NOT LOCATED (silent)</w:t>
            </w:r>
          </w:p>
        </w:tc>
        <w:tc>
          <w:tcPr>
            <w:tcW w:type="dxa" w:w="6237"/>
            <w:shd w:val="clear" w:color="auto" w:fill="F4F7F9"/>
          </w:tcPr>
          <w:p>
            <w:pPr>
              <w:spacing w:after="20" w:before="0"/>
            </w:pPr>
            <w:r/>
            <w:r>
              <w:rPr>
                <w:rFonts w:ascii="Lato" w:hAnsi="Lato" w:cs="Lato"/>
                <w:b w:val="0"/>
                <w:i w:val="0"/>
                <w:color w:val="2B2F33"/>
                <w:sz w:val="15"/>
              </w:rPr>
              <w:t>No express abuse / molestation exclusion located in the liability sections. 'Bullying and harassment' appears ONLY as a topic in the Employee-Assistance counselling helpline (Sub-Section 9, Zurich Assistance) — NOT a liability exclusion.</w:t>
            </w:r>
          </w:p>
        </w:tc>
        <w:tc>
          <w:tcPr>
            <w:tcW w:type="dxa" w:w="5273"/>
            <w:shd w:val="clear" w:color="auto" w:fill="F4F7F9"/>
          </w:tcPr>
          <w:p>
            <w:pPr>
              <w:spacing w:after="20" w:before="0"/>
            </w:pPr>
            <w:r/>
            <w:r>
              <w:rPr>
                <w:rFonts w:ascii="Lato" w:hAnsi="Lato" w:cs="Lato"/>
                <w:b w:val="0"/>
                <w:i w:val="0"/>
                <w:color w:val="2B2F33"/>
                <w:sz w:val="15"/>
              </w:rPr>
              <w:t>Abuse-related BI is NOT specifically carved out → potentially within Public/Products Liability cover, subject to deliberate-acts and other general exclusions. POTENTIALLY BROADER than TMHCC. (This is the issue the prior review missed.) Confirm against the full schedule/endorsements.</w:t>
            </w:r>
          </w:p>
        </w:tc>
      </w:tr>
      <w:tr>
        <w:tc>
          <w:tcPr>
            <w:tcW w:type="dxa" w:w="2041"/>
          </w:tcPr>
          <w:p>
            <w:pPr>
              <w:spacing w:after="20" w:before="0"/>
            </w:pPr>
            <w:r/>
            <w:r>
              <w:rPr>
                <w:rFonts w:ascii="Lato" w:hAnsi="Lato" w:cs="Lato"/>
                <w:b/>
                <w:i w:val="0"/>
                <w:color w:val="00648B"/>
                <w:sz w:val="16"/>
              </w:rPr>
              <w:t>Yutree (AXA)</w:t>
            </w:r>
          </w:p>
        </w:tc>
        <w:tc>
          <w:tcPr>
            <w:tcW w:type="dxa" w:w="1701"/>
          </w:tcPr>
          <w:p>
            <w:pPr>
              <w:spacing w:after="20" w:before="0"/>
            </w:pPr>
            <w:r/>
            <w:r>
              <w:rPr>
                <w:rFonts w:ascii="Lato" w:hAnsi="Lato" w:cs="Lato"/>
                <w:b/>
                <w:i w:val="0"/>
                <w:color w:val="1B7A3D"/>
                <w:sz w:val="15"/>
              </w:rPr>
              <w:t>EXCLUDED (broad)</w:t>
            </w:r>
          </w:p>
        </w:tc>
        <w:tc>
          <w:tcPr>
            <w:tcW w:type="dxa" w:w="6237"/>
          </w:tcPr>
          <w:p>
            <w:pPr>
              <w:spacing w:after="20" w:before="0"/>
            </w:pPr>
            <w:r/>
            <w:r>
              <w:rPr>
                <w:rFonts w:ascii="Lato" w:hAnsi="Lato" w:cs="Lato"/>
                <w:b w:val="0"/>
                <w:i w:val="0"/>
                <w:color w:val="2B2F33"/>
                <w:sz w:val="15"/>
              </w:rPr>
              <w:t>Broad defined term 'Abuse' (abuse/threat/cruelty; exploitation; molestation, intimate or inappropriate sexual contact; pornography) PLUS an express 'Abuse exclusion': 'We will not cover claims directly or indirectly caused by or arising from any actual or alleged abuse.'</w:t>
            </w:r>
          </w:p>
        </w:tc>
        <w:tc>
          <w:tcPr>
            <w:tcW w:type="dxa" w:w="5273"/>
          </w:tcPr>
          <w:p>
            <w:pPr>
              <w:spacing w:after="20" w:before="0"/>
            </w:pPr>
            <w:r/>
            <w:r>
              <w:rPr>
                <w:rFonts w:ascii="Lato" w:hAnsi="Lato" w:cs="Lato"/>
                <w:b w:val="0"/>
                <w:i w:val="0"/>
                <w:color w:val="2B2F33"/>
                <w:sz w:val="15"/>
              </w:rPr>
              <w:t>Abuse NOT covered; arguably a WIDER exclusion than TMHCC ('directly or indirectly… actual or alleged').</w:t>
            </w:r>
          </w:p>
        </w:tc>
      </w:tr>
      <w:tr>
        <w:tc>
          <w:tcPr>
            <w:tcW w:type="dxa" w:w="2041"/>
            <w:shd w:val="clear" w:color="auto" w:fill="F4F7F9"/>
          </w:tcPr>
          <w:p>
            <w:pPr>
              <w:spacing w:after="20" w:before="0"/>
            </w:pPr>
            <w:r/>
            <w:r>
              <w:rPr>
                <w:rFonts w:ascii="Lato" w:hAnsi="Lato" w:cs="Lato"/>
                <w:b/>
                <w:i w:val="0"/>
                <w:color w:val="00648B"/>
                <w:sz w:val="16"/>
              </w:rPr>
              <w:t>Liberty</w:t>
            </w:r>
          </w:p>
        </w:tc>
        <w:tc>
          <w:tcPr>
            <w:tcW w:type="dxa" w:w="1701"/>
            <w:shd w:val="clear" w:color="auto" w:fill="F4F7F9"/>
          </w:tcPr>
          <w:p>
            <w:pPr>
              <w:spacing w:after="20" w:before="0"/>
            </w:pPr>
            <w:r/>
            <w:r>
              <w:rPr>
                <w:rFonts w:ascii="Lato" w:hAnsi="Lato" w:cs="Lato"/>
                <w:b/>
                <w:i w:val="0"/>
                <w:color w:val="8A6A1E"/>
                <w:sz w:val="15"/>
              </w:rPr>
              <w:t>NOT LOCATED (silent)</w:t>
            </w:r>
          </w:p>
        </w:tc>
        <w:tc>
          <w:tcPr>
            <w:tcW w:type="dxa" w:w="6237"/>
            <w:shd w:val="clear" w:color="auto" w:fill="F4F7F9"/>
          </w:tcPr>
          <w:p>
            <w:pPr>
              <w:spacing w:after="20" w:before="0"/>
            </w:pPr>
            <w:r/>
            <w:r>
              <w:rPr>
                <w:rFonts w:ascii="Lato" w:hAnsi="Lato" w:cs="Lato"/>
                <w:b w:val="0"/>
                <w:i w:val="0"/>
                <w:color w:val="2B2F33"/>
                <w:sz w:val="15"/>
              </w:rPr>
              <w:t>No express abuse exclusion located (property/BI/liability package).</w:t>
            </w:r>
          </w:p>
        </w:tc>
        <w:tc>
          <w:tcPr>
            <w:tcW w:type="dxa" w:w="5273"/>
            <w:shd w:val="clear" w:color="auto" w:fill="F4F7F9"/>
          </w:tcPr>
          <w:p>
            <w:pPr>
              <w:spacing w:after="20" w:before="0"/>
            </w:pPr>
            <w:r/>
            <w:r>
              <w:rPr>
                <w:rFonts w:ascii="Lato" w:hAnsi="Lato" w:cs="Lato"/>
                <w:b w:val="0"/>
                <w:i w:val="0"/>
                <w:color w:val="2B2F33"/>
                <w:sz w:val="15"/>
              </w:rPr>
              <w:t>Silent → abuse-related BI not specifically excluded; potentially broader than TMHCC, subject to general exclusions. Confirm.</w:t>
            </w:r>
          </w:p>
        </w:tc>
      </w:tr>
      <w:tr>
        <w:tc>
          <w:tcPr>
            <w:tcW w:type="dxa" w:w="2041"/>
          </w:tcPr>
          <w:p>
            <w:pPr>
              <w:spacing w:after="20" w:before="0"/>
            </w:pPr>
            <w:r/>
            <w:r>
              <w:rPr>
                <w:rFonts w:ascii="Lato" w:hAnsi="Lato" w:cs="Lato"/>
                <w:b/>
                <w:i w:val="0"/>
                <w:color w:val="00648B"/>
                <w:sz w:val="16"/>
              </w:rPr>
              <w:t>Allianz</w:t>
            </w:r>
          </w:p>
        </w:tc>
        <w:tc>
          <w:tcPr>
            <w:tcW w:type="dxa" w:w="1701"/>
          </w:tcPr>
          <w:p>
            <w:pPr>
              <w:spacing w:after="20" w:before="0"/>
            </w:pPr>
            <w:r/>
            <w:r>
              <w:rPr>
                <w:rFonts w:ascii="Lato" w:hAnsi="Lato" w:cs="Lato"/>
                <w:b/>
                <w:i w:val="0"/>
                <w:color w:val="8A6A1E"/>
                <w:sz w:val="15"/>
              </w:rPr>
              <w:t>NOT LOCATED (silent)</w:t>
            </w:r>
          </w:p>
        </w:tc>
        <w:tc>
          <w:tcPr>
            <w:tcW w:type="dxa" w:w="6237"/>
          </w:tcPr>
          <w:p>
            <w:pPr>
              <w:spacing w:after="20" w:before="0"/>
            </w:pPr>
            <w:r/>
            <w:r>
              <w:rPr>
                <w:rFonts w:ascii="Lato" w:hAnsi="Lato" w:cs="Lato"/>
                <w:b w:val="0"/>
                <w:i w:val="0"/>
                <w:color w:val="2B2F33"/>
                <w:sz w:val="15"/>
              </w:rPr>
              <w:t>No express abuse exclusion located ('animal cruelty' appears only in a data-privacy context).</w:t>
            </w:r>
          </w:p>
        </w:tc>
        <w:tc>
          <w:tcPr>
            <w:tcW w:type="dxa" w:w="5273"/>
          </w:tcPr>
          <w:p>
            <w:pPr>
              <w:spacing w:after="20" w:before="0"/>
            </w:pPr>
            <w:r/>
            <w:r>
              <w:rPr>
                <w:rFonts w:ascii="Lato" w:hAnsi="Lato" w:cs="Lato"/>
                <w:b w:val="0"/>
                <w:i w:val="0"/>
                <w:color w:val="2B2F33"/>
                <w:sz w:val="15"/>
              </w:rPr>
              <w:t>Silent → potentially broader than TMHCC, subject to general exclusions. Confirm.</w:t>
            </w:r>
          </w:p>
        </w:tc>
      </w:tr>
      <w:tr>
        <w:tc>
          <w:tcPr>
            <w:tcW w:type="dxa" w:w="2041"/>
            <w:shd w:val="clear" w:color="auto" w:fill="F4F7F9"/>
          </w:tcPr>
          <w:p>
            <w:pPr>
              <w:spacing w:after="20" w:before="0"/>
            </w:pPr>
            <w:r/>
            <w:r>
              <w:rPr>
                <w:rFonts w:ascii="Lato" w:hAnsi="Lato" w:cs="Lato"/>
                <w:b/>
                <w:i w:val="0"/>
                <w:color w:val="00648B"/>
                <w:sz w:val="16"/>
              </w:rPr>
              <w:t>AXA XL</w:t>
            </w:r>
          </w:p>
        </w:tc>
        <w:tc>
          <w:tcPr>
            <w:tcW w:type="dxa" w:w="1701"/>
            <w:shd w:val="clear" w:color="auto" w:fill="F4F7F9"/>
          </w:tcPr>
          <w:p>
            <w:pPr>
              <w:spacing w:after="20" w:before="0"/>
            </w:pPr>
            <w:r/>
            <w:r>
              <w:rPr>
                <w:rFonts w:ascii="Lato" w:hAnsi="Lato" w:cs="Lato"/>
                <w:b/>
                <w:i w:val="0"/>
                <w:color w:val="1B7A3D"/>
                <w:sz w:val="15"/>
              </w:rPr>
              <w:t>EXCLUDED (very broad)</w:t>
            </w:r>
          </w:p>
        </w:tc>
        <w:tc>
          <w:tcPr>
            <w:tcW w:type="dxa" w:w="6237"/>
            <w:shd w:val="clear" w:color="auto" w:fill="F4F7F9"/>
          </w:tcPr>
          <w:p>
            <w:pPr>
              <w:spacing w:after="20" w:before="0"/>
            </w:pPr>
            <w:r/>
            <w:r>
              <w:rPr>
                <w:rFonts w:ascii="Lato" w:hAnsi="Lato" w:cs="Lato"/>
                <w:b w:val="0"/>
                <w:i w:val="0"/>
                <w:color w:val="2B2F33"/>
                <w:sz w:val="15"/>
              </w:rPr>
              <w:t>Liability Exclusion 7.8.1 'Abuse': 'any act that results in the maltreatment of a person… physical, sexual, verbal, psychological or emotional or financial nature.'</w:t>
            </w:r>
          </w:p>
        </w:tc>
        <w:tc>
          <w:tcPr>
            <w:tcW w:type="dxa" w:w="5273"/>
            <w:shd w:val="clear" w:color="auto" w:fill="F4F7F9"/>
          </w:tcPr>
          <w:p>
            <w:pPr>
              <w:spacing w:after="20" w:before="0"/>
            </w:pPr>
            <w:r/>
            <w:r>
              <w:rPr>
                <w:rFonts w:ascii="Lato" w:hAnsi="Lato" w:cs="Lato"/>
                <w:b w:val="0"/>
                <w:i w:val="0"/>
                <w:color w:val="2B2F33"/>
                <w:sz w:val="15"/>
              </w:rPr>
              <w:t>Abuse NOT covered; very broad exclusion (wider than TMHCC).</w:t>
            </w:r>
          </w:p>
        </w:tc>
      </w:tr>
      <w:tr>
        <w:tc>
          <w:tcPr>
            <w:tcW w:type="dxa" w:w="2041"/>
          </w:tcPr>
          <w:p>
            <w:pPr>
              <w:spacing w:after="20" w:before="0"/>
            </w:pPr>
            <w:r/>
            <w:r>
              <w:rPr>
                <w:rFonts w:ascii="Lato" w:hAnsi="Lato" w:cs="Lato"/>
                <w:b/>
                <w:i w:val="0"/>
                <w:color w:val="00648B"/>
                <w:sz w:val="16"/>
              </w:rPr>
              <w:t>Entertainment Elite</w:t>
            </w:r>
          </w:p>
        </w:tc>
        <w:tc>
          <w:tcPr>
            <w:tcW w:type="dxa" w:w="1701"/>
          </w:tcPr>
          <w:p>
            <w:pPr>
              <w:spacing w:after="20" w:before="0"/>
            </w:pPr>
            <w:r/>
            <w:r>
              <w:rPr>
                <w:rFonts w:ascii="Lato" w:hAnsi="Lato" w:cs="Lato"/>
                <w:b/>
                <w:i w:val="0"/>
                <w:color w:val="8A6A1E"/>
                <w:sz w:val="15"/>
              </w:rPr>
              <w:t>NOT LOCATED (silent)</w:t>
            </w:r>
          </w:p>
        </w:tc>
        <w:tc>
          <w:tcPr>
            <w:tcW w:type="dxa" w:w="6237"/>
          </w:tcPr>
          <w:p>
            <w:pPr>
              <w:spacing w:after="20" w:before="0"/>
            </w:pPr>
            <w:r/>
            <w:r>
              <w:rPr>
                <w:rFonts w:ascii="Lato" w:hAnsi="Lato" w:cs="Lato"/>
                <w:b w:val="0"/>
                <w:i w:val="0"/>
                <w:color w:val="2B2F33"/>
                <w:sz w:val="15"/>
              </w:rPr>
              <w:t>No abuse-LIABILITY exclusion located ('misuse, abuse or contamination' refers to physical property contamination only).</w:t>
            </w:r>
          </w:p>
        </w:tc>
        <w:tc>
          <w:tcPr>
            <w:tcW w:type="dxa" w:w="5273"/>
          </w:tcPr>
          <w:p>
            <w:pPr>
              <w:spacing w:after="20" w:before="0"/>
            </w:pPr>
            <w:r/>
            <w:r>
              <w:rPr>
                <w:rFonts w:ascii="Lato" w:hAnsi="Lato" w:cs="Lato"/>
                <w:b w:val="0"/>
                <w:i w:val="0"/>
                <w:color w:val="2B2F33"/>
                <w:sz w:val="15"/>
              </w:rPr>
              <w:t>Silent on personal-abuse liability → potentially broader than TMHCC, subject to general exclusions. Confirm.</w:t>
            </w:r>
          </w:p>
        </w:tc>
      </w:tr>
    </w:tbl>
    <w:p>
      <w:pPr>
        <w:spacing w:after="80"/>
      </w:pPr>
    </w:p>
    <w:p>
      <w:pPr>
        <w:keepNext/>
        <w:spacing w:before="120" w:after="20"/>
      </w:pPr>
      <w:r>
        <w:rPr>
          <w:rFonts w:ascii="Lato" w:hAnsi="Lato" w:cs="Lato"/>
          <w:b/>
          <w:i w:val="0"/>
          <w:color w:val="B88A3C"/>
          <w:sz w:val="20"/>
        </w:rPr>
        <w:t>Is TMHCC narrower? — yes, against four of the six</w:t>
      </w:r>
    </w:p>
    <w:p>
      <w:pPr>
        <w:spacing w:after="80" w:before="0"/>
      </w:pPr>
      <w:r>
        <w:rPr>
          <w:rFonts w:ascii="Lato" w:hAnsi="Lato" w:cs="Lato"/>
          <w:b w:val="0"/>
          <w:i w:val="0"/>
          <w:color w:val="2B2F33"/>
          <w:sz w:val="18"/>
        </w:rPr>
        <w:t>TMHCC is narrower than Tysers, Liberty, Allianz and Entertainment Elite (no express abuse exclusion) and comparable to Yutree and AXA XL (both exclude). IMPORTANT legal caveat: a competitor's silence does NOT confirm cover — abuse claims may still be defeated by deliberate/criminal-acts and other general exclusions. This must be confirmed legally rather than asserted.</w:t>
      </w:r>
    </w:p>
    <w:p>
      <w:pPr>
        <w:keepNext/>
        <w:spacing w:before="120" w:after="20"/>
      </w:pPr>
      <w:r>
        <w:rPr>
          <w:rFonts w:ascii="Lato" w:hAnsi="Lato" w:cs="Lato"/>
          <w:b/>
          <w:i w:val="0"/>
          <w:color w:val="B88A3C"/>
          <w:sz w:val="20"/>
        </w:rPr>
        <w:t>Recommended action — optional, sub-limited abuse write-back (Schedule-operative)</w:t>
      </w:r>
    </w:p>
    <w:tbl>
      <w:tblPr>
        <w:tblW w:type="pct" w:w="5000"/>
        <w:tblLayout w:type="fixed"/>
        <w:tblLook w:firstColumn="1" w:firstRow="1" w:lastColumn="0" w:lastRow="0" w:noHBand="0" w:noVBand="1" w:val="04A0"/>
      </w:tblPr>
      <w:tblGrid>
        <w:gridCol w:w="15250"/>
      </w:tblGrid>
      <w:tr>
        <w:tc>
          <w:tcPr>
            <w:tcW w:type="dxa" w:w="15250"/>
            <w:shd w:val="clear" w:color="auto" w:fill="FFF6E6"/>
            <w:tcBorders>
              <w:top w:val="single" w:sz="4" w:space="0" w:color="B88A3C"/>
              <w:left w:val="single" w:sz="22" w:space="0" w:color="B88A3C"/>
              <w:bottom w:val="single" w:sz="4" w:space="0" w:color="B88A3C"/>
              <w:right w:val="single" w:sz="4" w:space="0" w:color="B88A3C"/>
            </w:tcBorders>
          </w:tcPr>
          <w:p>
            <w:pPr>
              <w:spacing w:after="40" w:before="40"/>
            </w:pPr>
            <w:r/>
            <w:r>
              <w:rPr>
                <w:rFonts w:ascii="Lato" w:hAnsi="Lato" w:cs="Lato"/>
                <w:b/>
                <w:i w:val="0"/>
                <w:color w:val="B88A3C"/>
                <w:sz w:val="19"/>
              </w:rPr>
              <w:t xml:space="preserve">Recommendation:  </w:t>
            </w:r>
            <w:r>
              <w:rPr>
                <w:rFonts w:ascii="Lato" w:hAnsi="Lato" w:cs="Lato"/>
                <w:b w:val="0"/>
                <w:i w:val="0"/>
                <w:color w:val="2B2F33"/>
                <w:sz w:val="19"/>
              </w:rPr>
              <w:t>Retain the abuse exclusion as the DEFAULT (abuse is a high-severity, long-tail, reputational and systemic exposure, and the express exclusion is a defensible underwriting position). For client segments where abuse exposure is genuinely relevant (festivals/youth/community events), OFFER an OPTIONAL, sub-limited Abuse / Molestation write-back, Schedule-operative, with strict safeguarding conditions precedent (documented safeguarding policy; DBS/PVG checks; supervision/'two-adult' rule), an aggregate sub-limit, a claims-made trigger and an SIR. This converts a visible gap (vs Tysers) into a rated option without taking the exposure by default. Proposed wording is in the Phase 05 gap-fill strategy.</w:t>
            </w:r>
          </w:p>
        </w:tc>
      </w:tr>
    </w:tbl>
    <w:p>
      <w:pPr>
        <w:spacing w:after="80"/>
      </w:pPr>
    </w:p>
    <w:tbl>
      <w:tblPr>
        <w:tblW w:type="dxa" w:w="15252"/>
        <w:jc w:val="center"/>
        <w:tblBorders>
          <w:top w:val="single" w:sz="4" w:space="0" w:color="D6DCE0"/>
          <w:left w:val="single" w:sz="4" w:space="0" w:color="D6DCE0"/>
          <w:bottom w:val="single" w:sz="4" w:space="0" w:color="D6DCE0"/>
          <w:right w:val="single" w:sz="4" w:space="0" w:color="D6DCE0"/>
          <w:insideH w:val="single" w:sz="4" w:space="0" w:color="D6DCE0"/>
          <w:insideV w:val="single" w:sz="4" w:space="0" w:color="D6DCE0"/>
        </w:tblBorders>
        <w:tblLayout w:type="fixed"/>
        <w:tblLook w:firstColumn="1" w:firstRow="1" w:lastColumn="0" w:lastRow="0" w:noHBand="0" w:noVBand="1" w:val="04A0"/>
      </w:tblPr>
      <w:tblGrid>
        <w:gridCol w:w="3402"/>
        <w:gridCol w:w="3402"/>
        <w:gridCol w:w="2268"/>
        <w:gridCol w:w="6180"/>
      </w:tblGrid>
      <w:tr>
        <w:tc>
          <w:tcPr>
            <w:tcW w:type="dxa" w:w="3402"/>
            <w:shd w:val="clear" w:color="auto" w:fill="00648B"/>
          </w:tcPr>
          <w:p>
            <w:pPr>
              <w:spacing w:after="20" w:before="0"/>
              <w:jc w:val="center"/>
            </w:pPr>
            <w:r/>
            <w:r>
              <w:rPr>
                <w:rFonts w:ascii="Lato" w:hAnsi="Lato" w:cs="Lato"/>
                <w:b/>
                <w:i w:val="0"/>
                <w:color w:val="FFFFFF"/>
                <w:sz w:val="17"/>
              </w:rPr>
              <w:t>Underwriting risk</w:t>
            </w:r>
          </w:p>
        </w:tc>
        <w:tc>
          <w:tcPr>
            <w:tcW w:type="dxa" w:w="3402"/>
            <w:shd w:val="clear" w:color="auto" w:fill="00648B"/>
          </w:tcPr>
          <w:p>
            <w:pPr>
              <w:spacing w:after="20" w:before="0"/>
              <w:jc w:val="center"/>
            </w:pPr>
            <w:r/>
            <w:r>
              <w:rPr>
                <w:rFonts w:ascii="Lato" w:hAnsi="Lato" w:cs="Lato"/>
                <w:b/>
                <w:i w:val="0"/>
                <w:color w:val="FFFFFF"/>
                <w:sz w:val="17"/>
              </w:rPr>
              <w:t>Claims risk</w:t>
            </w:r>
          </w:p>
        </w:tc>
        <w:tc>
          <w:tcPr>
            <w:tcW w:type="dxa" w:w="2268"/>
            <w:shd w:val="clear" w:color="auto" w:fill="00648B"/>
          </w:tcPr>
          <w:p>
            <w:pPr>
              <w:spacing w:after="20" w:before="0"/>
              <w:jc w:val="center"/>
            </w:pPr>
            <w:r/>
            <w:r>
              <w:rPr>
                <w:rFonts w:ascii="Lato" w:hAnsi="Lato" w:cs="Lato"/>
                <w:b/>
                <w:i w:val="0"/>
                <w:color w:val="FFFFFF"/>
                <w:sz w:val="17"/>
              </w:rPr>
              <w:t>Priority</w:t>
            </w:r>
          </w:p>
        </w:tc>
        <w:tc>
          <w:tcPr>
            <w:tcW w:type="dxa" w:w="6180"/>
            <w:shd w:val="clear" w:color="auto" w:fill="00648B"/>
          </w:tcPr>
          <w:p>
            <w:pPr>
              <w:spacing w:after="20" w:before="0"/>
              <w:jc w:val="center"/>
            </w:pPr>
            <w:r/>
            <w:r>
              <w:rPr>
                <w:rFonts w:ascii="Lato" w:hAnsi="Lato" w:cs="Lato"/>
                <w:b/>
                <w:i w:val="0"/>
                <w:color w:val="FFFFFF"/>
                <w:sz w:val="17"/>
              </w:rPr>
              <w:t>Sign-off required</w:t>
            </w:r>
          </w:p>
        </w:tc>
      </w:tr>
      <w:tr>
        <w:tc>
          <w:tcPr>
            <w:tcW w:type="dxa" w:w="3402"/>
          </w:tcPr>
          <w:p>
            <w:pPr>
              <w:spacing w:after="20" w:before="0"/>
            </w:pPr>
            <w:r/>
            <w:r>
              <w:rPr>
                <w:rFonts w:ascii="Lato" w:hAnsi="Lato" w:cs="Lato"/>
                <w:b/>
                <w:i w:val="0"/>
                <w:color w:val="C0563F"/>
                <w:sz w:val="16"/>
              </w:rPr>
              <w:t>HIGH — severe, long-tail, reputational; reinsurance-sensitive.</w:t>
            </w:r>
          </w:p>
        </w:tc>
        <w:tc>
          <w:tcPr>
            <w:tcW w:type="dxa" w:w="3402"/>
          </w:tcPr>
          <w:p>
            <w:pPr>
              <w:spacing w:after="20" w:before="0"/>
            </w:pPr>
            <w:r/>
            <w:r>
              <w:rPr>
                <w:rFonts w:ascii="Lato" w:hAnsi="Lato" w:cs="Lato"/>
                <w:b w:val="0"/>
                <w:i w:val="0"/>
                <w:color w:val="2B2F33"/>
                <w:sz w:val="16"/>
              </w:rPr>
              <w:t>HIGH severity / low frequency — large awards; coverage litigation.</w:t>
            </w:r>
          </w:p>
        </w:tc>
        <w:tc>
          <w:tcPr>
            <w:tcW w:type="dxa" w:w="2268"/>
          </w:tcPr>
          <w:p>
            <w:pPr>
              <w:spacing w:after="20" w:before="0"/>
            </w:pPr>
            <w:r/>
            <w:r>
              <w:rPr>
                <w:rFonts w:ascii="Lato" w:hAnsi="Lato" w:cs="Lato"/>
                <w:b/>
                <w:i w:val="0"/>
                <w:color w:val="2B2F33"/>
                <w:sz w:val="16"/>
              </w:rPr>
              <w:t>High (for client segments with real exposure)</w:t>
            </w:r>
          </w:p>
        </w:tc>
        <w:tc>
          <w:tcPr>
            <w:tcW w:type="dxa" w:w="6180"/>
          </w:tcPr>
          <w:p>
            <w:pPr>
              <w:spacing w:after="20" w:before="0"/>
            </w:pPr>
            <w:r/>
            <w:r>
              <w:rPr>
                <w:rFonts w:ascii="Lato" w:hAnsi="Lato" w:cs="Lato"/>
                <w:b w:val="0"/>
                <w:i w:val="0"/>
                <w:color w:val="C0563F"/>
                <w:sz w:val="16"/>
              </w:rPr>
              <w:t>YES — claims + legal + reinsurance; specialist abuse market may be the right home for the core exposure.</w:t>
            </w:r>
          </w:p>
        </w:tc>
      </w:tr>
    </w:tbl>
    <w:p>
      <w:r>
        <w:br w:type="page"/>
      </w:r>
    </w:p>
    <w:p>
      <w:pPr>
        <w:keepNext/>
        <w:spacing w:before="280" w:after="40"/>
        <w:pBdr>
          <w:bottom w:val="single" w:sz="8" w:space="2" w:color="B88A3C"/>
        </w:pBdr>
      </w:pPr>
      <w:r>
        <w:rPr>
          <w:rFonts w:ascii="Lato" w:hAnsi="Lato" w:cs="Lato"/>
          <w:b/>
          <w:i w:val="0"/>
          <w:color w:val="00648B"/>
          <w:sz w:val="30"/>
        </w:rPr>
        <w:t>B. Liability exclusions (Public / Products / Employers') — by legal effect</w:t>
      </w:r>
    </w:p>
    <w:p>
      <w:pPr>
        <w:spacing w:after="80" w:before="0"/>
      </w:pPr>
      <w:r>
        <w:rPr>
          <w:rFonts w:ascii="Lato" w:hAnsi="Lato" w:cs="Lato"/>
          <w:b w:val="0"/>
          <w:i w:val="0"/>
          <w:color w:val="2B2F33"/>
          <w:sz w:val="17"/>
        </w:rPr>
        <w:t>Exclusion tables below use ✓ = exclusion present / applies, ✗ = no such exclusion located, ? = unclear, ◐ = partial/with write-back. An abuse-exclusion row has been added (the prior review's omission).</w:t>
      </w:r>
    </w:p>
    <w:p>
      <w:pPr>
        <w:keepNext/>
        <w:spacing w:before="180" w:after="40"/>
      </w:pPr>
      <w:r>
        <w:rPr>
          <w:rFonts w:ascii="Lato" w:hAnsi="Lato" w:cs="Lato"/>
          <w:b/>
          <w:i w:val="0"/>
          <w:color w:val="00648B"/>
          <w:sz w:val="23"/>
        </w:rPr>
        <w:t>B.1 General &amp; liability exclusions</w:t>
      </w:r>
    </w:p>
    <w:tbl>
      <w:tblPr>
        <w:tblW w:type="dxa" w:w="15252"/>
        <w:jc w:val="center"/>
        <w:tblBorders>
          <w:top w:val="single" w:sz="4" w:space="0" w:color="D6DCE0"/>
          <w:left w:val="single" w:sz="4" w:space="0" w:color="D6DCE0"/>
          <w:bottom w:val="single" w:sz="4" w:space="0" w:color="D6DCE0"/>
          <w:right w:val="single" w:sz="4" w:space="0" w:color="D6DCE0"/>
          <w:insideH w:val="single" w:sz="4" w:space="0" w:color="D6DCE0"/>
          <w:insideV w:val="single" w:sz="4" w:space="0" w:color="D6DCE0"/>
        </w:tblBorders>
        <w:tblLayout w:type="fixed"/>
        <w:tblLook w:firstColumn="1" w:firstRow="1" w:lastColumn="0" w:lastRow="0" w:noHBand="0" w:noVBand="1" w:val="04A0"/>
      </w:tblPr>
      <w:tblGrid>
        <w:gridCol w:w="2381"/>
        <w:gridCol w:w="850"/>
        <w:gridCol w:w="850"/>
        <w:gridCol w:w="850"/>
        <w:gridCol w:w="850"/>
        <w:gridCol w:w="850"/>
        <w:gridCol w:w="850"/>
        <w:gridCol w:w="850"/>
        <w:gridCol w:w="6917"/>
      </w:tblGrid>
      <w:tr>
        <w:tc>
          <w:tcPr>
            <w:tcW w:type="dxa" w:w="2381"/>
            <w:shd w:val="clear" w:color="auto" w:fill="00648B"/>
          </w:tcPr>
          <w:p>
            <w:pPr>
              <w:spacing w:after="20" w:before="0"/>
              <w:jc w:val="center"/>
            </w:pPr>
            <w:r/>
            <w:r>
              <w:rPr>
                <w:rFonts w:ascii="Lato" w:hAnsi="Lato" w:cs="Lato"/>
                <w:b/>
                <w:i w:val="0"/>
                <w:color w:val="FFFFFF"/>
                <w:sz w:val="17"/>
              </w:rPr>
              <w:t>Coverage / legal feature</w:t>
            </w:r>
          </w:p>
        </w:tc>
        <w:tc>
          <w:tcPr>
            <w:tcW w:type="dxa" w:w="850"/>
            <w:shd w:val="clear" w:color="auto" w:fill="00648B"/>
          </w:tcPr>
          <w:p>
            <w:pPr>
              <w:spacing w:after="20" w:before="0"/>
              <w:jc w:val="center"/>
            </w:pPr>
            <w:r/>
            <w:r>
              <w:rPr>
                <w:rFonts w:ascii="Lato" w:hAnsi="Lato" w:cs="Lato"/>
                <w:b/>
                <w:i w:val="0"/>
                <w:color w:val="FFFFFF"/>
                <w:sz w:val="17"/>
              </w:rPr>
              <w:t>TMHCC</w:t>
            </w:r>
          </w:p>
        </w:tc>
        <w:tc>
          <w:tcPr>
            <w:tcW w:type="dxa" w:w="850"/>
            <w:shd w:val="clear" w:color="auto" w:fill="00648B"/>
          </w:tcPr>
          <w:p>
            <w:pPr>
              <w:spacing w:after="20" w:before="0"/>
              <w:jc w:val="center"/>
            </w:pPr>
            <w:r/>
            <w:r>
              <w:rPr>
                <w:rFonts w:ascii="Lato" w:hAnsi="Lato" w:cs="Lato"/>
                <w:b/>
                <w:i w:val="0"/>
                <w:color w:val="FFFFFF"/>
                <w:sz w:val="17"/>
              </w:rPr>
              <w:t>Tysers</w:t>
            </w:r>
          </w:p>
        </w:tc>
        <w:tc>
          <w:tcPr>
            <w:tcW w:type="dxa" w:w="850"/>
            <w:shd w:val="clear" w:color="auto" w:fill="00648B"/>
          </w:tcPr>
          <w:p>
            <w:pPr>
              <w:spacing w:after="20" w:before="0"/>
              <w:jc w:val="center"/>
            </w:pPr>
            <w:r/>
            <w:r>
              <w:rPr>
                <w:rFonts w:ascii="Lato" w:hAnsi="Lato" w:cs="Lato"/>
                <w:b/>
                <w:i w:val="0"/>
                <w:color w:val="FFFFFF"/>
                <w:sz w:val="17"/>
              </w:rPr>
              <w:t>Yutree</w:t>
            </w:r>
          </w:p>
        </w:tc>
        <w:tc>
          <w:tcPr>
            <w:tcW w:type="dxa" w:w="850"/>
            <w:shd w:val="clear" w:color="auto" w:fill="00648B"/>
          </w:tcPr>
          <w:p>
            <w:pPr>
              <w:spacing w:after="20" w:before="0"/>
              <w:jc w:val="center"/>
            </w:pPr>
            <w:r/>
            <w:r>
              <w:rPr>
                <w:rFonts w:ascii="Lato" w:hAnsi="Lato" w:cs="Lato"/>
                <w:b/>
                <w:i w:val="0"/>
                <w:color w:val="FFFFFF"/>
                <w:sz w:val="17"/>
              </w:rPr>
              <w:t>Liberty</w:t>
            </w:r>
          </w:p>
        </w:tc>
        <w:tc>
          <w:tcPr>
            <w:tcW w:type="dxa" w:w="850"/>
            <w:shd w:val="clear" w:color="auto" w:fill="00648B"/>
          </w:tcPr>
          <w:p>
            <w:pPr>
              <w:spacing w:after="20" w:before="0"/>
              <w:jc w:val="center"/>
            </w:pPr>
            <w:r/>
            <w:r>
              <w:rPr>
                <w:rFonts w:ascii="Lato" w:hAnsi="Lato" w:cs="Lato"/>
                <w:b/>
                <w:i w:val="0"/>
                <w:color w:val="FFFFFF"/>
                <w:sz w:val="17"/>
              </w:rPr>
              <w:t>Allianz</w:t>
            </w:r>
          </w:p>
        </w:tc>
        <w:tc>
          <w:tcPr>
            <w:tcW w:type="dxa" w:w="850"/>
            <w:shd w:val="clear" w:color="auto" w:fill="00648B"/>
          </w:tcPr>
          <w:p>
            <w:pPr>
              <w:spacing w:after="20" w:before="0"/>
              <w:jc w:val="center"/>
            </w:pPr>
            <w:r/>
            <w:r>
              <w:rPr>
                <w:rFonts w:ascii="Lato" w:hAnsi="Lato" w:cs="Lato"/>
                <w:b/>
                <w:i w:val="0"/>
                <w:color w:val="FFFFFF"/>
                <w:sz w:val="17"/>
              </w:rPr>
              <w:t>AXA XL</w:t>
            </w:r>
          </w:p>
        </w:tc>
        <w:tc>
          <w:tcPr>
            <w:tcW w:type="dxa" w:w="850"/>
            <w:shd w:val="clear" w:color="auto" w:fill="00648B"/>
          </w:tcPr>
          <w:p>
            <w:pPr>
              <w:spacing w:after="20" w:before="0"/>
              <w:jc w:val="center"/>
            </w:pPr>
            <w:r/>
            <w:r>
              <w:rPr>
                <w:rFonts w:ascii="Lato" w:hAnsi="Lato" w:cs="Lato"/>
                <w:b/>
                <w:i w:val="0"/>
                <w:color w:val="FFFFFF"/>
                <w:sz w:val="17"/>
              </w:rPr>
              <w:t>Ent.Elite</w:t>
            </w:r>
          </w:p>
        </w:tc>
        <w:tc>
          <w:tcPr>
            <w:tcW w:type="dxa" w:w="6917"/>
            <w:shd w:val="clear" w:color="auto" w:fill="00648B"/>
          </w:tcPr>
          <w:p>
            <w:pPr>
              <w:spacing w:after="20" w:before="0"/>
              <w:jc w:val="center"/>
            </w:pPr>
            <w:r/>
            <w:r>
              <w:rPr>
                <w:rFonts w:ascii="Lato" w:hAnsi="Lato" w:cs="Lato"/>
                <w:b/>
                <w:i w:val="0"/>
                <w:color w:val="FFFFFF"/>
                <w:sz w:val="17"/>
              </w:rPr>
              <w:t>Legal significance / note</w:t>
            </w:r>
          </w:p>
        </w:tc>
      </w:tr>
      <w:tr>
        <w:tc>
          <w:tcPr>
            <w:tcW w:type="dxa" w:w="2381"/>
          </w:tcPr>
          <w:p>
            <w:pPr>
              <w:spacing w:after="20" w:before="0"/>
            </w:pPr>
            <w:r/>
            <w:r>
              <w:rPr>
                <w:rFonts w:ascii="Lato" w:hAnsi="Lato" w:cs="Lato"/>
                <w:b/>
                <w:i w:val="0"/>
                <w:color w:val="00648B"/>
                <w:sz w:val="15"/>
              </w:rPr>
              <w:t>Abuse / molestation exclusion (PL) applies</w:t>
            </w:r>
          </w:p>
        </w:tc>
        <w:tc>
          <w:tcPr>
            <w:tcW w:type="dxa" w:w="850"/>
            <w:shd w:val="clear" w:color="auto" w:fill="E3F1E8"/>
          </w:tcPr>
          <w:p>
            <w:pPr>
              <w:spacing w:after="0" w:before="0"/>
              <w:jc w:val="center"/>
            </w:pPr>
            <w:r/>
            <w:r>
              <w:rPr>
                <w:rFonts w:ascii="Lato" w:hAnsi="Lato" w:cs="Lato"/>
                <w:b/>
                <w:i w:val="0"/>
                <w:color w:val="1B7A3D"/>
                <w:sz w:val="19"/>
              </w:rPr>
              <w:t>✓</w:t>
            </w:r>
          </w:p>
        </w:tc>
        <w:tc>
          <w:tcPr>
            <w:tcW w:type="dxa" w:w="850"/>
            <w:shd w:val="clear" w:color="auto" w:fill="FBE6EA"/>
          </w:tcPr>
          <w:p>
            <w:pPr>
              <w:spacing w:after="0" w:before="0"/>
              <w:jc w:val="center"/>
            </w:pPr>
            <w:r/>
            <w:r>
              <w:rPr>
                <w:rFonts w:ascii="Lato" w:hAnsi="Lato" w:cs="Lato"/>
                <w:b/>
                <w:i w:val="0"/>
                <w:color w:val="A4233B"/>
                <w:sz w:val="19"/>
              </w:rPr>
              <w:t>✗</w:t>
            </w:r>
          </w:p>
        </w:tc>
        <w:tc>
          <w:tcPr>
            <w:tcW w:type="dxa" w:w="850"/>
            <w:shd w:val="clear" w:color="auto" w:fill="E3F1E8"/>
          </w:tcPr>
          <w:p>
            <w:pPr>
              <w:spacing w:after="0" w:before="0"/>
              <w:jc w:val="center"/>
            </w:pPr>
            <w:r/>
            <w:r>
              <w:rPr>
                <w:rFonts w:ascii="Lato" w:hAnsi="Lato" w:cs="Lato"/>
                <w:b/>
                <w:i w:val="0"/>
                <w:color w:val="1B7A3D"/>
                <w:sz w:val="19"/>
              </w:rPr>
              <w:t>✓</w:t>
            </w:r>
          </w:p>
        </w:tc>
        <w:tc>
          <w:tcPr>
            <w:tcW w:type="dxa" w:w="850"/>
            <w:shd w:val="clear" w:color="auto" w:fill="FBE6EA"/>
          </w:tcPr>
          <w:p>
            <w:pPr>
              <w:spacing w:after="0" w:before="0"/>
              <w:jc w:val="center"/>
            </w:pPr>
            <w:r/>
            <w:r>
              <w:rPr>
                <w:rFonts w:ascii="Lato" w:hAnsi="Lato" w:cs="Lato"/>
                <w:b/>
                <w:i w:val="0"/>
                <w:color w:val="A4233B"/>
                <w:sz w:val="19"/>
              </w:rPr>
              <w:t>✗</w:t>
            </w:r>
          </w:p>
        </w:tc>
        <w:tc>
          <w:tcPr>
            <w:tcW w:type="dxa" w:w="850"/>
            <w:shd w:val="clear" w:color="auto" w:fill="FBE6EA"/>
          </w:tcPr>
          <w:p>
            <w:pPr>
              <w:spacing w:after="0" w:before="0"/>
              <w:jc w:val="center"/>
            </w:pPr>
            <w:r/>
            <w:r>
              <w:rPr>
                <w:rFonts w:ascii="Lato" w:hAnsi="Lato" w:cs="Lato"/>
                <w:b/>
                <w:i w:val="0"/>
                <w:color w:val="A4233B"/>
                <w:sz w:val="19"/>
              </w:rPr>
              <w:t>✗</w:t>
            </w:r>
          </w:p>
        </w:tc>
        <w:tc>
          <w:tcPr>
            <w:tcW w:type="dxa" w:w="850"/>
            <w:shd w:val="clear" w:color="auto" w:fill="E3F1E8"/>
          </w:tcPr>
          <w:p>
            <w:pPr>
              <w:spacing w:after="0" w:before="0"/>
              <w:jc w:val="center"/>
            </w:pPr>
            <w:r/>
            <w:r>
              <w:rPr>
                <w:rFonts w:ascii="Lato" w:hAnsi="Lato" w:cs="Lato"/>
                <w:b/>
                <w:i w:val="0"/>
                <w:color w:val="1B7A3D"/>
                <w:sz w:val="19"/>
              </w:rPr>
              <w:t>✓</w:t>
            </w:r>
          </w:p>
        </w:tc>
        <w:tc>
          <w:tcPr>
            <w:tcW w:type="dxa" w:w="850"/>
            <w:shd w:val="clear" w:color="auto" w:fill="FBE6EA"/>
          </w:tcPr>
          <w:p>
            <w:pPr>
              <w:spacing w:after="0" w:before="0"/>
              <w:jc w:val="center"/>
            </w:pPr>
            <w:r/>
            <w:r>
              <w:rPr>
                <w:rFonts w:ascii="Lato" w:hAnsi="Lato" w:cs="Lato"/>
                <w:b/>
                <w:i w:val="0"/>
                <w:color w:val="A4233B"/>
                <w:sz w:val="19"/>
              </w:rPr>
              <w:t>✗</w:t>
            </w:r>
          </w:p>
        </w:tc>
        <w:tc>
          <w:tcPr>
            <w:tcW w:type="dxa" w:w="6917"/>
          </w:tcPr>
          <w:p>
            <w:pPr>
              <w:spacing w:after="20" w:before="0"/>
            </w:pPr>
            <w:r/>
            <w:r>
              <w:rPr>
                <w:rFonts w:ascii="Lato" w:hAnsi="Lato" w:cs="Lato"/>
                <w:b w:val="0"/>
                <w:i w:val="0"/>
                <w:color w:val="2B2F33"/>
                <w:sz w:val="14"/>
              </w:rPr>
              <w:t>TMHCC, Yutree and AXA XL EXCLUDE abuse; Tysers, Liberty, Allianz and Entertainment Elite have NO express abuse exclusion located (silent). See Section A.</w:t>
            </w:r>
          </w:p>
        </w:tc>
      </w:tr>
      <w:tr>
        <w:tc>
          <w:tcPr>
            <w:tcW w:type="dxa" w:w="2381"/>
            <w:shd w:val="clear" w:color="auto" w:fill="F4F7F9"/>
          </w:tcPr>
          <w:p>
            <w:pPr>
              <w:spacing w:after="20" w:before="0"/>
            </w:pPr>
            <w:r/>
            <w:r>
              <w:rPr>
                <w:rFonts w:ascii="Lato" w:hAnsi="Lato" w:cs="Lato"/>
                <w:b/>
                <w:i w:val="0"/>
                <w:color w:val="00648B"/>
                <w:sz w:val="15"/>
              </w:rPr>
              <w:t>War / nuclear / radioactive contamination</w:t>
            </w:r>
          </w:p>
        </w:tc>
        <w:tc>
          <w:tcPr>
            <w:tcW w:type="dxa" w:w="850"/>
            <w:shd w:val="clear" w:color="auto" w:fill="E3F1E8"/>
          </w:tcPr>
          <w:p>
            <w:pPr>
              <w:spacing w:after="0" w:before="0"/>
              <w:jc w:val="center"/>
            </w:pPr>
            <w:r/>
            <w:r>
              <w:rPr>
                <w:rFonts w:ascii="Lato" w:hAnsi="Lato" w:cs="Lato"/>
                <w:b/>
                <w:i w:val="0"/>
                <w:color w:val="1B7A3D"/>
                <w:sz w:val="19"/>
              </w:rPr>
              <w:t>✓</w:t>
            </w:r>
          </w:p>
        </w:tc>
        <w:tc>
          <w:tcPr>
            <w:tcW w:type="dxa" w:w="850"/>
            <w:shd w:val="clear" w:color="auto" w:fill="E3F1E8"/>
          </w:tcPr>
          <w:p>
            <w:pPr>
              <w:spacing w:after="0" w:before="0"/>
              <w:jc w:val="center"/>
            </w:pPr>
            <w:r/>
            <w:r>
              <w:rPr>
                <w:rFonts w:ascii="Lato" w:hAnsi="Lato" w:cs="Lato"/>
                <w:b/>
                <w:i w:val="0"/>
                <w:color w:val="1B7A3D"/>
                <w:sz w:val="19"/>
              </w:rPr>
              <w:t>✓</w:t>
            </w:r>
          </w:p>
        </w:tc>
        <w:tc>
          <w:tcPr>
            <w:tcW w:type="dxa" w:w="850"/>
            <w:shd w:val="clear" w:color="auto" w:fill="E3F1E8"/>
          </w:tcPr>
          <w:p>
            <w:pPr>
              <w:spacing w:after="0" w:before="0"/>
              <w:jc w:val="center"/>
            </w:pPr>
            <w:r/>
            <w:r>
              <w:rPr>
                <w:rFonts w:ascii="Lato" w:hAnsi="Lato" w:cs="Lato"/>
                <w:b/>
                <w:i w:val="0"/>
                <w:color w:val="1B7A3D"/>
                <w:sz w:val="19"/>
              </w:rPr>
              <w:t>✓</w:t>
            </w:r>
          </w:p>
        </w:tc>
        <w:tc>
          <w:tcPr>
            <w:tcW w:type="dxa" w:w="850"/>
            <w:shd w:val="clear" w:color="auto" w:fill="E3F1E8"/>
          </w:tcPr>
          <w:p>
            <w:pPr>
              <w:spacing w:after="0" w:before="0"/>
              <w:jc w:val="center"/>
            </w:pPr>
            <w:r/>
            <w:r>
              <w:rPr>
                <w:rFonts w:ascii="Lato" w:hAnsi="Lato" w:cs="Lato"/>
                <w:b/>
                <w:i w:val="0"/>
                <w:color w:val="1B7A3D"/>
                <w:sz w:val="19"/>
              </w:rPr>
              <w:t>✓</w:t>
            </w:r>
          </w:p>
        </w:tc>
        <w:tc>
          <w:tcPr>
            <w:tcW w:type="dxa" w:w="850"/>
            <w:shd w:val="clear" w:color="auto" w:fill="E3F1E8"/>
          </w:tcPr>
          <w:p>
            <w:pPr>
              <w:spacing w:after="0" w:before="0"/>
              <w:jc w:val="center"/>
            </w:pPr>
            <w:r/>
            <w:r>
              <w:rPr>
                <w:rFonts w:ascii="Lato" w:hAnsi="Lato" w:cs="Lato"/>
                <w:b/>
                <w:i w:val="0"/>
                <w:color w:val="1B7A3D"/>
                <w:sz w:val="19"/>
              </w:rPr>
              <w:t>✓</w:t>
            </w:r>
          </w:p>
        </w:tc>
        <w:tc>
          <w:tcPr>
            <w:tcW w:type="dxa" w:w="850"/>
            <w:shd w:val="clear" w:color="auto" w:fill="E3F1E8"/>
          </w:tcPr>
          <w:p>
            <w:pPr>
              <w:spacing w:after="0" w:before="0"/>
              <w:jc w:val="center"/>
            </w:pPr>
            <w:r/>
            <w:r>
              <w:rPr>
                <w:rFonts w:ascii="Lato" w:hAnsi="Lato" w:cs="Lato"/>
                <w:b/>
                <w:i w:val="0"/>
                <w:color w:val="1B7A3D"/>
                <w:sz w:val="19"/>
              </w:rPr>
              <w:t>✓</w:t>
            </w:r>
          </w:p>
        </w:tc>
        <w:tc>
          <w:tcPr>
            <w:tcW w:type="dxa" w:w="850"/>
            <w:shd w:val="clear" w:color="auto" w:fill="E3F1E8"/>
          </w:tcPr>
          <w:p>
            <w:pPr>
              <w:spacing w:after="0" w:before="0"/>
              <w:jc w:val="center"/>
            </w:pPr>
            <w:r/>
            <w:r>
              <w:rPr>
                <w:rFonts w:ascii="Lato" w:hAnsi="Lato" w:cs="Lato"/>
                <w:b/>
                <w:i w:val="0"/>
                <w:color w:val="1B7A3D"/>
                <w:sz w:val="19"/>
              </w:rPr>
              <w:t>✓</w:t>
            </w:r>
          </w:p>
        </w:tc>
        <w:tc>
          <w:tcPr>
            <w:tcW w:type="dxa" w:w="6917"/>
            <w:shd w:val="clear" w:color="auto" w:fill="F4F7F9"/>
          </w:tcPr>
          <w:p>
            <w:pPr>
              <w:spacing w:after="20" w:before="0"/>
            </w:pPr>
            <w:r/>
            <w:r>
              <w:rPr>
                <w:rFonts w:ascii="Lato" w:hAnsi="Lato" w:cs="Lato"/>
                <w:b w:val="0"/>
                <w:i w:val="0"/>
                <w:color w:val="2B2F33"/>
                <w:sz w:val="14"/>
              </w:rPr>
              <w:t>Standard market exclusion present in all six wordings (AXA XL 3.3/3.5, incl. weapons of mass destruction). Broadly equivalent.</w:t>
            </w:r>
          </w:p>
        </w:tc>
      </w:tr>
      <w:tr>
        <w:tc>
          <w:tcPr>
            <w:tcW w:type="dxa" w:w="2381"/>
          </w:tcPr>
          <w:p>
            <w:pPr>
              <w:spacing w:after="20" w:before="0"/>
            </w:pPr>
            <w:r/>
            <w:r>
              <w:rPr>
                <w:rFonts w:ascii="Lato" w:hAnsi="Lato" w:cs="Lato"/>
                <w:b/>
                <w:i w:val="0"/>
                <w:color w:val="00648B"/>
                <w:sz w:val="15"/>
              </w:rPr>
              <w:t>Terrorism (property/BI)</w:t>
            </w:r>
          </w:p>
        </w:tc>
        <w:tc>
          <w:tcPr>
            <w:tcW w:type="dxa" w:w="850"/>
            <w:shd w:val="clear" w:color="auto" w:fill="FBF1DA"/>
          </w:tcPr>
          <w:p>
            <w:pPr>
              <w:spacing w:after="0" w:before="0"/>
              <w:jc w:val="center"/>
            </w:pPr>
            <w:r/>
            <w:r>
              <w:rPr>
                <w:rFonts w:ascii="Lato" w:hAnsi="Lato" w:cs="Lato"/>
                <w:b/>
                <w:i w:val="0"/>
                <w:color w:val="8A6A1E"/>
                <w:sz w:val="19"/>
              </w:rPr>
              <w:t>◐</w:t>
            </w:r>
          </w:p>
        </w:tc>
        <w:tc>
          <w:tcPr>
            <w:tcW w:type="dxa" w:w="850"/>
            <w:shd w:val="clear" w:color="auto" w:fill="E3F1E8"/>
          </w:tcPr>
          <w:p>
            <w:pPr>
              <w:spacing w:after="0" w:before="0"/>
              <w:jc w:val="center"/>
            </w:pPr>
            <w:r/>
            <w:r>
              <w:rPr>
                <w:rFonts w:ascii="Lato" w:hAnsi="Lato" w:cs="Lato"/>
                <w:b/>
                <w:i w:val="0"/>
                <w:color w:val="1B7A3D"/>
                <w:sz w:val="19"/>
              </w:rPr>
              <w:t>✓</w:t>
            </w:r>
          </w:p>
        </w:tc>
        <w:tc>
          <w:tcPr>
            <w:tcW w:type="dxa" w:w="850"/>
            <w:shd w:val="clear" w:color="auto" w:fill="FBF1DA"/>
          </w:tcPr>
          <w:p>
            <w:pPr>
              <w:spacing w:after="0" w:before="0"/>
              <w:jc w:val="center"/>
            </w:pPr>
            <w:r/>
            <w:r>
              <w:rPr>
                <w:rFonts w:ascii="Lato" w:hAnsi="Lato" w:cs="Lato"/>
                <w:b/>
                <w:i w:val="0"/>
                <w:color w:val="8A6A1E"/>
                <w:sz w:val="19"/>
              </w:rPr>
              <w:t>◐</w:t>
            </w:r>
          </w:p>
        </w:tc>
        <w:tc>
          <w:tcPr>
            <w:tcW w:type="dxa" w:w="850"/>
            <w:shd w:val="clear" w:color="auto" w:fill="FBF1DA"/>
          </w:tcPr>
          <w:p>
            <w:pPr>
              <w:spacing w:after="0" w:before="0"/>
              <w:jc w:val="center"/>
            </w:pPr>
            <w:r/>
            <w:r>
              <w:rPr>
                <w:rFonts w:ascii="Lato" w:hAnsi="Lato" w:cs="Lato"/>
                <w:b/>
                <w:i w:val="0"/>
                <w:color w:val="8A6A1E"/>
                <w:sz w:val="19"/>
              </w:rPr>
              <w:t>◐</w:t>
            </w:r>
          </w:p>
        </w:tc>
        <w:tc>
          <w:tcPr>
            <w:tcW w:type="dxa" w:w="850"/>
            <w:shd w:val="clear" w:color="auto" w:fill="FBF1DA"/>
          </w:tcPr>
          <w:p>
            <w:pPr>
              <w:spacing w:after="0" w:before="0"/>
              <w:jc w:val="center"/>
            </w:pPr>
            <w:r/>
            <w:r>
              <w:rPr>
                <w:rFonts w:ascii="Lato" w:hAnsi="Lato" w:cs="Lato"/>
                <w:b/>
                <w:i w:val="0"/>
                <w:color w:val="8A6A1E"/>
                <w:sz w:val="19"/>
              </w:rPr>
              <w:t>◐</w:t>
            </w:r>
          </w:p>
        </w:tc>
        <w:tc>
          <w:tcPr>
            <w:tcW w:type="dxa" w:w="850"/>
            <w:shd w:val="clear" w:color="auto" w:fill="E3F1E8"/>
          </w:tcPr>
          <w:p>
            <w:pPr>
              <w:spacing w:after="0" w:before="0"/>
              <w:jc w:val="center"/>
            </w:pPr>
            <w:r/>
            <w:r>
              <w:rPr>
                <w:rFonts w:ascii="Lato" w:hAnsi="Lato" w:cs="Lato"/>
                <w:b/>
                <w:i w:val="0"/>
                <w:color w:val="1B7A3D"/>
                <w:sz w:val="19"/>
              </w:rPr>
              <w:t>✓</w:t>
            </w:r>
          </w:p>
        </w:tc>
        <w:tc>
          <w:tcPr>
            <w:tcW w:type="dxa" w:w="850"/>
            <w:shd w:val="clear" w:color="auto" w:fill="FBF1DA"/>
          </w:tcPr>
          <w:p>
            <w:pPr>
              <w:spacing w:after="0" w:before="0"/>
              <w:jc w:val="center"/>
            </w:pPr>
            <w:r/>
            <w:r>
              <w:rPr>
                <w:rFonts w:ascii="Lato" w:hAnsi="Lato" w:cs="Lato"/>
                <w:b/>
                <w:i w:val="0"/>
                <w:color w:val="8A6A1E"/>
                <w:sz w:val="19"/>
              </w:rPr>
              <w:t>◐</w:t>
            </w:r>
          </w:p>
        </w:tc>
        <w:tc>
          <w:tcPr>
            <w:tcW w:type="dxa" w:w="6917"/>
          </w:tcPr>
          <w:p>
            <w:pPr>
              <w:spacing w:after="20" w:before="0"/>
            </w:pPr>
            <w:r/>
            <w:r>
              <w:rPr>
                <w:rFonts w:ascii="Lato" w:hAnsi="Lato" w:cs="Lato"/>
                <w:b w:val="0"/>
                <w:i w:val="0"/>
                <w:color w:val="2B2F33"/>
                <w:sz w:val="14"/>
              </w:rPr>
              <w:t>TMHCC, Yutree, Liberty, Allianz write terrorism back via a dedicated section. Tysers and AXA XL (3.4) EXCLUDE terrorism outright with no buy-back.</w:t>
            </w:r>
          </w:p>
        </w:tc>
      </w:tr>
      <w:tr>
        <w:tc>
          <w:tcPr>
            <w:tcW w:type="dxa" w:w="2381"/>
            <w:shd w:val="clear" w:color="auto" w:fill="F4F7F9"/>
          </w:tcPr>
          <w:p>
            <w:pPr>
              <w:spacing w:after="20" w:before="0"/>
            </w:pPr>
            <w:r/>
            <w:r>
              <w:rPr>
                <w:rFonts w:ascii="Lato" w:hAnsi="Lato" w:cs="Lato"/>
                <w:b/>
                <w:i w:val="0"/>
                <w:color w:val="00648B"/>
                <w:sz w:val="15"/>
              </w:rPr>
              <w:t>Pollution / contamination</w:t>
            </w:r>
          </w:p>
        </w:tc>
        <w:tc>
          <w:tcPr>
            <w:tcW w:type="dxa" w:w="850"/>
            <w:shd w:val="clear" w:color="auto" w:fill="E3F1E8"/>
          </w:tcPr>
          <w:p>
            <w:pPr>
              <w:spacing w:after="0" w:before="0"/>
              <w:jc w:val="center"/>
            </w:pPr>
            <w:r/>
            <w:r>
              <w:rPr>
                <w:rFonts w:ascii="Lato" w:hAnsi="Lato" w:cs="Lato"/>
                <w:b/>
                <w:i w:val="0"/>
                <w:color w:val="1B7A3D"/>
                <w:sz w:val="19"/>
              </w:rPr>
              <w:t>✓</w:t>
            </w:r>
          </w:p>
        </w:tc>
        <w:tc>
          <w:tcPr>
            <w:tcW w:type="dxa" w:w="850"/>
            <w:shd w:val="clear" w:color="auto" w:fill="E3F1E8"/>
          </w:tcPr>
          <w:p>
            <w:pPr>
              <w:spacing w:after="0" w:before="0"/>
              <w:jc w:val="center"/>
            </w:pPr>
            <w:r/>
            <w:r>
              <w:rPr>
                <w:rFonts w:ascii="Lato" w:hAnsi="Lato" w:cs="Lato"/>
                <w:b/>
                <w:i w:val="0"/>
                <w:color w:val="1B7A3D"/>
                <w:sz w:val="19"/>
              </w:rPr>
              <w:t>✓</w:t>
            </w:r>
          </w:p>
        </w:tc>
        <w:tc>
          <w:tcPr>
            <w:tcW w:type="dxa" w:w="850"/>
            <w:shd w:val="clear" w:color="auto" w:fill="E3F1E8"/>
          </w:tcPr>
          <w:p>
            <w:pPr>
              <w:spacing w:after="0" w:before="0"/>
              <w:jc w:val="center"/>
            </w:pPr>
            <w:r/>
            <w:r>
              <w:rPr>
                <w:rFonts w:ascii="Lato" w:hAnsi="Lato" w:cs="Lato"/>
                <w:b/>
                <w:i w:val="0"/>
                <w:color w:val="1B7A3D"/>
                <w:sz w:val="19"/>
              </w:rPr>
              <w:t>✓</w:t>
            </w:r>
          </w:p>
        </w:tc>
        <w:tc>
          <w:tcPr>
            <w:tcW w:type="dxa" w:w="850"/>
            <w:shd w:val="clear" w:color="auto" w:fill="E3F1E8"/>
          </w:tcPr>
          <w:p>
            <w:pPr>
              <w:spacing w:after="0" w:before="0"/>
              <w:jc w:val="center"/>
            </w:pPr>
            <w:r/>
            <w:r>
              <w:rPr>
                <w:rFonts w:ascii="Lato" w:hAnsi="Lato" w:cs="Lato"/>
                <w:b/>
                <w:i w:val="0"/>
                <w:color w:val="1B7A3D"/>
                <w:sz w:val="19"/>
              </w:rPr>
              <w:t>✓</w:t>
            </w:r>
          </w:p>
        </w:tc>
        <w:tc>
          <w:tcPr>
            <w:tcW w:type="dxa" w:w="850"/>
            <w:shd w:val="clear" w:color="auto" w:fill="E3F1E8"/>
          </w:tcPr>
          <w:p>
            <w:pPr>
              <w:spacing w:after="0" w:before="0"/>
              <w:jc w:val="center"/>
            </w:pPr>
            <w:r/>
            <w:r>
              <w:rPr>
                <w:rFonts w:ascii="Lato" w:hAnsi="Lato" w:cs="Lato"/>
                <w:b/>
                <w:i w:val="0"/>
                <w:color w:val="1B7A3D"/>
                <w:sz w:val="19"/>
              </w:rPr>
              <w:t>✓</w:t>
            </w:r>
          </w:p>
        </w:tc>
        <w:tc>
          <w:tcPr>
            <w:tcW w:type="dxa" w:w="850"/>
            <w:shd w:val="clear" w:color="auto" w:fill="E3F1E8"/>
          </w:tcPr>
          <w:p>
            <w:pPr>
              <w:spacing w:after="0" w:before="0"/>
              <w:jc w:val="center"/>
            </w:pPr>
            <w:r/>
            <w:r>
              <w:rPr>
                <w:rFonts w:ascii="Lato" w:hAnsi="Lato" w:cs="Lato"/>
                <w:b/>
                <w:i w:val="0"/>
                <w:color w:val="1B7A3D"/>
                <w:sz w:val="19"/>
              </w:rPr>
              <w:t>✓</w:t>
            </w:r>
          </w:p>
        </w:tc>
        <w:tc>
          <w:tcPr>
            <w:tcW w:type="dxa" w:w="850"/>
            <w:shd w:val="clear" w:color="auto" w:fill="E3F1E8"/>
          </w:tcPr>
          <w:p>
            <w:pPr>
              <w:spacing w:after="0" w:before="0"/>
              <w:jc w:val="center"/>
            </w:pPr>
            <w:r/>
            <w:r>
              <w:rPr>
                <w:rFonts w:ascii="Lato" w:hAnsi="Lato" w:cs="Lato"/>
                <w:b/>
                <w:i w:val="0"/>
                <w:color w:val="1B7A3D"/>
                <w:sz w:val="19"/>
              </w:rPr>
              <w:t>✓</w:t>
            </w:r>
          </w:p>
        </w:tc>
        <w:tc>
          <w:tcPr>
            <w:tcW w:type="dxa" w:w="6917"/>
            <w:shd w:val="clear" w:color="auto" w:fill="F4F7F9"/>
          </w:tcPr>
          <w:p>
            <w:pPr>
              <w:spacing w:after="20" w:before="0"/>
            </w:pPr>
            <w:r/>
            <w:r>
              <w:rPr>
                <w:rFonts w:ascii="Lato" w:hAnsi="Lato" w:cs="Lato"/>
                <w:b w:val="0"/>
                <w:i w:val="0"/>
                <w:color w:val="2B2F33"/>
                <w:sz w:val="14"/>
              </w:rPr>
              <w:t>Excluded by all with the usual sudden/accidental &amp; defined-peril write-backs (AXA XL: MD exclusion (p) and Liability pollution exclusion). Equivalent.</w:t>
            </w:r>
          </w:p>
        </w:tc>
      </w:tr>
      <w:tr>
        <w:tc>
          <w:tcPr>
            <w:tcW w:type="dxa" w:w="2381"/>
          </w:tcPr>
          <w:p>
            <w:pPr>
              <w:spacing w:after="20" w:before="0"/>
            </w:pPr>
            <w:r/>
            <w:r>
              <w:rPr>
                <w:rFonts w:ascii="Lato" w:hAnsi="Lato" w:cs="Lato"/>
                <w:b/>
                <w:i w:val="0"/>
                <w:color w:val="00648B"/>
                <w:sz w:val="15"/>
              </w:rPr>
              <w:t>Asbestos</w:t>
            </w:r>
          </w:p>
        </w:tc>
        <w:tc>
          <w:tcPr>
            <w:tcW w:type="dxa" w:w="850"/>
            <w:shd w:val="clear" w:color="auto" w:fill="E3F1E8"/>
          </w:tcPr>
          <w:p>
            <w:pPr>
              <w:spacing w:after="0" w:before="0"/>
              <w:jc w:val="center"/>
            </w:pPr>
            <w:r/>
            <w:r>
              <w:rPr>
                <w:rFonts w:ascii="Lato" w:hAnsi="Lato" w:cs="Lato"/>
                <w:b/>
                <w:i w:val="0"/>
                <w:color w:val="1B7A3D"/>
                <w:sz w:val="19"/>
              </w:rPr>
              <w:t>✓</w:t>
            </w:r>
          </w:p>
        </w:tc>
        <w:tc>
          <w:tcPr>
            <w:tcW w:type="dxa" w:w="850"/>
            <w:shd w:val="clear" w:color="auto" w:fill="FBF1DA"/>
          </w:tcPr>
          <w:p>
            <w:pPr>
              <w:spacing w:after="0" w:before="0"/>
              <w:jc w:val="center"/>
            </w:pPr>
            <w:r/>
            <w:r>
              <w:rPr>
                <w:rFonts w:ascii="Lato" w:hAnsi="Lato" w:cs="Lato"/>
                <w:b/>
                <w:i w:val="0"/>
                <w:color w:val="8A6A1E"/>
                <w:sz w:val="19"/>
              </w:rPr>
              <w:t>◐</w:t>
            </w:r>
          </w:p>
        </w:tc>
        <w:tc>
          <w:tcPr>
            <w:tcW w:type="dxa" w:w="850"/>
            <w:shd w:val="clear" w:color="auto" w:fill="E3F1E8"/>
          </w:tcPr>
          <w:p>
            <w:pPr>
              <w:spacing w:after="0" w:before="0"/>
              <w:jc w:val="center"/>
            </w:pPr>
            <w:r/>
            <w:r>
              <w:rPr>
                <w:rFonts w:ascii="Lato" w:hAnsi="Lato" w:cs="Lato"/>
                <w:b/>
                <w:i w:val="0"/>
                <w:color w:val="1B7A3D"/>
                <w:sz w:val="19"/>
              </w:rPr>
              <w:t>✓</w:t>
            </w:r>
          </w:p>
        </w:tc>
        <w:tc>
          <w:tcPr>
            <w:tcW w:type="dxa" w:w="850"/>
            <w:shd w:val="clear" w:color="auto" w:fill="E3F1E8"/>
          </w:tcPr>
          <w:p>
            <w:pPr>
              <w:spacing w:after="0" w:before="0"/>
              <w:jc w:val="center"/>
            </w:pPr>
            <w:r/>
            <w:r>
              <w:rPr>
                <w:rFonts w:ascii="Lato" w:hAnsi="Lato" w:cs="Lato"/>
                <w:b/>
                <w:i w:val="0"/>
                <w:color w:val="1B7A3D"/>
                <w:sz w:val="19"/>
              </w:rPr>
              <w:t>✓</w:t>
            </w:r>
          </w:p>
        </w:tc>
        <w:tc>
          <w:tcPr>
            <w:tcW w:type="dxa" w:w="850"/>
            <w:shd w:val="clear" w:color="auto" w:fill="E3F1E8"/>
          </w:tcPr>
          <w:p>
            <w:pPr>
              <w:spacing w:after="0" w:before="0"/>
              <w:jc w:val="center"/>
            </w:pPr>
            <w:r/>
            <w:r>
              <w:rPr>
                <w:rFonts w:ascii="Lato" w:hAnsi="Lato" w:cs="Lato"/>
                <w:b/>
                <w:i w:val="0"/>
                <w:color w:val="1B7A3D"/>
                <w:sz w:val="19"/>
              </w:rPr>
              <w:t>✓</w:t>
            </w:r>
          </w:p>
        </w:tc>
        <w:tc>
          <w:tcPr>
            <w:tcW w:type="dxa" w:w="850"/>
            <w:shd w:val="clear" w:color="auto" w:fill="E3F1E8"/>
          </w:tcPr>
          <w:p>
            <w:pPr>
              <w:spacing w:after="0" w:before="0"/>
              <w:jc w:val="center"/>
            </w:pPr>
            <w:r/>
            <w:r>
              <w:rPr>
                <w:rFonts w:ascii="Lato" w:hAnsi="Lato" w:cs="Lato"/>
                <w:b/>
                <w:i w:val="0"/>
                <w:color w:val="1B7A3D"/>
                <w:sz w:val="19"/>
              </w:rPr>
              <w:t>✓</w:t>
            </w:r>
          </w:p>
        </w:tc>
        <w:tc>
          <w:tcPr>
            <w:tcW w:type="dxa" w:w="850"/>
            <w:shd w:val="clear" w:color="auto" w:fill="E3F1E8"/>
          </w:tcPr>
          <w:p>
            <w:pPr>
              <w:spacing w:after="0" w:before="0"/>
              <w:jc w:val="center"/>
            </w:pPr>
            <w:r/>
            <w:r>
              <w:rPr>
                <w:rFonts w:ascii="Lato" w:hAnsi="Lato" w:cs="Lato"/>
                <w:b/>
                <w:i w:val="0"/>
                <w:color w:val="1B7A3D"/>
                <w:sz w:val="19"/>
              </w:rPr>
              <w:t>✓</w:t>
            </w:r>
          </w:p>
        </w:tc>
        <w:tc>
          <w:tcPr>
            <w:tcW w:type="dxa" w:w="6917"/>
          </w:tcPr>
          <w:p>
            <w:pPr>
              <w:spacing w:after="20" w:before="0"/>
            </w:pPr>
            <w:r/>
            <w:r>
              <w:rPr>
                <w:rFonts w:ascii="Lato" w:hAnsi="Lato" w:cs="Lato"/>
                <w:b w:val="0"/>
                <w:i w:val="0"/>
                <w:color w:val="2B2F33"/>
                <w:sz w:val="14"/>
              </w:rPr>
              <w:t>Tysers PI has a professional-duty WRITE-BACK (cover where liability arises from negligent advice, GBP 1m, ex-BI). TMHCC, Yutree and AXA XL (3.1, ex-EL) exclude asbestos more strictly.</w:t>
            </w:r>
          </w:p>
        </w:tc>
      </w:tr>
      <w:tr>
        <w:tc>
          <w:tcPr>
            <w:tcW w:type="dxa" w:w="2381"/>
            <w:shd w:val="clear" w:color="auto" w:fill="F4F7F9"/>
          </w:tcPr>
          <w:p>
            <w:pPr>
              <w:spacing w:after="20" w:before="0"/>
            </w:pPr>
            <w:r/>
            <w:r>
              <w:rPr>
                <w:rFonts w:ascii="Lato" w:hAnsi="Lato" w:cs="Lato"/>
                <w:b/>
                <w:i w:val="0"/>
                <w:color w:val="00648B"/>
                <w:sz w:val="15"/>
              </w:rPr>
              <w:t>Cyber / electronic risk (first-party damage &amp; BI)</w:t>
            </w:r>
          </w:p>
        </w:tc>
        <w:tc>
          <w:tcPr>
            <w:tcW w:type="dxa" w:w="850"/>
            <w:shd w:val="clear" w:color="auto" w:fill="E3F1E8"/>
          </w:tcPr>
          <w:p>
            <w:pPr>
              <w:spacing w:after="0" w:before="0"/>
              <w:jc w:val="center"/>
            </w:pPr>
            <w:r/>
            <w:r>
              <w:rPr>
                <w:rFonts w:ascii="Lato" w:hAnsi="Lato" w:cs="Lato"/>
                <w:b/>
                <w:i w:val="0"/>
                <w:color w:val="1B7A3D"/>
                <w:sz w:val="19"/>
              </w:rPr>
              <w:t>✓</w:t>
            </w:r>
          </w:p>
        </w:tc>
        <w:tc>
          <w:tcPr>
            <w:tcW w:type="dxa" w:w="850"/>
            <w:shd w:val="clear" w:color="auto" w:fill="E3F1E8"/>
          </w:tcPr>
          <w:p>
            <w:pPr>
              <w:spacing w:after="0" w:before="0"/>
              <w:jc w:val="center"/>
            </w:pPr>
            <w:r/>
            <w:r>
              <w:rPr>
                <w:rFonts w:ascii="Lato" w:hAnsi="Lato" w:cs="Lato"/>
                <w:b/>
                <w:i w:val="0"/>
                <w:color w:val="1B7A3D"/>
                <w:sz w:val="19"/>
              </w:rPr>
              <w:t>✓</w:t>
            </w:r>
          </w:p>
        </w:tc>
        <w:tc>
          <w:tcPr>
            <w:tcW w:type="dxa" w:w="850"/>
            <w:shd w:val="clear" w:color="auto" w:fill="E3F1E8"/>
          </w:tcPr>
          <w:p>
            <w:pPr>
              <w:spacing w:after="0" w:before="0"/>
              <w:jc w:val="center"/>
            </w:pPr>
            <w:r/>
            <w:r>
              <w:rPr>
                <w:rFonts w:ascii="Lato" w:hAnsi="Lato" w:cs="Lato"/>
                <w:b/>
                <w:i w:val="0"/>
                <w:color w:val="1B7A3D"/>
                <w:sz w:val="19"/>
              </w:rPr>
              <w:t>✓</w:t>
            </w:r>
          </w:p>
        </w:tc>
        <w:tc>
          <w:tcPr>
            <w:tcW w:type="dxa" w:w="850"/>
            <w:shd w:val="clear" w:color="auto" w:fill="E3F1E8"/>
          </w:tcPr>
          <w:p>
            <w:pPr>
              <w:spacing w:after="0" w:before="0"/>
              <w:jc w:val="center"/>
            </w:pPr>
            <w:r/>
            <w:r>
              <w:rPr>
                <w:rFonts w:ascii="Lato" w:hAnsi="Lato" w:cs="Lato"/>
                <w:b/>
                <w:i w:val="0"/>
                <w:color w:val="1B7A3D"/>
                <w:sz w:val="19"/>
              </w:rPr>
              <w:t>✓</w:t>
            </w:r>
          </w:p>
        </w:tc>
        <w:tc>
          <w:tcPr>
            <w:tcW w:type="dxa" w:w="850"/>
            <w:shd w:val="clear" w:color="auto" w:fill="E3F1E8"/>
          </w:tcPr>
          <w:p>
            <w:pPr>
              <w:spacing w:after="0" w:before="0"/>
              <w:jc w:val="center"/>
            </w:pPr>
            <w:r/>
            <w:r>
              <w:rPr>
                <w:rFonts w:ascii="Lato" w:hAnsi="Lato" w:cs="Lato"/>
                <w:b/>
                <w:i w:val="0"/>
                <w:color w:val="1B7A3D"/>
                <w:sz w:val="19"/>
              </w:rPr>
              <w:t>✓</w:t>
            </w:r>
          </w:p>
        </w:tc>
        <w:tc>
          <w:tcPr>
            <w:tcW w:type="dxa" w:w="850"/>
            <w:shd w:val="clear" w:color="auto" w:fill="E3F1E8"/>
          </w:tcPr>
          <w:p>
            <w:pPr>
              <w:spacing w:after="0" w:before="0"/>
              <w:jc w:val="center"/>
            </w:pPr>
            <w:r/>
            <w:r>
              <w:rPr>
                <w:rFonts w:ascii="Lato" w:hAnsi="Lato" w:cs="Lato"/>
                <w:b/>
                <w:i w:val="0"/>
                <w:color w:val="1B7A3D"/>
                <w:sz w:val="19"/>
              </w:rPr>
              <w:t>✓</w:t>
            </w:r>
          </w:p>
        </w:tc>
        <w:tc>
          <w:tcPr>
            <w:tcW w:type="dxa" w:w="850"/>
            <w:shd w:val="clear" w:color="auto" w:fill="E3F1E8"/>
          </w:tcPr>
          <w:p>
            <w:pPr>
              <w:spacing w:after="0" w:before="0"/>
              <w:jc w:val="center"/>
            </w:pPr>
            <w:r/>
            <w:r>
              <w:rPr>
                <w:rFonts w:ascii="Lato" w:hAnsi="Lato" w:cs="Lato"/>
                <w:b/>
                <w:i w:val="0"/>
                <w:color w:val="1B7A3D"/>
                <w:sz w:val="19"/>
              </w:rPr>
              <w:t>✓</w:t>
            </w:r>
          </w:p>
        </w:tc>
        <w:tc>
          <w:tcPr>
            <w:tcW w:type="dxa" w:w="6917"/>
            <w:shd w:val="clear" w:color="auto" w:fill="F4F7F9"/>
          </w:tcPr>
          <w:p>
            <w:pPr>
              <w:spacing w:after="20" w:before="0"/>
            </w:pPr>
            <w:r/>
            <w:r>
              <w:rPr>
                <w:rFonts w:ascii="Lato" w:hAnsi="Lato" w:cs="Lato"/>
                <w:b w:val="0"/>
                <w:i w:val="0"/>
                <w:color w:val="2B2F33"/>
                <w:sz w:val="14"/>
              </w:rPr>
              <w:t>All exclude cyber-caused damage/BI. KEY DIFFERENCE: TMHCC dis-applies its cyber/date exclusion to Sections 12–15; Tysers dis-applies Electronic Risk to S8 PI. AXA XL’s cyber exclusion (3.7) is broad with only a DP Act 2018 carve-out; Yutree’s PI carries a broad cyber/data exclusion.</w:t>
            </w:r>
          </w:p>
        </w:tc>
      </w:tr>
      <w:tr>
        <w:tc>
          <w:tcPr>
            <w:tcW w:type="dxa" w:w="2381"/>
          </w:tcPr>
          <w:p>
            <w:pPr>
              <w:spacing w:after="20" w:before="0"/>
            </w:pPr>
            <w:r/>
            <w:r>
              <w:rPr>
                <w:rFonts w:ascii="Lato" w:hAnsi="Lato" w:cs="Lato"/>
                <w:b/>
                <w:i w:val="0"/>
                <w:color w:val="00648B"/>
                <w:sz w:val="15"/>
              </w:rPr>
              <w:t>Date recognition / data-processing failure</w:t>
            </w:r>
          </w:p>
        </w:tc>
        <w:tc>
          <w:tcPr>
            <w:tcW w:type="dxa" w:w="850"/>
            <w:shd w:val="clear" w:color="auto" w:fill="E3F1E8"/>
          </w:tcPr>
          <w:p>
            <w:pPr>
              <w:spacing w:after="0" w:before="0"/>
              <w:jc w:val="center"/>
            </w:pPr>
            <w:r/>
            <w:r>
              <w:rPr>
                <w:rFonts w:ascii="Lato" w:hAnsi="Lato" w:cs="Lato"/>
                <w:b/>
                <w:i w:val="0"/>
                <w:color w:val="1B7A3D"/>
                <w:sz w:val="19"/>
              </w:rPr>
              <w:t>✓</w:t>
            </w:r>
          </w:p>
        </w:tc>
        <w:tc>
          <w:tcPr>
            <w:tcW w:type="dxa" w:w="850"/>
            <w:shd w:val="clear" w:color="auto" w:fill="E3F1E8"/>
          </w:tcPr>
          <w:p>
            <w:pPr>
              <w:spacing w:after="0" w:before="0"/>
              <w:jc w:val="center"/>
            </w:pPr>
            <w:r/>
            <w:r>
              <w:rPr>
                <w:rFonts w:ascii="Lato" w:hAnsi="Lato" w:cs="Lato"/>
                <w:b/>
                <w:i w:val="0"/>
                <w:color w:val="1B7A3D"/>
                <w:sz w:val="19"/>
              </w:rPr>
              <w:t>✓</w:t>
            </w:r>
          </w:p>
        </w:tc>
        <w:tc>
          <w:tcPr>
            <w:tcW w:type="dxa" w:w="850"/>
            <w:shd w:val="clear" w:color="auto" w:fill="E3F1E8"/>
          </w:tcPr>
          <w:p>
            <w:pPr>
              <w:spacing w:after="0" w:before="0"/>
              <w:jc w:val="center"/>
            </w:pPr>
            <w:r/>
            <w:r>
              <w:rPr>
                <w:rFonts w:ascii="Lato" w:hAnsi="Lato" w:cs="Lato"/>
                <w:b/>
                <w:i w:val="0"/>
                <w:color w:val="1B7A3D"/>
                <w:sz w:val="19"/>
              </w:rPr>
              <w:t>✓</w:t>
            </w:r>
          </w:p>
        </w:tc>
        <w:tc>
          <w:tcPr>
            <w:tcW w:type="dxa" w:w="850"/>
            <w:shd w:val="clear" w:color="auto" w:fill="E3F1E8"/>
          </w:tcPr>
          <w:p>
            <w:pPr>
              <w:spacing w:after="0" w:before="0"/>
              <w:jc w:val="center"/>
            </w:pPr>
            <w:r/>
            <w:r>
              <w:rPr>
                <w:rFonts w:ascii="Lato" w:hAnsi="Lato" w:cs="Lato"/>
                <w:b/>
                <w:i w:val="0"/>
                <w:color w:val="1B7A3D"/>
                <w:sz w:val="19"/>
              </w:rPr>
              <w:t>✓</w:t>
            </w:r>
          </w:p>
        </w:tc>
        <w:tc>
          <w:tcPr>
            <w:tcW w:type="dxa" w:w="850"/>
            <w:shd w:val="clear" w:color="auto" w:fill="E3F1E8"/>
          </w:tcPr>
          <w:p>
            <w:pPr>
              <w:spacing w:after="0" w:before="0"/>
              <w:jc w:val="center"/>
            </w:pPr>
            <w:r/>
            <w:r>
              <w:rPr>
                <w:rFonts w:ascii="Lato" w:hAnsi="Lato" w:cs="Lato"/>
                <w:b/>
                <w:i w:val="0"/>
                <w:color w:val="1B7A3D"/>
                <w:sz w:val="19"/>
              </w:rPr>
              <w:t>✓</w:t>
            </w:r>
          </w:p>
        </w:tc>
        <w:tc>
          <w:tcPr>
            <w:tcW w:type="dxa" w:w="850"/>
            <w:shd w:val="clear" w:color="auto" w:fill="FBF1DA"/>
          </w:tcPr>
          <w:p>
            <w:pPr>
              <w:spacing w:after="0" w:before="0"/>
              <w:jc w:val="center"/>
            </w:pPr>
            <w:r/>
            <w:r>
              <w:rPr>
                <w:rFonts w:ascii="Lato" w:hAnsi="Lato" w:cs="Lato"/>
                <w:b/>
                <w:i w:val="0"/>
                <w:color w:val="8A6A1E"/>
                <w:sz w:val="19"/>
              </w:rPr>
              <w:t>◐</w:t>
            </w:r>
          </w:p>
        </w:tc>
        <w:tc>
          <w:tcPr>
            <w:tcW w:type="dxa" w:w="850"/>
            <w:shd w:val="clear" w:color="auto" w:fill="E3F1E8"/>
          </w:tcPr>
          <w:p>
            <w:pPr>
              <w:spacing w:after="0" w:before="0"/>
              <w:jc w:val="center"/>
            </w:pPr>
            <w:r/>
            <w:r>
              <w:rPr>
                <w:rFonts w:ascii="Lato" w:hAnsi="Lato" w:cs="Lato"/>
                <w:b/>
                <w:i w:val="0"/>
                <w:color w:val="1B7A3D"/>
                <w:sz w:val="19"/>
              </w:rPr>
              <w:t>✓</w:t>
            </w:r>
          </w:p>
        </w:tc>
        <w:tc>
          <w:tcPr>
            <w:tcW w:type="dxa" w:w="6917"/>
          </w:tcPr>
          <w:p>
            <w:pPr>
              <w:spacing w:after="20" w:before="0"/>
            </w:pPr>
            <w:r/>
            <w:r>
              <w:rPr>
                <w:rFonts w:ascii="Lato" w:hAnsi="Lato" w:cs="Lato"/>
                <w:b w:val="0"/>
                <w:i w:val="0"/>
                <w:color w:val="2B2F33"/>
                <w:sz w:val="14"/>
              </w:rPr>
              <w:t>Standard ‘millennium/date’-style exclusion in the property packages. AXA XL has no separate date clause — subsumed within its broad cyber/electronic-data exclusion. Equivalent in substance.</w:t>
            </w:r>
          </w:p>
        </w:tc>
      </w:tr>
      <w:tr>
        <w:tc>
          <w:tcPr>
            <w:tcW w:type="dxa" w:w="2381"/>
            <w:shd w:val="clear" w:color="auto" w:fill="F4F7F9"/>
          </w:tcPr>
          <w:p>
            <w:pPr>
              <w:spacing w:after="20" w:before="0"/>
            </w:pPr>
            <w:r/>
            <w:r>
              <w:rPr>
                <w:rFonts w:ascii="Lato" w:hAnsi="Lato" w:cs="Lato"/>
                <w:b/>
                <w:i w:val="0"/>
                <w:color w:val="00648B"/>
                <w:sz w:val="15"/>
              </w:rPr>
              <w:t>Communicable disease / pandemic</w:t>
            </w:r>
          </w:p>
        </w:tc>
        <w:tc>
          <w:tcPr>
            <w:tcW w:type="dxa" w:w="850"/>
            <w:shd w:val="clear" w:color="auto" w:fill="E3F1E8"/>
          </w:tcPr>
          <w:p>
            <w:pPr>
              <w:spacing w:after="0" w:before="0"/>
              <w:jc w:val="center"/>
            </w:pPr>
            <w:r/>
            <w:r>
              <w:rPr>
                <w:rFonts w:ascii="Lato" w:hAnsi="Lato" w:cs="Lato"/>
                <w:b/>
                <w:i w:val="0"/>
                <w:color w:val="1B7A3D"/>
                <w:sz w:val="19"/>
              </w:rPr>
              <w:t>✓</w:t>
            </w:r>
          </w:p>
        </w:tc>
        <w:tc>
          <w:tcPr>
            <w:tcW w:type="dxa" w:w="850"/>
            <w:shd w:val="clear" w:color="auto" w:fill="FBE6EA"/>
          </w:tcPr>
          <w:p>
            <w:pPr>
              <w:spacing w:after="0" w:before="0"/>
              <w:jc w:val="center"/>
            </w:pPr>
            <w:r/>
            <w:r>
              <w:rPr>
                <w:rFonts w:ascii="Lato" w:hAnsi="Lato" w:cs="Lato"/>
                <w:b/>
                <w:i w:val="0"/>
                <w:color w:val="A4233B"/>
                <w:sz w:val="19"/>
              </w:rPr>
              <w:t>✗</w:t>
            </w:r>
          </w:p>
        </w:tc>
        <w:tc>
          <w:tcPr>
            <w:tcW w:type="dxa" w:w="850"/>
            <w:shd w:val="clear" w:color="auto" w:fill="EEF1F3"/>
          </w:tcPr>
          <w:p>
            <w:pPr>
              <w:spacing w:after="0" w:before="0"/>
              <w:jc w:val="center"/>
            </w:pPr>
            <w:r/>
            <w:r>
              <w:rPr>
                <w:rFonts w:ascii="Lato" w:hAnsi="Lato" w:cs="Lato"/>
                <w:b/>
                <w:i w:val="0"/>
                <w:color w:val="5B6166"/>
                <w:sz w:val="19"/>
              </w:rPr>
              <w:t>?</w:t>
            </w:r>
          </w:p>
        </w:tc>
        <w:tc>
          <w:tcPr>
            <w:tcW w:type="dxa" w:w="850"/>
            <w:shd w:val="clear" w:color="auto" w:fill="EEF1F3"/>
          </w:tcPr>
          <w:p>
            <w:pPr>
              <w:spacing w:after="0" w:before="0"/>
              <w:jc w:val="center"/>
            </w:pPr>
            <w:r/>
            <w:r>
              <w:rPr>
                <w:rFonts w:ascii="Lato" w:hAnsi="Lato" w:cs="Lato"/>
                <w:b/>
                <w:i w:val="0"/>
                <w:color w:val="5B6166"/>
                <w:sz w:val="19"/>
              </w:rPr>
              <w:t>?</w:t>
            </w:r>
          </w:p>
        </w:tc>
        <w:tc>
          <w:tcPr>
            <w:tcW w:type="dxa" w:w="850"/>
            <w:shd w:val="clear" w:color="auto" w:fill="EEF1F3"/>
          </w:tcPr>
          <w:p>
            <w:pPr>
              <w:spacing w:after="0" w:before="0"/>
              <w:jc w:val="center"/>
            </w:pPr>
            <w:r/>
            <w:r>
              <w:rPr>
                <w:rFonts w:ascii="Lato" w:hAnsi="Lato" w:cs="Lato"/>
                <w:b/>
                <w:i w:val="0"/>
                <w:color w:val="5B6166"/>
                <w:sz w:val="19"/>
              </w:rPr>
              <w:t>?</w:t>
            </w:r>
          </w:p>
        </w:tc>
        <w:tc>
          <w:tcPr>
            <w:tcW w:type="dxa" w:w="850"/>
            <w:shd w:val="clear" w:color="auto" w:fill="E3F1E8"/>
          </w:tcPr>
          <w:p>
            <w:pPr>
              <w:spacing w:after="0" w:before="0"/>
              <w:jc w:val="center"/>
            </w:pPr>
            <w:r/>
            <w:r>
              <w:rPr>
                <w:rFonts w:ascii="Lato" w:hAnsi="Lato" w:cs="Lato"/>
                <w:b/>
                <w:i w:val="0"/>
                <w:color w:val="1B7A3D"/>
                <w:sz w:val="19"/>
              </w:rPr>
              <w:t>✓</w:t>
            </w:r>
          </w:p>
        </w:tc>
        <w:tc>
          <w:tcPr>
            <w:tcW w:type="dxa" w:w="850"/>
            <w:shd w:val="clear" w:color="auto" w:fill="EEF1F3"/>
          </w:tcPr>
          <w:p>
            <w:pPr>
              <w:spacing w:after="0" w:before="0"/>
              <w:jc w:val="center"/>
            </w:pPr>
            <w:r/>
            <w:r>
              <w:rPr>
                <w:rFonts w:ascii="Lato" w:hAnsi="Lato" w:cs="Lato"/>
                <w:b/>
                <w:i w:val="0"/>
                <w:color w:val="5B6166"/>
                <w:sz w:val="19"/>
              </w:rPr>
              <w:t>?</w:t>
            </w:r>
          </w:p>
        </w:tc>
        <w:tc>
          <w:tcPr>
            <w:tcW w:type="dxa" w:w="6917"/>
            <w:shd w:val="clear" w:color="auto" w:fill="F4F7F9"/>
          </w:tcPr>
          <w:p>
            <w:pPr>
              <w:spacing w:after="20" w:before="0"/>
            </w:pPr>
            <w:r/>
            <w:r>
              <w:rPr>
                <w:rFonts w:ascii="Lato" w:hAnsi="Lato" w:cs="Lato"/>
                <w:b w:val="0"/>
                <w:i w:val="0"/>
                <w:color w:val="2B2F33"/>
                <w:sz w:val="14"/>
              </w:rPr>
              <w:t>TMHCC and AXA XL (3.8) both carry a BROAD communicable-disease exclusion (applies notwithstanding all other terms). Not identified in Tysers; Yutree/Liberty/Allianz require confirmation. TMHCC is well-protected here (a deliberate restriction).</w:t>
            </w:r>
          </w:p>
        </w:tc>
      </w:tr>
      <w:tr>
        <w:tc>
          <w:tcPr>
            <w:tcW w:type="dxa" w:w="2381"/>
          </w:tcPr>
          <w:p>
            <w:pPr>
              <w:spacing w:after="20" w:before="0"/>
            </w:pPr>
            <w:r/>
            <w:r>
              <w:rPr>
                <w:rFonts w:ascii="Lato" w:hAnsi="Lato" w:cs="Lato"/>
                <w:b/>
                <w:i w:val="0"/>
                <w:color w:val="00648B"/>
                <w:sz w:val="15"/>
              </w:rPr>
              <w:t>Sanctions / trade restrictions</w:t>
            </w:r>
          </w:p>
        </w:tc>
        <w:tc>
          <w:tcPr>
            <w:tcW w:type="dxa" w:w="850"/>
            <w:shd w:val="clear" w:color="auto" w:fill="E3F1E8"/>
          </w:tcPr>
          <w:p>
            <w:pPr>
              <w:spacing w:after="0" w:before="0"/>
              <w:jc w:val="center"/>
            </w:pPr>
            <w:r/>
            <w:r>
              <w:rPr>
                <w:rFonts w:ascii="Lato" w:hAnsi="Lato" w:cs="Lato"/>
                <w:b/>
                <w:i w:val="0"/>
                <w:color w:val="1B7A3D"/>
                <w:sz w:val="19"/>
              </w:rPr>
              <w:t>✓</w:t>
            </w:r>
          </w:p>
        </w:tc>
        <w:tc>
          <w:tcPr>
            <w:tcW w:type="dxa" w:w="850"/>
            <w:shd w:val="clear" w:color="auto" w:fill="E3F1E8"/>
          </w:tcPr>
          <w:p>
            <w:pPr>
              <w:spacing w:after="0" w:before="0"/>
              <w:jc w:val="center"/>
            </w:pPr>
            <w:r/>
            <w:r>
              <w:rPr>
                <w:rFonts w:ascii="Lato" w:hAnsi="Lato" w:cs="Lato"/>
                <w:b/>
                <w:i w:val="0"/>
                <w:color w:val="1B7A3D"/>
                <w:sz w:val="19"/>
              </w:rPr>
              <w:t>✓</w:t>
            </w:r>
          </w:p>
        </w:tc>
        <w:tc>
          <w:tcPr>
            <w:tcW w:type="dxa" w:w="850"/>
            <w:shd w:val="clear" w:color="auto" w:fill="E3F1E8"/>
          </w:tcPr>
          <w:p>
            <w:pPr>
              <w:spacing w:after="0" w:before="0"/>
              <w:jc w:val="center"/>
            </w:pPr>
            <w:r/>
            <w:r>
              <w:rPr>
                <w:rFonts w:ascii="Lato" w:hAnsi="Lato" w:cs="Lato"/>
                <w:b/>
                <w:i w:val="0"/>
                <w:color w:val="1B7A3D"/>
                <w:sz w:val="19"/>
              </w:rPr>
              <w:t>✓</w:t>
            </w:r>
          </w:p>
        </w:tc>
        <w:tc>
          <w:tcPr>
            <w:tcW w:type="dxa" w:w="850"/>
            <w:shd w:val="clear" w:color="auto" w:fill="E3F1E8"/>
          </w:tcPr>
          <w:p>
            <w:pPr>
              <w:spacing w:after="0" w:before="0"/>
              <w:jc w:val="center"/>
            </w:pPr>
            <w:r/>
            <w:r>
              <w:rPr>
                <w:rFonts w:ascii="Lato" w:hAnsi="Lato" w:cs="Lato"/>
                <w:b/>
                <w:i w:val="0"/>
                <w:color w:val="1B7A3D"/>
                <w:sz w:val="19"/>
              </w:rPr>
              <w:t>✓</w:t>
            </w:r>
          </w:p>
        </w:tc>
        <w:tc>
          <w:tcPr>
            <w:tcW w:type="dxa" w:w="850"/>
            <w:shd w:val="clear" w:color="auto" w:fill="E3F1E8"/>
          </w:tcPr>
          <w:p>
            <w:pPr>
              <w:spacing w:after="0" w:before="0"/>
              <w:jc w:val="center"/>
            </w:pPr>
            <w:r/>
            <w:r>
              <w:rPr>
                <w:rFonts w:ascii="Lato" w:hAnsi="Lato" w:cs="Lato"/>
                <w:b/>
                <w:i w:val="0"/>
                <w:color w:val="1B7A3D"/>
                <w:sz w:val="19"/>
              </w:rPr>
              <w:t>✓</w:t>
            </w:r>
          </w:p>
        </w:tc>
        <w:tc>
          <w:tcPr>
            <w:tcW w:type="dxa" w:w="850"/>
            <w:shd w:val="clear" w:color="auto" w:fill="E3F1E8"/>
          </w:tcPr>
          <w:p>
            <w:pPr>
              <w:spacing w:after="0" w:before="0"/>
              <w:jc w:val="center"/>
            </w:pPr>
            <w:r/>
            <w:r>
              <w:rPr>
                <w:rFonts w:ascii="Lato" w:hAnsi="Lato" w:cs="Lato"/>
                <w:b/>
                <w:i w:val="0"/>
                <w:color w:val="1B7A3D"/>
                <w:sz w:val="19"/>
              </w:rPr>
              <w:t>✓</w:t>
            </w:r>
          </w:p>
        </w:tc>
        <w:tc>
          <w:tcPr>
            <w:tcW w:type="dxa" w:w="850"/>
            <w:shd w:val="clear" w:color="auto" w:fill="E3F1E8"/>
          </w:tcPr>
          <w:p>
            <w:pPr>
              <w:spacing w:after="0" w:before="0"/>
              <w:jc w:val="center"/>
            </w:pPr>
            <w:r/>
            <w:r>
              <w:rPr>
                <w:rFonts w:ascii="Lato" w:hAnsi="Lato" w:cs="Lato"/>
                <w:b/>
                <w:i w:val="0"/>
                <w:color w:val="1B7A3D"/>
                <w:sz w:val="19"/>
              </w:rPr>
              <w:t>✓</w:t>
            </w:r>
          </w:p>
        </w:tc>
        <w:tc>
          <w:tcPr>
            <w:tcW w:type="dxa" w:w="6917"/>
          </w:tcPr>
          <w:p>
            <w:pPr>
              <w:spacing w:after="20" w:before="0"/>
            </w:pPr>
            <w:r/>
            <w:r>
              <w:rPr>
                <w:rFonts w:ascii="Lato" w:hAnsi="Lato" w:cs="Lato"/>
                <w:b w:val="0"/>
                <w:i w:val="0"/>
                <w:color w:val="2B2F33"/>
                <w:sz w:val="14"/>
              </w:rPr>
              <w:t>All carry a sanctions clause (AXA XL 4.4). TMHCC has both a Trading-Sanctions and an International-Sanctions clause. Equivalent.</w:t>
            </w:r>
          </w:p>
        </w:tc>
      </w:tr>
      <w:tr>
        <w:tc>
          <w:tcPr>
            <w:tcW w:type="dxa" w:w="2381"/>
            <w:shd w:val="clear" w:color="auto" w:fill="F4F7F9"/>
          </w:tcPr>
          <w:p>
            <w:pPr>
              <w:spacing w:after="20" w:before="0"/>
            </w:pPr>
            <w:r/>
            <w:r>
              <w:rPr>
                <w:rFonts w:ascii="Lato" w:hAnsi="Lato" w:cs="Lato"/>
                <w:b/>
                <w:i w:val="0"/>
                <w:color w:val="00648B"/>
                <w:sz w:val="15"/>
              </w:rPr>
              <w:t>Northern Ireland (civil commotion) / sonic bangs</w:t>
            </w:r>
          </w:p>
        </w:tc>
        <w:tc>
          <w:tcPr>
            <w:tcW w:type="dxa" w:w="850"/>
            <w:shd w:val="clear" w:color="auto" w:fill="EEF1F3"/>
          </w:tcPr>
          <w:p>
            <w:pPr>
              <w:spacing w:after="0" w:before="0"/>
              <w:jc w:val="center"/>
            </w:pPr>
            <w:r/>
            <w:r>
              <w:rPr>
                <w:rFonts w:ascii="Lato" w:hAnsi="Lato" w:cs="Lato"/>
                <w:b/>
                <w:i w:val="0"/>
                <w:color w:val="5B6166"/>
                <w:sz w:val="19"/>
              </w:rPr>
              <w:t>?</w:t>
            </w:r>
          </w:p>
        </w:tc>
        <w:tc>
          <w:tcPr>
            <w:tcW w:type="dxa" w:w="850"/>
            <w:shd w:val="clear" w:color="auto" w:fill="E3F1E8"/>
          </w:tcPr>
          <w:p>
            <w:pPr>
              <w:spacing w:after="0" w:before="0"/>
              <w:jc w:val="center"/>
            </w:pPr>
            <w:r/>
            <w:r>
              <w:rPr>
                <w:rFonts w:ascii="Lato" w:hAnsi="Lato" w:cs="Lato"/>
                <w:b/>
                <w:i w:val="0"/>
                <w:color w:val="1B7A3D"/>
                <w:sz w:val="19"/>
              </w:rPr>
              <w:t>✓</w:t>
            </w:r>
          </w:p>
        </w:tc>
        <w:tc>
          <w:tcPr>
            <w:tcW w:type="dxa" w:w="850"/>
            <w:shd w:val="clear" w:color="auto" w:fill="EEF1F3"/>
          </w:tcPr>
          <w:p>
            <w:pPr>
              <w:spacing w:after="0" w:before="0"/>
              <w:jc w:val="center"/>
            </w:pPr>
            <w:r/>
            <w:r>
              <w:rPr>
                <w:rFonts w:ascii="Lato" w:hAnsi="Lato" w:cs="Lato"/>
                <w:b/>
                <w:i w:val="0"/>
                <w:color w:val="5B6166"/>
                <w:sz w:val="19"/>
              </w:rPr>
              <w:t>?</w:t>
            </w:r>
          </w:p>
        </w:tc>
        <w:tc>
          <w:tcPr>
            <w:tcW w:type="dxa" w:w="850"/>
            <w:shd w:val="clear" w:color="auto" w:fill="E3F1E8"/>
          </w:tcPr>
          <w:p>
            <w:pPr>
              <w:spacing w:after="0" w:before="0"/>
              <w:jc w:val="center"/>
            </w:pPr>
            <w:r/>
            <w:r>
              <w:rPr>
                <w:rFonts w:ascii="Lato" w:hAnsi="Lato" w:cs="Lato"/>
                <w:b/>
                <w:i w:val="0"/>
                <w:color w:val="1B7A3D"/>
                <w:sz w:val="19"/>
              </w:rPr>
              <w:t>✓</w:t>
            </w:r>
          </w:p>
        </w:tc>
        <w:tc>
          <w:tcPr>
            <w:tcW w:type="dxa" w:w="850"/>
            <w:shd w:val="clear" w:color="auto" w:fill="E3F1E8"/>
          </w:tcPr>
          <w:p>
            <w:pPr>
              <w:spacing w:after="0" w:before="0"/>
              <w:jc w:val="center"/>
            </w:pPr>
            <w:r/>
            <w:r>
              <w:rPr>
                <w:rFonts w:ascii="Lato" w:hAnsi="Lato" w:cs="Lato"/>
                <w:b/>
                <w:i w:val="0"/>
                <w:color w:val="1B7A3D"/>
                <w:sz w:val="19"/>
              </w:rPr>
              <w:t>✓</w:t>
            </w:r>
          </w:p>
        </w:tc>
        <w:tc>
          <w:tcPr>
            <w:tcW w:type="dxa" w:w="850"/>
            <w:shd w:val="clear" w:color="auto" w:fill="EEF1F3"/>
          </w:tcPr>
          <w:p>
            <w:pPr>
              <w:spacing w:after="0" w:before="0"/>
              <w:jc w:val="center"/>
            </w:pPr>
            <w:r/>
            <w:r>
              <w:rPr>
                <w:rFonts w:ascii="Lato" w:hAnsi="Lato" w:cs="Lato"/>
                <w:b/>
                <w:i w:val="0"/>
                <w:color w:val="5B6166"/>
                <w:sz w:val="19"/>
              </w:rPr>
              <w:t>?</w:t>
            </w:r>
          </w:p>
        </w:tc>
        <w:tc>
          <w:tcPr>
            <w:tcW w:type="dxa" w:w="850"/>
            <w:shd w:val="clear" w:color="auto" w:fill="EEF1F3"/>
          </w:tcPr>
          <w:p>
            <w:pPr>
              <w:spacing w:after="0" w:before="0"/>
              <w:jc w:val="center"/>
            </w:pPr>
            <w:r/>
            <w:r>
              <w:rPr>
                <w:rFonts w:ascii="Lato" w:hAnsi="Lato" w:cs="Lato"/>
                <w:b/>
                <w:i w:val="0"/>
                <w:color w:val="5B6166"/>
                <w:sz w:val="19"/>
              </w:rPr>
              <w:t>?</w:t>
            </w:r>
          </w:p>
        </w:tc>
        <w:tc>
          <w:tcPr>
            <w:tcW w:type="dxa" w:w="6917"/>
            <w:shd w:val="clear" w:color="auto" w:fill="F4F7F9"/>
          </w:tcPr>
          <w:p>
            <w:pPr>
              <w:spacing w:after="20" w:before="0"/>
            </w:pPr>
            <w:r/>
            <w:r>
              <w:rPr>
                <w:rFonts w:ascii="Lato" w:hAnsi="Lato" w:cs="Lato"/>
                <w:b w:val="0"/>
                <w:i w:val="0"/>
                <w:color w:val="2B2F33"/>
                <w:sz w:val="14"/>
              </w:rPr>
              <w:t>Standard UK property-package carve-outs present in Tysers/Liberty/Allianz; TMHCC and AXA XL treatment within property sections requires confirmation.</w:t>
            </w:r>
          </w:p>
        </w:tc>
      </w:tr>
    </w:tbl>
    <w:p>
      <w:pPr>
        <w:spacing w:after="80"/>
      </w:pPr>
    </w:p>
    <w:p>
      <w:pPr>
        <w:keepNext/>
        <w:spacing w:before="120" w:after="20"/>
      </w:pPr>
      <w:r>
        <w:rPr>
          <w:rFonts w:ascii="Lato" w:hAnsi="Lato" w:cs="Lato"/>
          <w:b/>
          <w:i w:val="0"/>
          <w:color w:val="B88A3C"/>
          <w:sz w:val="20"/>
        </w:rPr>
        <w:t>B.2 Additional liability-exclusion notes (Public / Products / Employers')</w:t>
      </w:r>
    </w:p>
    <w:p>
      <w:pPr>
        <w:pStyle w:val="ListBullet"/>
        <w:spacing w:after="40"/>
        <w:ind w:left="340"/>
      </w:pPr>
      <w:r>
        <w:rPr>
          <w:rFonts w:ascii="Lato" w:hAnsi="Lato" w:cs="Lato"/>
          <w:b w:val="0"/>
          <w:i w:val="0"/>
          <w:color w:val="2B2F33"/>
          <w:sz w:val="17"/>
        </w:rPr>
        <w:t>Employers' Liability: statutory EL provided by all six (typically GBP 10m). EL exclusions are broadly equivalent; AXA XL = sub-section 7C. TMHCC's abuse, asbestos and communicable-disease exclusions are framed ex-EL where required by statute.</w:t>
      </w:r>
    </w:p>
    <w:p>
      <w:pPr>
        <w:pStyle w:val="ListBullet"/>
        <w:spacing w:after="40"/>
        <w:ind w:left="340"/>
      </w:pPr>
      <w:r>
        <w:rPr>
          <w:rFonts w:ascii="Lato" w:hAnsi="Lato" w:cs="Lato"/>
          <w:b w:val="0"/>
          <w:i w:val="0"/>
          <w:color w:val="2B2F33"/>
          <w:sz w:val="17"/>
        </w:rPr>
        <w:t>Bodily injury / property damage carve-out (PI): all three media wordings exclude BI/PD from PI unless arising from negligent publication/advice — equivalent.</w:t>
      </w:r>
    </w:p>
    <w:p>
      <w:pPr>
        <w:pStyle w:val="ListBullet"/>
        <w:spacing w:after="40"/>
        <w:ind w:left="340"/>
      </w:pPr>
      <w:r>
        <w:rPr>
          <w:rFonts w:ascii="Lato" w:hAnsi="Lato" w:cs="Lato"/>
          <w:b w:val="0"/>
          <w:i w:val="0"/>
          <w:color w:val="2B2F33"/>
          <w:sz w:val="17"/>
        </w:rPr>
        <w:t>Contractual / assumed liability: excluded by all liability/PI sections with the standard 'would have attached anyway' write-back — equivalent.</w:t>
      </w:r>
    </w:p>
    <w:p>
      <w:pPr>
        <w:pStyle w:val="ListBullet"/>
        <w:spacing w:after="40"/>
        <w:ind w:left="340"/>
      </w:pPr>
      <w:r>
        <w:rPr>
          <w:rFonts w:ascii="Lato" w:hAnsi="Lato" w:cs="Lato"/>
          <w:b w:val="0"/>
          <w:i w:val="0"/>
          <w:color w:val="2B2F33"/>
          <w:sz w:val="17"/>
        </w:rPr>
        <w:t>Deliberate / reckless / dishonest acts: excluded by all, with an employee-dishonesty write-back in the media wordings — equivalent.</w:t>
      </w:r>
    </w:p>
    <w:p>
      <w:pPr>
        <w:pStyle w:val="ListBullet"/>
        <w:spacing w:after="40"/>
        <w:ind w:left="340"/>
      </w:pPr>
      <w:r>
        <w:rPr>
          <w:rFonts w:ascii="Lato" w:hAnsi="Lato" w:cs="Lato"/>
          <w:b w:val="0"/>
          <w:i w:val="0"/>
          <w:color w:val="2B2F33"/>
          <w:sz w:val="17"/>
        </w:rPr>
        <w:t>Care, custody or control; defective workmanship; medical malpractice; advice/professional negligence: TMHCC PL carries the standard market carve-outs (AXA XL mirrors several at 7.8.x).</w:t>
      </w:r>
    </w:p>
    <w:p>
      <w:r>
        <w:br w:type="page"/>
      </w:r>
    </w:p>
    <w:p>
      <w:pPr>
        <w:keepNext/>
        <w:spacing w:before="280" w:after="40"/>
        <w:pBdr>
          <w:bottom w:val="single" w:sz="8" w:space="2" w:color="B88A3C"/>
        </w:pBdr>
      </w:pPr>
      <w:r>
        <w:rPr>
          <w:rFonts w:ascii="Lato" w:hAnsi="Lato" w:cs="Lato"/>
          <w:b/>
          <w:i w:val="0"/>
          <w:color w:val="00648B"/>
          <w:sz w:val="30"/>
        </w:rPr>
        <w:t>C. Media Liability / Professional Indemnity / E&amp;O — deep legal review (Section 12)</w:t>
      </w:r>
    </w:p>
    <w:p>
      <w:pPr>
        <w:keepNext/>
        <w:spacing w:before="180" w:after="40"/>
      </w:pPr>
      <w:r>
        <w:rPr>
          <w:rFonts w:ascii="Lato" w:hAnsi="Lato" w:cs="Lato"/>
          <w:b/>
          <w:i w:val="0"/>
          <w:color w:val="00648B"/>
          <w:sz w:val="23"/>
        </w:rPr>
        <w:t>C.1 Media / PI feature matrix</w:t>
      </w:r>
    </w:p>
    <w:p>
      <w:pPr>
        <w:spacing w:after="80" w:before="0"/>
      </w:pPr>
      <w:r>
        <w:rPr>
          <w:rFonts w:ascii="Lato" w:hAnsi="Lato" w:cs="Lato"/>
          <w:b w:val="0"/>
          <w:i w:val="0"/>
          <w:color w:val="2B2F33"/>
          <w:sz w:val="17"/>
        </w:rPr>
        <w:t>Liberty, Allianz, AXA XL and Entertainment Elite provide NO media/PI/E&amp;O cover.</w:t>
      </w:r>
    </w:p>
    <w:tbl>
      <w:tblPr>
        <w:tblW w:type="dxa" w:w="15252"/>
        <w:jc w:val="center"/>
        <w:tblBorders>
          <w:top w:val="single" w:sz="4" w:space="0" w:color="D6DCE0"/>
          <w:left w:val="single" w:sz="4" w:space="0" w:color="D6DCE0"/>
          <w:bottom w:val="single" w:sz="4" w:space="0" w:color="D6DCE0"/>
          <w:right w:val="single" w:sz="4" w:space="0" w:color="D6DCE0"/>
          <w:insideH w:val="single" w:sz="4" w:space="0" w:color="D6DCE0"/>
          <w:insideV w:val="single" w:sz="4" w:space="0" w:color="D6DCE0"/>
        </w:tblBorders>
        <w:tblLayout w:type="fixed"/>
        <w:tblLook w:firstColumn="1" w:firstRow="1" w:lastColumn="0" w:lastRow="0" w:noHBand="0" w:noVBand="1" w:val="04A0"/>
      </w:tblPr>
      <w:tblGrid>
        <w:gridCol w:w="2381"/>
        <w:gridCol w:w="850"/>
        <w:gridCol w:w="850"/>
        <w:gridCol w:w="850"/>
        <w:gridCol w:w="850"/>
        <w:gridCol w:w="850"/>
        <w:gridCol w:w="850"/>
        <w:gridCol w:w="850"/>
        <w:gridCol w:w="6917"/>
      </w:tblGrid>
      <w:tr>
        <w:tc>
          <w:tcPr>
            <w:tcW w:type="dxa" w:w="2381"/>
            <w:shd w:val="clear" w:color="auto" w:fill="00648B"/>
          </w:tcPr>
          <w:p>
            <w:pPr>
              <w:spacing w:after="20" w:before="0"/>
              <w:jc w:val="center"/>
            </w:pPr>
            <w:r/>
            <w:r>
              <w:rPr>
                <w:rFonts w:ascii="Lato" w:hAnsi="Lato" w:cs="Lato"/>
                <w:b/>
                <w:i w:val="0"/>
                <w:color w:val="FFFFFF"/>
                <w:sz w:val="17"/>
              </w:rPr>
              <w:t>Coverage / legal feature</w:t>
            </w:r>
          </w:p>
        </w:tc>
        <w:tc>
          <w:tcPr>
            <w:tcW w:type="dxa" w:w="850"/>
            <w:shd w:val="clear" w:color="auto" w:fill="00648B"/>
          </w:tcPr>
          <w:p>
            <w:pPr>
              <w:spacing w:after="20" w:before="0"/>
              <w:jc w:val="center"/>
            </w:pPr>
            <w:r/>
            <w:r>
              <w:rPr>
                <w:rFonts w:ascii="Lato" w:hAnsi="Lato" w:cs="Lato"/>
                <w:b/>
                <w:i w:val="0"/>
                <w:color w:val="FFFFFF"/>
                <w:sz w:val="17"/>
              </w:rPr>
              <w:t>TMHCC</w:t>
            </w:r>
          </w:p>
        </w:tc>
        <w:tc>
          <w:tcPr>
            <w:tcW w:type="dxa" w:w="850"/>
            <w:shd w:val="clear" w:color="auto" w:fill="00648B"/>
          </w:tcPr>
          <w:p>
            <w:pPr>
              <w:spacing w:after="20" w:before="0"/>
              <w:jc w:val="center"/>
            </w:pPr>
            <w:r/>
            <w:r>
              <w:rPr>
                <w:rFonts w:ascii="Lato" w:hAnsi="Lato" w:cs="Lato"/>
                <w:b/>
                <w:i w:val="0"/>
                <w:color w:val="FFFFFF"/>
                <w:sz w:val="17"/>
              </w:rPr>
              <w:t>Tysers</w:t>
            </w:r>
          </w:p>
        </w:tc>
        <w:tc>
          <w:tcPr>
            <w:tcW w:type="dxa" w:w="850"/>
            <w:shd w:val="clear" w:color="auto" w:fill="00648B"/>
          </w:tcPr>
          <w:p>
            <w:pPr>
              <w:spacing w:after="20" w:before="0"/>
              <w:jc w:val="center"/>
            </w:pPr>
            <w:r/>
            <w:r>
              <w:rPr>
                <w:rFonts w:ascii="Lato" w:hAnsi="Lato" w:cs="Lato"/>
                <w:b/>
                <w:i w:val="0"/>
                <w:color w:val="FFFFFF"/>
                <w:sz w:val="17"/>
              </w:rPr>
              <w:t>Yutree</w:t>
            </w:r>
          </w:p>
        </w:tc>
        <w:tc>
          <w:tcPr>
            <w:tcW w:type="dxa" w:w="850"/>
            <w:shd w:val="clear" w:color="auto" w:fill="00648B"/>
          </w:tcPr>
          <w:p>
            <w:pPr>
              <w:spacing w:after="20" w:before="0"/>
              <w:jc w:val="center"/>
            </w:pPr>
            <w:r/>
            <w:r>
              <w:rPr>
                <w:rFonts w:ascii="Lato" w:hAnsi="Lato" w:cs="Lato"/>
                <w:b/>
                <w:i w:val="0"/>
                <w:color w:val="FFFFFF"/>
                <w:sz w:val="17"/>
              </w:rPr>
              <w:t>Liberty</w:t>
            </w:r>
          </w:p>
        </w:tc>
        <w:tc>
          <w:tcPr>
            <w:tcW w:type="dxa" w:w="850"/>
            <w:shd w:val="clear" w:color="auto" w:fill="00648B"/>
          </w:tcPr>
          <w:p>
            <w:pPr>
              <w:spacing w:after="20" w:before="0"/>
              <w:jc w:val="center"/>
            </w:pPr>
            <w:r/>
            <w:r>
              <w:rPr>
                <w:rFonts w:ascii="Lato" w:hAnsi="Lato" w:cs="Lato"/>
                <w:b/>
                <w:i w:val="0"/>
                <w:color w:val="FFFFFF"/>
                <w:sz w:val="17"/>
              </w:rPr>
              <w:t>Allianz</w:t>
            </w:r>
          </w:p>
        </w:tc>
        <w:tc>
          <w:tcPr>
            <w:tcW w:type="dxa" w:w="850"/>
            <w:shd w:val="clear" w:color="auto" w:fill="00648B"/>
          </w:tcPr>
          <w:p>
            <w:pPr>
              <w:spacing w:after="20" w:before="0"/>
              <w:jc w:val="center"/>
            </w:pPr>
            <w:r/>
            <w:r>
              <w:rPr>
                <w:rFonts w:ascii="Lato" w:hAnsi="Lato" w:cs="Lato"/>
                <w:b/>
                <w:i w:val="0"/>
                <w:color w:val="FFFFFF"/>
                <w:sz w:val="17"/>
              </w:rPr>
              <w:t>AXA XL</w:t>
            </w:r>
          </w:p>
        </w:tc>
        <w:tc>
          <w:tcPr>
            <w:tcW w:type="dxa" w:w="850"/>
            <w:shd w:val="clear" w:color="auto" w:fill="00648B"/>
          </w:tcPr>
          <w:p>
            <w:pPr>
              <w:spacing w:after="20" w:before="0"/>
              <w:jc w:val="center"/>
            </w:pPr>
            <w:r/>
            <w:r>
              <w:rPr>
                <w:rFonts w:ascii="Lato" w:hAnsi="Lato" w:cs="Lato"/>
                <w:b/>
                <w:i w:val="0"/>
                <w:color w:val="FFFFFF"/>
                <w:sz w:val="17"/>
              </w:rPr>
              <w:t>Ent.Elite</w:t>
            </w:r>
          </w:p>
        </w:tc>
        <w:tc>
          <w:tcPr>
            <w:tcW w:type="dxa" w:w="6917"/>
            <w:shd w:val="clear" w:color="auto" w:fill="00648B"/>
          </w:tcPr>
          <w:p>
            <w:pPr>
              <w:spacing w:after="20" w:before="0"/>
              <w:jc w:val="center"/>
            </w:pPr>
            <w:r/>
            <w:r>
              <w:rPr>
                <w:rFonts w:ascii="Lato" w:hAnsi="Lato" w:cs="Lato"/>
                <w:b/>
                <w:i w:val="0"/>
                <w:color w:val="FFFFFF"/>
                <w:sz w:val="17"/>
              </w:rPr>
              <w:t>Legal significance / note</w:t>
            </w:r>
          </w:p>
        </w:tc>
      </w:tr>
      <w:tr>
        <w:tc>
          <w:tcPr>
            <w:tcW w:type="dxa" w:w="2381"/>
          </w:tcPr>
          <w:p>
            <w:pPr>
              <w:spacing w:after="20" w:before="0"/>
            </w:pPr>
            <w:r/>
            <w:r>
              <w:rPr>
                <w:rFonts w:ascii="Lato" w:hAnsi="Lato" w:cs="Lato"/>
                <w:b/>
                <w:i w:val="0"/>
                <w:color w:val="00648B"/>
                <w:sz w:val="15"/>
              </w:rPr>
              <w:t>Defamation / libel / slander / malicious falsehood</w:t>
            </w:r>
          </w:p>
        </w:tc>
        <w:tc>
          <w:tcPr>
            <w:tcW w:type="dxa" w:w="850"/>
            <w:shd w:val="clear" w:color="auto" w:fill="E3F1E8"/>
          </w:tcPr>
          <w:p>
            <w:pPr>
              <w:spacing w:after="0" w:before="0"/>
              <w:jc w:val="center"/>
            </w:pPr>
            <w:r/>
            <w:r>
              <w:rPr>
                <w:rFonts w:ascii="Lato" w:hAnsi="Lato" w:cs="Lato"/>
                <w:b/>
                <w:i w:val="0"/>
                <w:color w:val="1B7A3D"/>
                <w:sz w:val="19"/>
              </w:rPr>
              <w:t>✓</w:t>
            </w:r>
          </w:p>
        </w:tc>
        <w:tc>
          <w:tcPr>
            <w:tcW w:type="dxa" w:w="850"/>
            <w:shd w:val="clear" w:color="auto" w:fill="E3F1E8"/>
          </w:tcPr>
          <w:p>
            <w:pPr>
              <w:spacing w:after="0" w:before="0"/>
              <w:jc w:val="center"/>
            </w:pPr>
            <w:r/>
            <w:r>
              <w:rPr>
                <w:rFonts w:ascii="Lato" w:hAnsi="Lato" w:cs="Lato"/>
                <w:b/>
                <w:i w:val="0"/>
                <w:color w:val="1B7A3D"/>
                <w:sz w:val="19"/>
              </w:rPr>
              <w:t>✓</w:t>
            </w:r>
          </w:p>
        </w:tc>
        <w:tc>
          <w:tcPr>
            <w:tcW w:type="dxa" w:w="850"/>
            <w:shd w:val="clear" w:color="auto" w:fill="E3F1E8"/>
          </w:tcPr>
          <w:p>
            <w:pPr>
              <w:spacing w:after="0" w:before="0"/>
              <w:jc w:val="center"/>
            </w:pPr>
            <w:r/>
            <w:r>
              <w:rPr>
                <w:rFonts w:ascii="Lato" w:hAnsi="Lato" w:cs="Lato"/>
                <w:b/>
                <w:i w:val="0"/>
                <w:color w:val="1B7A3D"/>
                <w:sz w:val="19"/>
              </w:rPr>
              <w:t>✓</w:t>
            </w:r>
          </w:p>
        </w:tc>
        <w:tc>
          <w:tcPr>
            <w:tcW w:type="dxa" w:w="850"/>
            <w:shd w:val="clear" w:color="auto" w:fill="FBE6EA"/>
          </w:tcPr>
          <w:p>
            <w:pPr>
              <w:spacing w:after="0" w:before="0"/>
              <w:jc w:val="center"/>
            </w:pPr>
            <w:r/>
            <w:r>
              <w:rPr>
                <w:rFonts w:ascii="Lato" w:hAnsi="Lato" w:cs="Lato"/>
                <w:b/>
                <w:i w:val="0"/>
                <w:color w:val="A4233B"/>
                <w:sz w:val="19"/>
              </w:rPr>
              <w:t>✗</w:t>
            </w:r>
          </w:p>
        </w:tc>
        <w:tc>
          <w:tcPr>
            <w:tcW w:type="dxa" w:w="850"/>
            <w:shd w:val="clear" w:color="auto" w:fill="FBE6EA"/>
          </w:tcPr>
          <w:p>
            <w:pPr>
              <w:spacing w:after="0" w:before="0"/>
              <w:jc w:val="center"/>
            </w:pPr>
            <w:r/>
            <w:r>
              <w:rPr>
                <w:rFonts w:ascii="Lato" w:hAnsi="Lato" w:cs="Lato"/>
                <w:b/>
                <w:i w:val="0"/>
                <w:color w:val="A4233B"/>
                <w:sz w:val="19"/>
              </w:rPr>
              <w:t>✗</w:t>
            </w:r>
          </w:p>
        </w:tc>
        <w:tc>
          <w:tcPr>
            <w:tcW w:type="dxa" w:w="850"/>
            <w:shd w:val="clear" w:color="auto" w:fill="FBE6EA"/>
          </w:tcPr>
          <w:p>
            <w:pPr>
              <w:spacing w:after="0" w:before="0"/>
              <w:jc w:val="center"/>
            </w:pPr>
            <w:r/>
            <w:r>
              <w:rPr>
                <w:rFonts w:ascii="Lato" w:hAnsi="Lato" w:cs="Lato"/>
                <w:b/>
                <w:i w:val="0"/>
                <w:color w:val="A4233B"/>
                <w:sz w:val="19"/>
              </w:rPr>
              <w:t>✗</w:t>
            </w:r>
          </w:p>
        </w:tc>
        <w:tc>
          <w:tcPr>
            <w:tcW w:type="dxa" w:w="850"/>
            <w:shd w:val="clear" w:color="auto" w:fill="FBE6EA"/>
          </w:tcPr>
          <w:p>
            <w:pPr>
              <w:spacing w:after="0" w:before="0"/>
              <w:jc w:val="center"/>
            </w:pPr>
            <w:r/>
            <w:r>
              <w:rPr>
                <w:rFonts w:ascii="Lato" w:hAnsi="Lato" w:cs="Lato"/>
                <w:b/>
                <w:i w:val="0"/>
                <w:color w:val="A4233B"/>
                <w:sz w:val="19"/>
              </w:rPr>
              <w:t>✗</w:t>
            </w:r>
          </w:p>
        </w:tc>
        <w:tc>
          <w:tcPr>
            <w:tcW w:type="dxa" w:w="6917"/>
          </w:tcPr>
          <w:p>
            <w:pPr>
              <w:spacing w:after="20" w:before="0"/>
            </w:pPr>
            <w:r/>
            <w:r>
              <w:rPr>
                <w:rFonts w:ascii="Lato" w:hAnsi="Lato" w:cs="Lato"/>
                <w:b w:val="0"/>
                <w:i w:val="0"/>
                <w:color w:val="2B2F33"/>
                <w:sz w:val="14"/>
              </w:rPr>
              <w:t>TMHCC and Yutree cover ‘unintentional’ defamation; Tysers covers unless the statement was known/ought-to-have-been-known to be defamatory. Broadly equivalent. Liberty/Allianz/AXA XL: no PI.</w:t>
            </w:r>
          </w:p>
        </w:tc>
      </w:tr>
      <w:tr>
        <w:tc>
          <w:tcPr>
            <w:tcW w:type="dxa" w:w="2381"/>
            <w:shd w:val="clear" w:color="auto" w:fill="F4F7F9"/>
          </w:tcPr>
          <w:p>
            <w:pPr>
              <w:spacing w:after="20" w:before="0"/>
            </w:pPr>
            <w:r/>
            <w:r>
              <w:rPr>
                <w:rFonts w:ascii="Lato" w:hAnsi="Lato" w:cs="Lato"/>
                <w:b/>
                <w:i w:val="0"/>
                <w:color w:val="00648B"/>
                <w:sz w:val="15"/>
              </w:rPr>
              <w:t>IP infringement – copyright / trademark / passing off</w:t>
            </w:r>
          </w:p>
        </w:tc>
        <w:tc>
          <w:tcPr>
            <w:tcW w:type="dxa" w:w="850"/>
            <w:shd w:val="clear" w:color="auto" w:fill="E3F1E8"/>
          </w:tcPr>
          <w:p>
            <w:pPr>
              <w:spacing w:after="0" w:before="0"/>
              <w:jc w:val="center"/>
            </w:pPr>
            <w:r/>
            <w:r>
              <w:rPr>
                <w:rFonts w:ascii="Lato" w:hAnsi="Lato" w:cs="Lato"/>
                <w:b/>
                <w:i w:val="0"/>
                <w:color w:val="1B7A3D"/>
                <w:sz w:val="19"/>
              </w:rPr>
              <w:t>✓</w:t>
            </w:r>
          </w:p>
        </w:tc>
        <w:tc>
          <w:tcPr>
            <w:tcW w:type="dxa" w:w="850"/>
            <w:shd w:val="clear" w:color="auto" w:fill="E3F1E8"/>
          </w:tcPr>
          <w:p>
            <w:pPr>
              <w:spacing w:after="0" w:before="0"/>
              <w:jc w:val="center"/>
            </w:pPr>
            <w:r/>
            <w:r>
              <w:rPr>
                <w:rFonts w:ascii="Lato" w:hAnsi="Lato" w:cs="Lato"/>
                <w:b/>
                <w:i w:val="0"/>
                <w:color w:val="1B7A3D"/>
                <w:sz w:val="19"/>
              </w:rPr>
              <w:t>✓</w:t>
            </w:r>
          </w:p>
        </w:tc>
        <w:tc>
          <w:tcPr>
            <w:tcW w:type="dxa" w:w="850"/>
            <w:shd w:val="clear" w:color="auto" w:fill="E3F1E8"/>
          </w:tcPr>
          <w:p>
            <w:pPr>
              <w:spacing w:after="0" w:before="0"/>
              <w:jc w:val="center"/>
            </w:pPr>
            <w:r/>
            <w:r>
              <w:rPr>
                <w:rFonts w:ascii="Lato" w:hAnsi="Lato" w:cs="Lato"/>
                <w:b/>
                <w:i w:val="0"/>
                <w:color w:val="1B7A3D"/>
                <w:sz w:val="19"/>
              </w:rPr>
              <w:t>✓</w:t>
            </w:r>
          </w:p>
        </w:tc>
        <w:tc>
          <w:tcPr>
            <w:tcW w:type="dxa" w:w="850"/>
            <w:shd w:val="clear" w:color="auto" w:fill="FBE6EA"/>
          </w:tcPr>
          <w:p>
            <w:pPr>
              <w:spacing w:after="0" w:before="0"/>
              <w:jc w:val="center"/>
            </w:pPr>
            <w:r/>
            <w:r>
              <w:rPr>
                <w:rFonts w:ascii="Lato" w:hAnsi="Lato" w:cs="Lato"/>
                <w:b/>
                <w:i w:val="0"/>
                <w:color w:val="A4233B"/>
                <w:sz w:val="19"/>
              </w:rPr>
              <w:t>✗</w:t>
            </w:r>
          </w:p>
        </w:tc>
        <w:tc>
          <w:tcPr>
            <w:tcW w:type="dxa" w:w="850"/>
            <w:shd w:val="clear" w:color="auto" w:fill="FBE6EA"/>
          </w:tcPr>
          <w:p>
            <w:pPr>
              <w:spacing w:after="0" w:before="0"/>
              <w:jc w:val="center"/>
            </w:pPr>
            <w:r/>
            <w:r>
              <w:rPr>
                <w:rFonts w:ascii="Lato" w:hAnsi="Lato" w:cs="Lato"/>
                <w:b/>
                <w:i w:val="0"/>
                <w:color w:val="A4233B"/>
                <w:sz w:val="19"/>
              </w:rPr>
              <w:t>✗</w:t>
            </w:r>
          </w:p>
        </w:tc>
        <w:tc>
          <w:tcPr>
            <w:tcW w:type="dxa" w:w="850"/>
            <w:shd w:val="clear" w:color="auto" w:fill="FBE6EA"/>
          </w:tcPr>
          <w:p>
            <w:pPr>
              <w:spacing w:after="0" w:before="0"/>
              <w:jc w:val="center"/>
            </w:pPr>
            <w:r/>
            <w:r>
              <w:rPr>
                <w:rFonts w:ascii="Lato" w:hAnsi="Lato" w:cs="Lato"/>
                <w:b/>
                <w:i w:val="0"/>
                <w:color w:val="A4233B"/>
                <w:sz w:val="19"/>
              </w:rPr>
              <w:t>✗</w:t>
            </w:r>
          </w:p>
        </w:tc>
        <w:tc>
          <w:tcPr>
            <w:tcW w:type="dxa" w:w="850"/>
            <w:shd w:val="clear" w:color="auto" w:fill="FBE6EA"/>
          </w:tcPr>
          <w:p>
            <w:pPr>
              <w:spacing w:after="0" w:before="0"/>
              <w:jc w:val="center"/>
            </w:pPr>
            <w:r/>
            <w:r>
              <w:rPr>
                <w:rFonts w:ascii="Lato" w:hAnsi="Lato" w:cs="Lato"/>
                <w:b/>
                <w:i w:val="0"/>
                <w:color w:val="A4233B"/>
                <w:sz w:val="19"/>
              </w:rPr>
              <w:t>✗</w:t>
            </w:r>
          </w:p>
        </w:tc>
        <w:tc>
          <w:tcPr>
            <w:tcW w:type="dxa" w:w="6917"/>
            <w:shd w:val="clear" w:color="auto" w:fill="F4F7F9"/>
          </w:tcPr>
          <w:p>
            <w:pPr>
              <w:spacing w:after="20" w:before="0"/>
            </w:pPr>
            <w:r/>
            <w:r>
              <w:rPr>
                <w:rFonts w:ascii="Lato" w:hAnsi="Lato" w:cs="Lato"/>
                <w:b w:val="0"/>
                <w:i w:val="0"/>
                <w:color w:val="2B2F33"/>
                <w:sz w:val="14"/>
              </w:rPr>
              <w:t>All three media wordings cover unintentional IP infringement incl. passing-off.</w:t>
            </w:r>
          </w:p>
        </w:tc>
      </w:tr>
      <w:tr>
        <w:tc>
          <w:tcPr>
            <w:tcW w:type="dxa" w:w="2381"/>
          </w:tcPr>
          <w:p>
            <w:pPr>
              <w:spacing w:after="20" w:before="0"/>
            </w:pPr>
            <w:r/>
            <w:r>
              <w:rPr>
                <w:rFonts w:ascii="Lato" w:hAnsi="Lato" w:cs="Lato"/>
                <w:b/>
                <w:i w:val="0"/>
                <w:color w:val="00648B"/>
                <w:sz w:val="15"/>
              </w:rPr>
              <w:t>Patent infringement</w:t>
            </w:r>
          </w:p>
        </w:tc>
        <w:tc>
          <w:tcPr>
            <w:tcW w:type="dxa" w:w="850"/>
            <w:shd w:val="clear" w:color="auto" w:fill="FBE6EA"/>
          </w:tcPr>
          <w:p>
            <w:pPr>
              <w:spacing w:after="0" w:before="0"/>
              <w:jc w:val="center"/>
            </w:pPr>
            <w:r/>
            <w:r>
              <w:rPr>
                <w:rFonts w:ascii="Lato" w:hAnsi="Lato" w:cs="Lato"/>
                <w:b/>
                <w:i w:val="0"/>
                <w:color w:val="A4233B"/>
                <w:sz w:val="19"/>
              </w:rPr>
              <w:t>✗</w:t>
            </w:r>
          </w:p>
        </w:tc>
        <w:tc>
          <w:tcPr>
            <w:tcW w:type="dxa" w:w="850"/>
            <w:shd w:val="clear" w:color="auto" w:fill="E3F1E8"/>
          </w:tcPr>
          <w:p>
            <w:pPr>
              <w:spacing w:after="0" w:before="0"/>
              <w:jc w:val="center"/>
            </w:pPr>
            <w:r/>
            <w:r>
              <w:rPr>
                <w:rFonts w:ascii="Lato" w:hAnsi="Lato" w:cs="Lato"/>
                <w:b/>
                <w:i w:val="0"/>
                <w:color w:val="1B7A3D"/>
                <w:sz w:val="19"/>
              </w:rPr>
              <w:t>✓</w:t>
            </w:r>
          </w:p>
        </w:tc>
        <w:tc>
          <w:tcPr>
            <w:tcW w:type="dxa" w:w="850"/>
            <w:shd w:val="clear" w:color="auto" w:fill="FBE6EA"/>
          </w:tcPr>
          <w:p>
            <w:pPr>
              <w:spacing w:after="0" w:before="0"/>
              <w:jc w:val="center"/>
            </w:pPr>
            <w:r/>
            <w:r>
              <w:rPr>
                <w:rFonts w:ascii="Lato" w:hAnsi="Lato" w:cs="Lato"/>
                <w:b/>
                <w:i w:val="0"/>
                <w:color w:val="A4233B"/>
                <w:sz w:val="19"/>
              </w:rPr>
              <w:t>✗</w:t>
            </w:r>
          </w:p>
        </w:tc>
        <w:tc>
          <w:tcPr>
            <w:tcW w:type="dxa" w:w="850"/>
            <w:shd w:val="clear" w:color="auto" w:fill="FBE6EA"/>
          </w:tcPr>
          <w:p>
            <w:pPr>
              <w:spacing w:after="0" w:before="0"/>
              <w:jc w:val="center"/>
            </w:pPr>
            <w:r/>
            <w:r>
              <w:rPr>
                <w:rFonts w:ascii="Lato" w:hAnsi="Lato" w:cs="Lato"/>
                <w:b/>
                <w:i w:val="0"/>
                <w:color w:val="A4233B"/>
                <w:sz w:val="19"/>
              </w:rPr>
              <w:t>✗</w:t>
            </w:r>
          </w:p>
        </w:tc>
        <w:tc>
          <w:tcPr>
            <w:tcW w:type="dxa" w:w="850"/>
            <w:shd w:val="clear" w:color="auto" w:fill="FBE6EA"/>
          </w:tcPr>
          <w:p>
            <w:pPr>
              <w:spacing w:after="0" w:before="0"/>
              <w:jc w:val="center"/>
            </w:pPr>
            <w:r/>
            <w:r>
              <w:rPr>
                <w:rFonts w:ascii="Lato" w:hAnsi="Lato" w:cs="Lato"/>
                <w:b/>
                <w:i w:val="0"/>
                <w:color w:val="A4233B"/>
                <w:sz w:val="19"/>
              </w:rPr>
              <w:t>✗</w:t>
            </w:r>
          </w:p>
        </w:tc>
        <w:tc>
          <w:tcPr>
            <w:tcW w:type="dxa" w:w="850"/>
            <w:shd w:val="clear" w:color="auto" w:fill="FBE6EA"/>
          </w:tcPr>
          <w:p>
            <w:pPr>
              <w:spacing w:after="0" w:before="0"/>
              <w:jc w:val="center"/>
            </w:pPr>
            <w:r/>
            <w:r>
              <w:rPr>
                <w:rFonts w:ascii="Lato" w:hAnsi="Lato" w:cs="Lato"/>
                <w:b/>
                <w:i w:val="0"/>
                <w:color w:val="A4233B"/>
                <w:sz w:val="19"/>
              </w:rPr>
              <w:t>✗</w:t>
            </w:r>
          </w:p>
        </w:tc>
        <w:tc>
          <w:tcPr>
            <w:tcW w:type="dxa" w:w="850"/>
            <w:shd w:val="clear" w:color="auto" w:fill="FBE6EA"/>
          </w:tcPr>
          <w:p>
            <w:pPr>
              <w:spacing w:after="0" w:before="0"/>
              <w:jc w:val="center"/>
            </w:pPr>
            <w:r/>
            <w:r>
              <w:rPr>
                <w:rFonts w:ascii="Lato" w:hAnsi="Lato" w:cs="Lato"/>
                <w:b/>
                <w:i w:val="0"/>
                <w:color w:val="A4233B"/>
                <w:sz w:val="19"/>
              </w:rPr>
              <w:t>✗</w:t>
            </w:r>
          </w:p>
        </w:tc>
        <w:tc>
          <w:tcPr>
            <w:tcW w:type="dxa" w:w="6917"/>
          </w:tcPr>
          <w:p>
            <w:pPr>
              <w:spacing w:after="20" w:before="0"/>
            </w:pPr>
            <w:r/>
            <w:r>
              <w:rPr>
                <w:rFonts w:ascii="Lato" w:hAnsi="Lato" w:cs="Lato"/>
                <w:b w:val="0"/>
                <w:i w:val="0"/>
                <w:color w:val="2B2F33"/>
                <w:sz w:val="14"/>
              </w:rPr>
              <w:t>Tysers (clause 8.9) expressly includes PATENT infringement within IP cover. TMHCC and Yutree EXCLUDE patents. TMHCC is sensibly more restrictive (patents are hard to underwrite).</w:t>
            </w:r>
          </w:p>
        </w:tc>
      </w:tr>
      <w:tr>
        <w:tc>
          <w:tcPr>
            <w:tcW w:type="dxa" w:w="2381"/>
            <w:shd w:val="clear" w:color="auto" w:fill="F4F7F9"/>
          </w:tcPr>
          <w:p>
            <w:pPr>
              <w:spacing w:after="20" w:before="0"/>
            </w:pPr>
            <w:r/>
            <w:r>
              <w:rPr>
                <w:rFonts w:ascii="Lato" w:hAnsi="Lato" w:cs="Lato"/>
                <w:b/>
                <w:i w:val="0"/>
                <w:color w:val="00648B"/>
                <w:sz w:val="15"/>
              </w:rPr>
              <w:t>Breach of confidence / invasion of privacy</w:t>
            </w:r>
          </w:p>
        </w:tc>
        <w:tc>
          <w:tcPr>
            <w:tcW w:type="dxa" w:w="850"/>
            <w:shd w:val="clear" w:color="auto" w:fill="E3F1E8"/>
          </w:tcPr>
          <w:p>
            <w:pPr>
              <w:spacing w:after="0" w:before="0"/>
              <w:jc w:val="center"/>
            </w:pPr>
            <w:r/>
            <w:r>
              <w:rPr>
                <w:rFonts w:ascii="Lato" w:hAnsi="Lato" w:cs="Lato"/>
                <w:b/>
                <w:i w:val="0"/>
                <w:color w:val="1B7A3D"/>
                <w:sz w:val="19"/>
              </w:rPr>
              <w:t>✓</w:t>
            </w:r>
          </w:p>
        </w:tc>
        <w:tc>
          <w:tcPr>
            <w:tcW w:type="dxa" w:w="850"/>
            <w:shd w:val="clear" w:color="auto" w:fill="E3F1E8"/>
          </w:tcPr>
          <w:p>
            <w:pPr>
              <w:spacing w:after="0" w:before="0"/>
              <w:jc w:val="center"/>
            </w:pPr>
            <w:r/>
            <w:r>
              <w:rPr>
                <w:rFonts w:ascii="Lato" w:hAnsi="Lato" w:cs="Lato"/>
                <w:b/>
                <w:i w:val="0"/>
                <w:color w:val="1B7A3D"/>
                <w:sz w:val="19"/>
              </w:rPr>
              <w:t>✓</w:t>
            </w:r>
          </w:p>
        </w:tc>
        <w:tc>
          <w:tcPr>
            <w:tcW w:type="dxa" w:w="850"/>
            <w:shd w:val="clear" w:color="auto" w:fill="E3F1E8"/>
          </w:tcPr>
          <w:p>
            <w:pPr>
              <w:spacing w:after="0" w:before="0"/>
              <w:jc w:val="center"/>
            </w:pPr>
            <w:r/>
            <w:r>
              <w:rPr>
                <w:rFonts w:ascii="Lato" w:hAnsi="Lato" w:cs="Lato"/>
                <w:b/>
                <w:i w:val="0"/>
                <w:color w:val="1B7A3D"/>
                <w:sz w:val="19"/>
              </w:rPr>
              <w:t>✓</w:t>
            </w:r>
          </w:p>
        </w:tc>
        <w:tc>
          <w:tcPr>
            <w:tcW w:type="dxa" w:w="850"/>
            <w:shd w:val="clear" w:color="auto" w:fill="FBE6EA"/>
          </w:tcPr>
          <w:p>
            <w:pPr>
              <w:spacing w:after="0" w:before="0"/>
              <w:jc w:val="center"/>
            </w:pPr>
            <w:r/>
            <w:r>
              <w:rPr>
                <w:rFonts w:ascii="Lato" w:hAnsi="Lato" w:cs="Lato"/>
                <w:b/>
                <w:i w:val="0"/>
                <w:color w:val="A4233B"/>
                <w:sz w:val="19"/>
              </w:rPr>
              <w:t>✗</w:t>
            </w:r>
          </w:p>
        </w:tc>
        <w:tc>
          <w:tcPr>
            <w:tcW w:type="dxa" w:w="850"/>
            <w:shd w:val="clear" w:color="auto" w:fill="FBE6EA"/>
          </w:tcPr>
          <w:p>
            <w:pPr>
              <w:spacing w:after="0" w:before="0"/>
              <w:jc w:val="center"/>
            </w:pPr>
            <w:r/>
            <w:r>
              <w:rPr>
                <w:rFonts w:ascii="Lato" w:hAnsi="Lato" w:cs="Lato"/>
                <w:b/>
                <w:i w:val="0"/>
                <w:color w:val="A4233B"/>
                <w:sz w:val="19"/>
              </w:rPr>
              <w:t>✗</w:t>
            </w:r>
          </w:p>
        </w:tc>
        <w:tc>
          <w:tcPr>
            <w:tcW w:type="dxa" w:w="850"/>
            <w:shd w:val="clear" w:color="auto" w:fill="FBE6EA"/>
          </w:tcPr>
          <w:p>
            <w:pPr>
              <w:spacing w:after="0" w:before="0"/>
              <w:jc w:val="center"/>
            </w:pPr>
            <w:r/>
            <w:r>
              <w:rPr>
                <w:rFonts w:ascii="Lato" w:hAnsi="Lato" w:cs="Lato"/>
                <w:b/>
                <w:i w:val="0"/>
                <w:color w:val="A4233B"/>
                <w:sz w:val="19"/>
              </w:rPr>
              <w:t>✗</w:t>
            </w:r>
          </w:p>
        </w:tc>
        <w:tc>
          <w:tcPr>
            <w:tcW w:type="dxa" w:w="850"/>
            <w:shd w:val="clear" w:color="auto" w:fill="FBE6EA"/>
          </w:tcPr>
          <w:p>
            <w:pPr>
              <w:spacing w:after="0" w:before="0"/>
              <w:jc w:val="center"/>
            </w:pPr>
            <w:r/>
            <w:r>
              <w:rPr>
                <w:rFonts w:ascii="Lato" w:hAnsi="Lato" w:cs="Lato"/>
                <w:b/>
                <w:i w:val="0"/>
                <w:color w:val="A4233B"/>
                <w:sz w:val="19"/>
              </w:rPr>
              <w:t>✗</w:t>
            </w:r>
          </w:p>
        </w:tc>
        <w:tc>
          <w:tcPr>
            <w:tcW w:type="dxa" w:w="6917"/>
            <w:shd w:val="clear" w:color="auto" w:fill="F4F7F9"/>
          </w:tcPr>
          <w:p>
            <w:pPr>
              <w:spacing w:after="20" w:before="0"/>
            </w:pPr>
            <w:r/>
            <w:r>
              <w:rPr>
                <w:rFonts w:ascii="Lato" w:hAnsi="Lato" w:cs="Lato"/>
                <w:b w:val="0"/>
                <w:i w:val="0"/>
                <w:color w:val="2B2F33"/>
                <w:sz w:val="14"/>
              </w:rPr>
              <w:t>Covered by all three media wordings (TMHCC/Yutree on an ‘unintentional’ basis; Tysers clauses 8.11/8.12).</w:t>
            </w:r>
          </w:p>
        </w:tc>
      </w:tr>
      <w:tr>
        <w:tc>
          <w:tcPr>
            <w:tcW w:type="dxa" w:w="2381"/>
          </w:tcPr>
          <w:p>
            <w:pPr>
              <w:spacing w:after="20" w:before="0"/>
            </w:pPr>
            <w:r/>
            <w:r>
              <w:rPr>
                <w:rFonts w:ascii="Lato" w:hAnsi="Lato" w:cs="Lato"/>
                <w:b/>
                <w:i w:val="0"/>
                <w:color w:val="00648B"/>
                <w:sz w:val="15"/>
              </w:rPr>
              <w:t>Breach of professional duty / negligence / E&amp;O</w:t>
            </w:r>
          </w:p>
        </w:tc>
        <w:tc>
          <w:tcPr>
            <w:tcW w:type="dxa" w:w="850"/>
            <w:shd w:val="clear" w:color="auto" w:fill="E3F1E8"/>
          </w:tcPr>
          <w:p>
            <w:pPr>
              <w:spacing w:after="0" w:before="0"/>
              <w:jc w:val="center"/>
            </w:pPr>
            <w:r/>
            <w:r>
              <w:rPr>
                <w:rFonts w:ascii="Lato" w:hAnsi="Lato" w:cs="Lato"/>
                <w:b/>
                <w:i w:val="0"/>
                <w:color w:val="1B7A3D"/>
                <w:sz w:val="19"/>
              </w:rPr>
              <w:t>✓</w:t>
            </w:r>
          </w:p>
        </w:tc>
        <w:tc>
          <w:tcPr>
            <w:tcW w:type="dxa" w:w="850"/>
            <w:shd w:val="clear" w:color="auto" w:fill="E3F1E8"/>
          </w:tcPr>
          <w:p>
            <w:pPr>
              <w:spacing w:after="0" w:before="0"/>
              <w:jc w:val="center"/>
            </w:pPr>
            <w:r/>
            <w:r>
              <w:rPr>
                <w:rFonts w:ascii="Lato" w:hAnsi="Lato" w:cs="Lato"/>
                <w:b/>
                <w:i w:val="0"/>
                <w:color w:val="1B7A3D"/>
                <w:sz w:val="19"/>
              </w:rPr>
              <w:t>✓</w:t>
            </w:r>
          </w:p>
        </w:tc>
        <w:tc>
          <w:tcPr>
            <w:tcW w:type="dxa" w:w="850"/>
            <w:shd w:val="clear" w:color="auto" w:fill="E3F1E8"/>
          </w:tcPr>
          <w:p>
            <w:pPr>
              <w:spacing w:after="0" w:before="0"/>
              <w:jc w:val="center"/>
            </w:pPr>
            <w:r/>
            <w:r>
              <w:rPr>
                <w:rFonts w:ascii="Lato" w:hAnsi="Lato" w:cs="Lato"/>
                <w:b/>
                <w:i w:val="0"/>
                <w:color w:val="1B7A3D"/>
                <w:sz w:val="19"/>
              </w:rPr>
              <w:t>✓</w:t>
            </w:r>
          </w:p>
        </w:tc>
        <w:tc>
          <w:tcPr>
            <w:tcW w:type="dxa" w:w="850"/>
            <w:shd w:val="clear" w:color="auto" w:fill="FBE6EA"/>
          </w:tcPr>
          <w:p>
            <w:pPr>
              <w:spacing w:after="0" w:before="0"/>
              <w:jc w:val="center"/>
            </w:pPr>
            <w:r/>
            <w:r>
              <w:rPr>
                <w:rFonts w:ascii="Lato" w:hAnsi="Lato" w:cs="Lato"/>
                <w:b/>
                <w:i w:val="0"/>
                <w:color w:val="A4233B"/>
                <w:sz w:val="19"/>
              </w:rPr>
              <w:t>✗</w:t>
            </w:r>
          </w:p>
        </w:tc>
        <w:tc>
          <w:tcPr>
            <w:tcW w:type="dxa" w:w="850"/>
            <w:shd w:val="clear" w:color="auto" w:fill="FBE6EA"/>
          </w:tcPr>
          <w:p>
            <w:pPr>
              <w:spacing w:after="0" w:before="0"/>
              <w:jc w:val="center"/>
            </w:pPr>
            <w:r/>
            <w:r>
              <w:rPr>
                <w:rFonts w:ascii="Lato" w:hAnsi="Lato" w:cs="Lato"/>
                <w:b/>
                <w:i w:val="0"/>
                <w:color w:val="A4233B"/>
                <w:sz w:val="19"/>
              </w:rPr>
              <w:t>✗</w:t>
            </w:r>
          </w:p>
        </w:tc>
        <w:tc>
          <w:tcPr>
            <w:tcW w:type="dxa" w:w="850"/>
            <w:shd w:val="clear" w:color="auto" w:fill="FBE6EA"/>
          </w:tcPr>
          <w:p>
            <w:pPr>
              <w:spacing w:after="0" w:before="0"/>
              <w:jc w:val="center"/>
            </w:pPr>
            <w:r/>
            <w:r>
              <w:rPr>
                <w:rFonts w:ascii="Lato" w:hAnsi="Lato" w:cs="Lato"/>
                <w:b/>
                <w:i w:val="0"/>
                <w:color w:val="A4233B"/>
                <w:sz w:val="19"/>
              </w:rPr>
              <w:t>✗</w:t>
            </w:r>
          </w:p>
        </w:tc>
        <w:tc>
          <w:tcPr>
            <w:tcW w:type="dxa" w:w="850"/>
            <w:shd w:val="clear" w:color="auto" w:fill="FBE6EA"/>
          </w:tcPr>
          <w:p>
            <w:pPr>
              <w:spacing w:after="0" w:before="0"/>
              <w:jc w:val="center"/>
            </w:pPr>
            <w:r/>
            <w:r>
              <w:rPr>
                <w:rFonts w:ascii="Lato" w:hAnsi="Lato" w:cs="Lato"/>
                <w:b/>
                <w:i w:val="0"/>
                <w:color w:val="A4233B"/>
                <w:sz w:val="19"/>
              </w:rPr>
              <w:t>✗</w:t>
            </w:r>
          </w:p>
        </w:tc>
        <w:tc>
          <w:tcPr>
            <w:tcW w:type="dxa" w:w="6917"/>
          </w:tcPr>
          <w:p>
            <w:pPr>
              <w:spacing w:after="20" w:before="0"/>
            </w:pPr>
            <w:r/>
            <w:r>
              <w:rPr>
                <w:rFonts w:ascii="Lato" w:hAnsi="Lato" w:cs="Lato"/>
                <w:b w:val="0"/>
                <w:i w:val="0"/>
                <w:color w:val="2B2F33"/>
                <w:sz w:val="14"/>
              </w:rPr>
              <w:t>Core E&amp;O. Covered by all three media wordings.</w:t>
            </w:r>
          </w:p>
        </w:tc>
      </w:tr>
      <w:tr>
        <w:tc>
          <w:tcPr>
            <w:tcW w:type="dxa" w:w="2381"/>
            <w:shd w:val="clear" w:color="auto" w:fill="F4F7F9"/>
          </w:tcPr>
          <w:p>
            <w:pPr>
              <w:spacing w:after="20" w:before="0"/>
            </w:pPr>
            <w:r/>
            <w:r>
              <w:rPr>
                <w:rFonts w:ascii="Lato" w:hAnsi="Lato" w:cs="Lato"/>
                <w:b/>
                <w:i w:val="0"/>
                <w:color w:val="00648B"/>
                <w:sz w:val="15"/>
              </w:rPr>
              <w:t>Dishonesty / fraud of employees (write-back)</w:t>
            </w:r>
          </w:p>
        </w:tc>
        <w:tc>
          <w:tcPr>
            <w:tcW w:type="dxa" w:w="850"/>
            <w:shd w:val="clear" w:color="auto" w:fill="E3F1E8"/>
          </w:tcPr>
          <w:p>
            <w:pPr>
              <w:spacing w:after="0" w:before="0"/>
              <w:jc w:val="center"/>
            </w:pPr>
            <w:r/>
            <w:r>
              <w:rPr>
                <w:rFonts w:ascii="Lato" w:hAnsi="Lato" w:cs="Lato"/>
                <w:b/>
                <w:i w:val="0"/>
                <w:color w:val="1B7A3D"/>
                <w:sz w:val="19"/>
              </w:rPr>
              <w:t>✓</w:t>
            </w:r>
          </w:p>
        </w:tc>
        <w:tc>
          <w:tcPr>
            <w:tcW w:type="dxa" w:w="850"/>
            <w:shd w:val="clear" w:color="auto" w:fill="FBF1DA"/>
          </w:tcPr>
          <w:p>
            <w:pPr>
              <w:spacing w:after="0" w:before="0"/>
              <w:jc w:val="center"/>
            </w:pPr>
            <w:r/>
            <w:r>
              <w:rPr>
                <w:rFonts w:ascii="Lato" w:hAnsi="Lato" w:cs="Lato"/>
                <w:b/>
                <w:i w:val="0"/>
                <w:color w:val="8A6A1E"/>
                <w:sz w:val="19"/>
              </w:rPr>
              <w:t>◐</w:t>
            </w:r>
          </w:p>
        </w:tc>
        <w:tc>
          <w:tcPr>
            <w:tcW w:type="dxa" w:w="850"/>
            <w:shd w:val="clear" w:color="auto" w:fill="E3F1E8"/>
          </w:tcPr>
          <w:p>
            <w:pPr>
              <w:spacing w:after="0" w:before="0"/>
              <w:jc w:val="center"/>
            </w:pPr>
            <w:r/>
            <w:r>
              <w:rPr>
                <w:rFonts w:ascii="Lato" w:hAnsi="Lato" w:cs="Lato"/>
                <w:b/>
                <w:i w:val="0"/>
                <w:color w:val="1B7A3D"/>
                <w:sz w:val="19"/>
              </w:rPr>
              <w:t>✓</w:t>
            </w:r>
          </w:p>
        </w:tc>
        <w:tc>
          <w:tcPr>
            <w:tcW w:type="dxa" w:w="850"/>
            <w:shd w:val="clear" w:color="auto" w:fill="FBE6EA"/>
          </w:tcPr>
          <w:p>
            <w:pPr>
              <w:spacing w:after="0" w:before="0"/>
              <w:jc w:val="center"/>
            </w:pPr>
            <w:r/>
            <w:r>
              <w:rPr>
                <w:rFonts w:ascii="Lato" w:hAnsi="Lato" w:cs="Lato"/>
                <w:b/>
                <w:i w:val="0"/>
                <w:color w:val="A4233B"/>
                <w:sz w:val="19"/>
              </w:rPr>
              <w:t>✗</w:t>
            </w:r>
          </w:p>
        </w:tc>
        <w:tc>
          <w:tcPr>
            <w:tcW w:type="dxa" w:w="850"/>
            <w:shd w:val="clear" w:color="auto" w:fill="FBE6EA"/>
          </w:tcPr>
          <w:p>
            <w:pPr>
              <w:spacing w:after="0" w:before="0"/>
              <w:jc w:val="center"/>
            </w:pPr>
            <w:r/>
            <w:r>
              <w:rPr>
                <w:rFonts w:ascii="Lato" w:hAnsi="Lato" w:cs="Lato"/>
                <w:b/>
                <w:i w:val="0"/>
                <w:color w:val="A4233B"/>
                <w:sz w:val="19"/>
              </w:rPr>
              <w:t>✗</w:t>
            </w:r>
          </w:p>
        </w:tc>
        <w:tc>
          <w:tcPr>
            <w:tcW w:type="dxa" w:w="850"/>
            <w:shd w:val="clear" w:color="auto" w:fill="FBE6EA"/>
          </w:tcPr>
          <w:p>
            <w:pPr>
              <w:spacing w:after="0" w:before="0"/>
              <w:jc w:val="center"/>
            </w:pPr>
            <w:r/>
            <w:r>
              <w:rPr>
                <w:rFonts w:ascii="Lato" w:hAnsi="Lato" w:cs="Lato"/>
                <w:b/>
                <w:i w:val="0"/>
                <w:color w:val="A4233B"/>
                <w:sz w:val="19"/>
              </w:rPr>
              <w:t>✗</w:t>
            </w:r>
          </w:p>
        </w:tc>
        <w:tc>
          <w:tcPr>
            <w:tcW w:type="dxa" w:w="850"/>
            <w:shd w:val="clear" w:color="auto" w:fill="FBE6EA"/>
          </w:tcPr>
          <w:p>
            <w:pPr>
              <w:spacing w:after="0" w:before="0"/>
              <w:jc w:val="center"/>
            </w:pPr>
            <w:r/>
            <w:r>
              <w:rPr>
                <w:rFonts w:ascii="Lato" w:hAnsi="Lato" w:cs="Lato"/>
                <w:b/>
                <w:i w:val="0"/>
                <w:color w:val="A4233B"/>
                <w:sz w:val="19"/>
              </w:rPr>
              <w:t>✗</w:t>
            </w:r>
          </w:p>
        </w:tc>
        <w:tc>
          <w:tcPr>
            <w:tcW w:type="dxa" w:w="6917"/>
            <w:shd w:val="clear" w:color="auto" w:fill="F4F7F9"/>
          </w:tcPr>
          <w:p>
            <w:pPr>
              <w:spacing w:after="20" w:before="0"/>
            </w:pPr>
            <w:r/>
            <w:r>
              <w:rPr>
                <w:rFonts w:ascii="Lato" w:hAnsi="Lato" w:cs="Lato"/>
                <w:b w:val="0"/>
                <w:i w:val="0"/>
                <w:color w:val="2B2F33"/>
                <w:sz w:val="14"/>
              </w:rPr>
              <w:t>TMHCC (Insuring Clause 1.l) and Yutree (Dishonesty &amp; fraud cover) grant an express write-back for employee dishonesty; Tysers via its Criminal/Malicious Acts exclusion with an employee carve-out.</w:t>
            </w:r>
          </w:p>
        </w:tc>
      </w:tr>
      <w:tr>
        <w:tc>
          <w:tcPr>
            <w:tcW w:type="dxa" w:w="2381"/>
          </w:tcPr>
          <w:p>
            <w:pPr>
              <w:spacing w:after="20" w:before="0"/>
            </w:pPr>
            <w:r/>
            <w:r>
              <w:rPr>
                <w:rFonts w:ascii="Lato" w:hAnsi="Lato" w:cs="Lato"/>
                <w:b/>
                <w:i w:val="0"/>
                <w:color w:val="00648B"/>
                <w:sz w:val="15"/>
              </w:rPr>
              <w:t>Defence costs payable IN ADDITION to the limit</w:t>
            </w:r>
          </w:p>
        </w:tc>
        <w:tc>
          <w:tcPr>
            <w:tcW w:type="dxa" w:w="850"/>
            <w:shd w:val="clear" w:color="auto" w:fill="E3F1E8"/>
          </w:tcPr>
          <w:p>
            <w:pPr>
              <w:spacing w:after="0" w:before="0"/>
              <w:jc w:val="center"/>
            </w:pPr>
            <w:r/>
            <w:r>
              <w:rPr>
                <w:rFonts w:ascii="Lato" w:hAnsi="Lato" w:cs="Lato"/>
                <w:b/>
                <w:i w:val="0"/>
                <w:color w:val="1B7A3D"/>
                <w:sz w:val="19"/>
              </w:rPr>
              <w:t>✓</w:t>
            </w:r>
          </w:p>
        </w:tc>
        <w:tc>
          <w:tcPr>
            <w:tcW w:type="dxa" w:w="850"/>
            <w:shd w:val="clear" w:color="auto" w:fill="E3F1E8"/>
          </w:tcPr>
          <w:p>
            <w:pPr>
              <w:spacing w:after="0" w:before="0"/>
              <w:jc w:val="center"/>
            </w:pPr>
            <w:r/>
            <w:r>
              <w:rPr>
                <w:rFonts w:ascii="Lato" w:hAnsi="Lato" w:cs="Lato"/>
                <w:b/>
                <w:i w:val="0"/>
                <w:color w:val="1B7A3D"/>
                <w:sz w:val="19"/>
              </w:rPr>
              <w:t>✓</w:t>
            </w:r>
          </w:p>
        </w:tc>
        <w:tc>
          <w:tcPr>
            <w:tcW w:type="dxa" w:w="850"/>
            <w:shd w:val="clear" w:color="auto" w:fill="E3F1E8"/>
          </w:tcPr>
          <w:p>
            <w:pPr>
              <w:spacing w:after="0" w:before="0"/>
              <w:jc w:val="center"/>
            </w:pPr>
            <w:r/>
            <w:r>
              <w:rPr>
                <w:rFonts w:ascii="Lato" w:hAnsi="Lato" w:cs="Lato"/>
                <w:b/>
                <w:i w:val="0"/>
                <w:color w:val="1B7A3D"/>
                <w:sz w:val="19"/>
              </w:rPr>
              <w:t>✓</w:t>
            </w:r>
          </w:p>
        </w:tc>
        <w:tc>
          <w:tcPr>
            <w:tcW w:type="dxa" w:w="850"/>
            <w:shd w:val="clear" w:color="auto" w:fill="FBE6EA"/>
          </w:tcPr>
          <w:p>
            <w:pPr>
              <w:spacing w:after="0" w:before="0"/>
              <w:jc w:val="center"/>
            </w:pPr>
            <w:r/>
            <w:r>
              <w:rPr>
                <w:rFonts w:ascii="Lato" w:hAnsi="Lato" w:cs="Lato"/>
                <w:b/>
                <w:i w:val="0"/>
                <w:color w:val="A4233B"/>
                <w:sz w:val="19"/>
              </w:rPr>
              <w:t>✗</w:t>
            </w:r>
          </w:p>
        </w:tc>
        <w:tc>
          <w:tcPr>
            <w:tcW w:type="dxa" w:w="850"/>
            <w:shd w:val="clear" w:color="auto" w:fill="FBE6EA"/>
          </w:tcPr>
          <w:p>
            <w:pPr>
              <w:spacing w:after="0" w:before="0"/>
              <w:jc w:val="center"/>
            </w:pPr>
            <w:r/>
            <w:r>
              <w:rPr>
                <w:rFonts w:ascii="Lato" w:hAnsi="Lato" w:cs="Lato"/>
                <w:b/>
                <w:i w:val="0"/>
                <w:color w:val="A4233B"/>
                <w:sz w:val="19"/>
              </w:rPr>
              <w:t>✗</w:t>
            </w:r>
          </w:p>
        </w:tc>
        <w:tc>
          <w:tcPr>
            <w:tcW w:type="dxa" w:w="850"/>
            <w:shd w:val="clear" w:color="auto" w:fill="FBE6EA"/>
          </w:tcPr>
          <w:p>
            <w:pPr>
              <w:spacing w:after="0" w:before="0"/>
              <w:jc w:val="center"/>
            </w:pPr>
            <w:r/>
            <w:r>
              <w:rPr>
                <w:rFonts w:ascii="Lato" w:hAnsi="Lato" w:cs="Lato"/>
                <w:b/>
                <w:i w:val="0"/>
                <w:color w:val="A4233B"/>
                <w:sz w:val="19"/>
              </w:rPr>
              <w:t>✗</w:t>
            </w:r>
          </w:p>
        </w:tc>
        <w:tc>
          <w:tcPr>
            <w:tcW w:type="dxa" w:w="850"/>
            <w:shd w:val="clear" w:color="auto" w:fill="FBE6EA"/>
          </w:tcPr>
          <w:p>
            <w:pPr>
              <w:spacing w:after="0" w:before="0"/>
              <w:jc w:val="center"/>
            </w:pPr>
            <w:r/>
            <w:r>
              <w:rPr>
                <w:rFonts w:ascii="Lato" w:hAnsi="Lato" w:cs="Lato"/>
                <w:b/>
                <w:i w:val="0"/>
                <w:color w:val="A4233B"/>
                <w:sz w:val="19"/>
              </w:rPr>
              <w:t>✗</w:t>
            </w:r>
          </w:p>
        </w:tc>
        <w:tc>
          <w:tcPr>
            <w:tcW w:type="dxa" w:w="6917"/>
          </w:tcPr>
          <w:p>
            <w:pPr>
              <w:spacing w:after="20" w:before="0"/>
            </w:pPr>
            <w:r/>
            <w:r>
              <w:rPr>
                <w:rFonts w:ascii="Lato" w:hAnsi="Lato" w:cs="Lato"/>
                <w:b w:val="0"/>
                <w:i w:val="0"/>
                <w:color w:val="2B2F33"/>
                <w:sz w:val="14"/>
              </w:rPr>
              <w:t>All three pay defence costs in addition, with proportionate reduction once the limit is exceeded.</w:t>
            </w:r>
          </w:p>
        </w:tc>
      </w:tr>
      <w:tr>
        <w:tc>
          <w:tcPr>
            <w:tcW w:type="dxa" w:w="2381"/>
            <w:shd w:val="clear" w:color="auto" w:fill="F4F7F9"/>
          </w:tcPr>
          <w:p>
            <w:pPr>
              <w:spacing w:after="20" w:before="0"/>
            </w:pPr>
            <w:r/>
            <w:r>
              <w:rPr>
                <w:rFonts w:ascii="Lato" w:hAnsi="Lato" w:cs="Lato"/>
                <w:b/>
                <w:i w:val="0"/>
                <w:color w:val="00648B"/>
                <w:sz w:val="15"/>
              </w:rPr>
              <w:t>Territorial / jurisdiction scope</w:t>
            </w:r>
          </w:p>
        </w:tc>
        <w:tc>
          <w:tcPr>
            <w:tcW w:type="dxa" w:w="850"/>
            <w:shd w:val="clear" w:color="auto" w:fill="FBF1DA"/>
          </w:tcPr>
          <w:p>
            <w:pPr>
              <w:spacing w:after="0" w:before="0"/>
              <w:jc w:val="center"/>
            </w:pPr>
            <w:r/>
            <w:r>
              <w:rPr>
                <w:rFonts w:ascii="Lato" w:hAnsi="Lato" w:cs="Lato"/>
                <w:b/>
                <w:i w:val="0"/>
                <w:color w:val="8A6A1E"/>
                <w:sz w:val="19"/>
              </w:rPr>
              <w:t>◐</w:t>
            </w:r>
          </w:p>
        </w:tc>
        <w:tc>
          <w:tcPr>
            <w:tcW w:type="dxa" w:w="850"/>
            <w:shd w:val="clear" w:color="auto" w:fill="E3F1E8"/>
          </w:tcPr>
          <w:p>
            <w:pPr>
              <w:spacing w:after="0" w:before="0"/>
              <w:jc w:val="center"/>
            </w:pPr>
            <w:r/>
            <w:r>
              <w:rPr>
                <w:rFonts w:ascii="Lato" w:hAnsi="Lato" w:cs="Lato"/>
                <w:b/>
                <w:i w:val="0"/>
                <w:color w:val="1B7A3D"/>
                <w:sz w:val="19"/>
              </w:rPr>
              <w:t>✓</w:t>
            </w:r>
          </w:p>
        </w:tc>
        <w:tc>
          <w:tcPr>
            <w:tcW w:type="dxa" w:w="850"/>
            <w:shd w:val="clear" w:color="auto" w:fill="FBF1DA"/>
          </w:tcPr>
          <w:p>
            <w:pPr>
              <w:spacing w:after="0" w:before="0"/>
              <w:jc w:val="center"/>
            </w:pPr>
            <w:r/>
            <w:r>
              <w:rPr>
                <w:rFonts w:ascii="Lato" w:hAnsi="Lato" w:cs="Lato"/>
                <w:b/>
                <w:i w:val="0"/>
                <w:color w:val="8A6A1E"/>
                <w:sz w:val="19"/>
              </w:rPr>
              <w:t>◐</w:t>
            </w:r>
          </w:p>
        </w:tc>
        <w:tc>
          <w:tcPr>
            <w:tcW w:type="dxa" w:w="850"/>
            <w:shd w:val="clear" w:color="auto" w:fill="FBE6EA"/>
          </w:tcPr>
          <w:p>
            <w:pPr>
              <w:spacing w:after="0" w:before="0"/>
              <w:jc w:val="center"/>
            </w:pPr>
            <w:r/>
            <w:r>
              <w:rPr>
                <w:rFonts w:ascii="Lato" w:hAnsi="Lato" w:cs="Lato"/>
                <w:b/>
                <w:i w:val="0"/>
                <w:color w:val="A4233B"/>
                <w:sz w:val="19"/>
              </w:rPr>
              <w:t>✗</w:t>
            </w:r>
          </w:p>
        </w:tc>
        <w:tc>
          <w:tcPr>
            <w:tcW w:type="dxa" w:w="850"/>
            <w:shd w:val="clear" w:color="auto" w:fill="FBE6EA"/>
          </w:tcPr>
          <w:p>
            <w:pPr>
              <w:spacing w:after="0" w:before="0"/>
              <w:jc w:val="center"/>
            </w:pPr>
            <w:r/>
            <w:r>
              <w:rPr>
                <w:rFonts w:ascii="Lato" w:hAnsi="Lato" w:cs="Lato"/>
                <w:b/>
                <w:i w:val="0"/>
                <w:color w:val="A4233B"/>
                <w:sz w:val="19"/>
              </w:rPr>
              <w:t>✗</w:t>
            </w:r>
          </w:p>
        </w:tc>
        <w:tc>
          <w:tcPr>
            <w:tcW w:type="dxa" w:w="850"/>
            <w:shd w:val="clear" w:color="auto" w:fill="FBE6EA"/>
          </w:tcPr>
          <w:p>
            <w:pPr>
              <w:spacing w:after="0" w:before="0"/>
              <w:jc w:val="center"/>
            </w:pPr>
            <w:r/>
            <w:r>
              <w:rPr>
                <w:rFonts w:ascii="Lato" w:hAnsi="Lato" w:cs="Lato"/>
                <w:b/>
                <w:i w:val="0"/>
                <w:color w:val="A4233B"/>
                <w:sz w:val="19"/>
              </w:rPr>
              <w:t>✗</w:t>
            </w:r>
          </w:p>
        </w:tc>
        <w:tc>
          <w:tcPr>
            <w:tcW w:type="dxa" w:w="850"/>
            <w:shd w:val="clear" w:color="auto" w:fill="FBE6EA"/>
          </w:tcPr>
          <w:p>
            <w:pPr>
              <w:spacing w:after="0" w:before="0"/>
              <w:jc w:val="center"/>
            </w:pPr>
            <w:r/>
            <w:r>
              <w:rPr>
                <w:rFonts w:ascii="Lato" w:hAnsi="Lato" w:cs="Lato"/>
                <w:b/>
                <w:i w:val="0"/>
                <w:color w:val="A4233B"/>
                <w:sz w:val="19"/>
              </w:rPr>
              <w:t>✗</w:t>
            </w:r>
          </w:p>
        </w:tc>
        <w:tc>
          <w:tcPr>
            <w:tcW w:type="dxa" w:w="6917"/>
            <w:shd w:val="clear" w:color="auto" w:fill="F4F7F9"/>
          </w:tcPr>
          <w:p>
            <w:pPr>
              <w:spacing w:after="20" w:before="0"/>
            </w:pPr>
            <w:r/>
            <w:r>
              <w:rPr>
                <w:rFonts w:ascii="Lato" w:hAnsi="Lato" w:cs="Lato"/>
                <w:b w:val="0"/>
                <w:i w:val="0"/>
                <w:color w:val="2B2F33"/>
                <w:sz w:val="14"/>
              </w:rPr>
              <w:t>Tysers PI is WORLDWIDE. TMHCC limits cover to the Schedule Geographical Limits and EXCLUDES actions brought outside the stated Jurisdiction (default worldwide ex-US/Canada). Yutree restricts US/Canada. Competitor (Tysers) broader.</w:t>
            </w:r>
          </w:p>
        </w:tc>
      </w:tr>
      <w:tr>
        <w:tc>
          <w:tcPr>
            <w:tcW w:type="dxa" w:w="2381"/>
          </w:tcPr>
          <w:p>
            <w:pPr>
              <w:spacing w:after="20" w:before="0"/>
            </w:pPr>
            <w:r/>
            <w:r>
              <w:rPr>
                <w:rFonts w:ascii="Lato" w:hAnsi="Lato" w:cs="Lato"/>
                <w:b/>
                <w:i w:val="0"/>
                <w:color w:val="00648B"/>
                <w:sz w:val="15"/>
              </w:rPr>
              <w:t>Data-protection defence costs</w:t>
            </w:r>
          </w:p>
        </w:tc>
        <w:tc>
          <w:tcPr>
            <w:tcW w:type="dxa" w:w="850"/>
            <w:shd w:val="clear" w:color="auto" w:fill="E3F1E8"/>
          </w:tcPr>
          <w:p>
            <w:pPr>
              <w:spacing w:after="0" w:before="0"/>
              <w:jc w:val="center"/>
            </w:pPr>
            <w:r/>
            <w:r>
              <w:rPr>
                <w:rFonts w:ascii="Lato" w:hAnsi="Lato" w:cs="Lato"/>
                <w:b/>
                <w:i w:val="0"/>
                <w:color w:val="1B7A3D"/>
                <w:sz w:val="19"/>
              </w:rPr>
              <w:t>✓</w:t>
            </w:r>
          </w:p>
        </w:tc>
        <w:tc>
          <w:tcPr>
            <w:tcW w:type="dxa" w:w="850"/>
            <w:shd w:val="clear" w:color="auto" w:fill="FBF1DA"/>
          </w:tcPr>
          <w:p>
            <w:pPr>
              <w:spacing w:after="0" w:before="0"/>
              <w:jc w:val="center"/>
            </w:pPr>
            <w:r/>
            <w:r>
              <w:rPr>
                <w:rFonts w:ascii="Lato" w:hAnsi="Lato" w:cs="Lato"/>
                <w:b/>
                <w:i w:val="0"/>
                <w:color w:val="8A6A1E"/>
                <w:sz w:val="19"/>
              </w:rPr>
              <w:t>◐</w:t>
            </w:r>
          </w:p>
        </w:tc>
        <w:tc>
          <w:tcPr>
            <w:tcW w:type="dxa" w:w="850"/>
            <w:shd w:val="clear" w:color="auto" w:fill="FBE6EA"/>
          </w:tcPr>
          <w:p>
            <w:pPr>
              <w:spacing w:after="0" w:before="0"/>
              <w:jc w:val="center"/>
            </w:pPr>
            <w:r/>
            <w:r>
              <w:rPr>
                <w:rFonts w:ascii="Lato" w:hAnsi="Lato" w:cs="Lato"/>
                <w:b/>
                <w:i w:val="0"/>
                <w:color w:val="A4233B"/>
                <w:sz w:val="19"/>
              </w:rPr>
              <w:t>✗</w:t>
            </w:r>
          </w:p>
        </w:tc>
        <w:tc>
          <w:tcPr>
            <w:tcW w:type="dxa" w:w="850"/>
            <w:shd w:val="clear" w:color="auto" w:fill="FBE6EA"/>
          </w:tcPr>
          <w:p>
            <w:pPr>
              <w:spacing w:after="0" w:before="0"/>
              <w:jc w:val="center"/>
            </w:pPr>
            <w:r/>
            <w:r>
              <w:rPr>
                <w:rFonts w:ascii="Lato" w:hAnsi="Lato" w:cs="Lato"/>
                <w:b/>
                <w:i w:val="0"/>
                <w:color w:val="A4233B"/>
                <w:sz w:val="19"/>
              </w:rPr>
              <w:t>✗</w:t>
            </w:r>
          </w:p>
        </w:tc>
        <w:tc>
          <w:tcPr>
            <w:tcW w:type="dxa" w:w="850"/>
            <w:shd w:val="clear" w:color="auto" w:fill="FBE6EA"/>
          </w:tcPr>
          <w:p>
            <w:pPr>
              <w:spacing w:after="0" w:before="0"/>
              <w:jc w:val="center"/>
            </w:pPr>
            <w:r/>
            <w:r>
              <w:rPr>
                <w:rFonts w:ascii="Lato" w:hAnsi="Lato" w:cs="Lato"/>
                <w:b/>
                <w:i w:val="0"/>
                <w:color w:val="A4233B"/>
                <w:sz w:val="19"/>
              </w:rPr>
              <w:t>✗</w:t>
            </w:r>
          </w:p>
        </w:tc>
        <w:tc>
          <w:tcPr>
            <w:tcW w:type="dxa" w:w="850"/>
            <w:shd w:val="clear" w:color="auto" w:fill="FBF1DA"/>
          </w:tcPr>
          <w:p>
            <w:pPr>
              <w:spacing w:after="0" w:before="0"/>
              <w:jc w:val="center"/>
            </w:pPr>
            <w:r/>
            <w:r>
              <w:rPr>
                <w:rFonts w:ascii="Lato" w:hAnsi="Lato" w:cs="Lato"/>
                <w:b/>
                <w:i w:val="0"/>
                <w:color w:val="8A6A1E"/>
                <w:sz w:val="19"/>
              </w:rPr>
              <w:t>◐</w:t>
            </w:r>
          </w:p>
        </w:tc>
        <w:tc>
          <w:tcPr>
            <w:tcW w:type="dxa" w:w="850"/>
            <w:shd w:val="clear" w:color="auto" w:fill="FBE6EA"/>
          </w:tcPr>
          <w:p>
            <w:pPr>
              <w:spacing w:after="0" w:before="0"/>
              <w:jc w:val="center"/>
            </w:pPr>
            <w:r/>
            <w:r>
              <w:rPr>
                <w:rFonts w:ascii="Lato" w:hAnsi="Lato" w:cs="Lato"/>
                <w:b/>
                <w:i w:val="0"/>
                <w:color w:val="A4233B"/>
                <w:sz w:val="19"/>
              </w:rPr>
              <w:t>✗</w:t>
            </w:r>
          </w:p>
        </w:tc>
        <w:tc>
          <w:tcPr>
            <w:tcW w:type="dxa" w:w="6917"/>
          </w:tcPr>
          <w:p>
            <w:pPr>
              <w:spacing w:after="20" w:before="0"/>
            </w:pPr>
            <w:r/>
            <w:r>
              <w:rPr>
                <w:rFonts w:ascii="Lato" w:hAnsi="Lato" w:cs="Lato"/>
                <w:b w:val="0"/>
                <w:i w:val="0"/>
                <w:color w:val="2B2F33"/>
                <w:sz w:val="14"/>
              </w:rPr>
              <w:t>TMHCC grants Data Protection Defence Costs (GBP 250k). Yutree EXCLUDES breach of data-protection law in PI. AXA XL provides only a DP Act 2018 defence-costs extension within Public Liability (not a media/PI grant). TMHCC clearer/broader.</w:t>
            </w:r>
          </w:p>
        </w:tc>
      </w:tr>
      <w:tr>
        <w:tc>
          <w:tcPr>
            <w:tcW w:type="dxa" w:w="2381"/>
            <w:shd w:val="clear" w:color="auto" w:fill="F4F7F9"/>
          </w:tcPr>
          <w:p>
            <w:pPr>
              <w:spacing w:after="20" w:before="0"/>
            </w:pPr>
            <w:r/>
            <w:r>
              <w:rPr>
                <w:rFonts w:ascii="Lato" w:hAnsi="Lato" w:cs="Lato"/>
                <w:b/>
                <w:i w:val="0"/>
                <w:color w:val="00648B"/>
                <w:sz w:val="15"/>
              </w:rPr>
              <w:t>Criminal / statutory prosecution defence costs</w:t>
            </w:r>
          </w:p>
        </w:tc>
        <w:tc>
          <w:tcPr>
            <w:tcW w:type="dxa" w:w="850"/>
            <w:shd w:val="clear" w:color="auto" w:fill="FBF1DA"/>
          </w:tcPr>
          <w:p>
            <w:pPr>
              <w:spacing w:after="0" w:before="0"/>
              <w:jc w:val="center"/>
            </w:pPr>
            <w:r/>
            <w:r>
              <w:rPr>
                <w:rFonts w:ascii="Lato" w:hAnsi="Lato" w:cs="Lato"/>
                <w:b/>
                <w:i w:val="0"/>
                <w:color w:val="8A6A1E"/>
                <w:sz w:val="19"/>
              </w:rPr>
              <w:t>◐</w:t>
            </w:r>
          </w:p>
        </w:tc>
        <w:tc>
          <w:tcPr>
            <w:tcW w:type="dxa" w:w="850"/>
            <w:shd w:val="clear" w:color="auto" w:fill="E3F1E8"/>
          </w:tcPr>
          <w:p>
            <w:pPr>
              <w:spacing w:after="0" w:before="0"/>
              <w:jc w:val="center"/>
            </w:pPr>
            <w:r/>
            <w:r>
              <w:rPr>
                <w:rFonts w:ascii="Lato" w:hAnsi="Lato" w:cs="Lato"/>
                <w:b/>
                <w:i w:val="0"/>
                <w:color w:val="1B7A3D"/>
                <w:sz w:val="19"/>
              </w:rPr>
              <w:t>✓</w:t>
            </w:r>
          </w:p>
        </w:tc>
        <w:tc>
          <w:tcPr>
            <w:tcW w:type="dxa" w:w="850"/>
            <w:shd w:val="clear" w:color="auto" w:fill="E3F1E8"/>
          </w:tcPr>
          <w:p>
            <w:pPr>
              <w:spacing w:after="0" w:before="0"/>
              <w:jc w:val="center"/>
            </w:pPr>
            <w:r/>
            <w:r>
              <w:rPr>
                <w:rFonts w:ascii="Lato" w:hAnsi="Lato" w:cs="Lato"/>
                <w:b/>
                <w:i w:val="0"/>
                <w:color w:val="1B7A3D"/>
                <w:sz w:val="19"/>
              </w:rPr>
              <w:t>✓</w:t>
            </w:r>
          </w:p>
        </w:tc>
        <w:tc>
          <w:tcPr>
            <w:tcW w:type="dxa" w:w="850"/>
            <w:shd w:val="clear" w:color="auto" w:fill="FBE6EA"/>
          </w:tcPr>
          <w:p>
            <w:pPr>
              <w:spacing w:after="0" w:before="0"/>
              <w:jc w:val="center"/>
            </w:pPr>
            <w:r/>
            <w:r>
              <w:rPr>
                <w:rFonts w:ascii="Lato" w:hAnsi="Lato" w:cs="Lato"/>
                <w:b/>
                <w:i w:val="0"/>
                <w:color w:val="A4233B"/>
                <w:sz w:val="19"/>
              </w:rPr>
              <w:t>✗</w:t>
            </w:r>
          </w:p>
        </w:tc>
        <w:tc>
          <w:tcPr>
            <w:tcW w:type="dxa" w:w="850"/>
            <w:shd w:val="clear" w:color="auto" w:fill="FBE6EA"/>
          </w:tcPr>
          <w:p>
            <w:pPr>
              <w:spacing w:after="0" w:before="0"/>
              <w:jc w:val="center"/>
            </w:pPr>
            <w:r/>
            <w:r>
              <w:rPr>
                <w:rFonts w:ascii="Lato" w:hAnsi="Lato" w:cs="Lato"/>
                <w:b/>
                <w:i w:val="0"/>
                <w:color w:val="A4233B"/>
                <w:sz w:val="19"/>
              </w:rPr>
              <w:t>✗</w:t>
            </w:r>
          </w:p>
        </w:tc>
        <w:tc>
          <w:tcPr>
            <w:tcW w:type="dxa" w:w="850"/>
            <w:shd w:val="clear" w:color="auto" w:fill="FBE6EA"/>
          </w:tcPr>
          <w:p>
            <w:pPr>
              <w:spacing w:after="0" w:before="0"/>
              <w:jc w:val="center"/>
            </w:pPr>
            <w:r/>
            <w:r>
              <w:rPr>
                <w:rFonts w:ascii="Lato" w:hAnsi="Lato" w:cs="Lato"/>
                <w:b/>
                <w:i w:val="0"/>
                <w:color w:val="A4233B"/>
                <w:sz w:val="19"/>
              </w:rPr>
              <w:t>✗</w:t>
            </w:r>
          </w:p>
        </w:tc>
        <w:tc>
          <w:tcPr>
            <w:tcW w:type="dxa" w:w="850"/>
            <w:shd w:val="clear" w:color="auto" w:fill="FBE6EA"/>
          </w:tcPr>
          <w:p>
            <w:pPr>
              <w:spacing w:after="0" w:before="0"/>
              <w:jc w:val="center"/>
            </w:pPr>
            <w:r/>
            <w:r>
              <w:rPr>
                <w:rFonts w:ascii="Lato" w:hAnsi="Lato" w:cs="Lato"/>
                <w:b/>
                <w:i w:val="0"/>
                <w:color w:val="A4233B"/>
                <w:sz w:val="19"/>
              </w:rPr>
              <w:t>✗</w:t>
            </w:r>
          </w:p>
        </w:tc>
        <w:tc>
          <w:tcPr>
            <w:tcW w:type="dxa" w:w="6917"/>
            <w:shd w:val="clear" w:color="auto" w:fill="F4F7F9"/>
          </w:tcPr>
          <w:p>
            <w:pPr>
              <w:spacing w:after="20" w:before="0"/>
            </w:pPr>
            <w:r/>
            <w:r>
              <w:rPr>
                <w:rFonts w:ascii="Lato" w:hAnsi="Lato" w:cs="Lato"/>
                <w:b w:val="0"/>
                <w:i w:val="0"/>
                <w:color w:val="2B2F33"/>
                <w:sz w:val="14"/>
              </w:rPr>
              <w:t>Tysers pays statutory defence costs (Bribery/Corporate Manslaughter/H&amp;S/CDM — GBP 1m). Yutree pays Criminal Prosecution Defence Costs (GBP 250k). TMHCC S12 grants only Data-Protection defence costs (broader criminal cover sits in S13/S14).</w:t>
            </w:r>
          </w:p>
        </w:tc>
      </w:tr>
      <w:tr>
        <w:tc>
          <w:tcPr>
            <w:tcW w:type="dxa" w:w="2381"/>
          </w:tcPr>
          <w:p>
            <w:pPr>
              <w:spacing w:after="20" w:before="0"/>
            </w:pPr>
            <w:r/>
            <w:r>
              <w:rPr>
                <w:rFonts w:ascii="Lato" w:hAnsi="Lato" w:cs="Lato"/>
                <w:b/>
                <w:i w:val="0"/>
                <w:color w:val="00648B"/>
                <w:sz w:val="15"/>
              </w:rPr>
              <w:t>Reputation management / crisis-PR costs</w:t>
            </w:r>
          </w:p>
        </w:tc>
        <w:tc>
          <w:tcPr>
            <w:tcW w:type="dxa" w:w="850"/>
            <w:shd w:val="clear" w:color="auto" w:fill="E3F1E8"/>
          </w:tcPr>
          <w:p>
            <w:pPr>
              <w:spacing w:after="0" w:before="0"/>
              <w:jc w:val="center"/>
            </w:pPr>
            <w:r/>
            <w:r>
              <w:rPr>
                <w:rFonts w:ascii="Lato" w:hAnsi="Lato" w:cs="Lato"/>
                <w:b/>
                <w:i w:val="0"/>
                <w:color w:val="1B7A3D"/>
                <w:sz w:val="19"/>
              </w:rPr>
              <w:t>✓</w:t>
            </w:r>
          </w:p>
        </w:tc>
        <w:tc>
          <w:tcPr>
            <w:tcW w:type="dxa" w:w="850"/>
            <w:shd w:val="clear" w:color="auto" w:fill="FBE6EA"/>
          </w:tcPr>
          <w:p>
            <w:pPr>
              <w:spacing w:after="0" w:before="0"/>
              <w:jc w:val="center"/>
            </w:pPr>
            <w:r/>
            <w:r>
              <w:rPr>
                <w:rFonts w:ascii="Lato" w:hAnsi="Lato" w:cs="Lato"/>
                <w:b/>
                <w:i w:val="0"/>
                <w:color w:val="A4233B"/>
                <w:sz w:val="19"/>
              </w:rPr>
              <w:t>✗</w:t>
            </w:r>
          </w:p>
        </w:tc>
        <w:tc>
          <w:tcPr>
            <w:tcW w:type="dxa" w:w="850"/>
            <w:shd w:val="clear" w:color="auto" w:fill="E3F1E8"/>
          </w:tcPr>
          <w:p>
            <w:pPr>
              <w:spacing w:after="0" w:before="0"/>
              <w:jc w:val="center"/>
            </w:pPr>
            <w:r/>
            <w:r>
              <w:rPr>
                <w:rFonts w:ascii="Lato" w:hAnsi="Lato" w:cs="Lato"/>
                <w:b/>
                <w:i w:val="0"/>
                <w:color w:val="1B7A3D"/>
                <w:sz w:val="19"/>
              </w:rPr>
              <w:t>✓</w:t>
            </w:r>
          </w:p>
        </w:tc>
        <w:tc>
          <w:tcPr>
            <w:tcW w:type="dxa" w:w="850"/>
            <w:shd w:val="clear" w:color="auto" w:fill="FBE6EA"/>
          </w:tcPr>
          <w:p>
            <w:pPr>
              <w:spacing w:after="0" w:before="0"/>
              <w:jc w:val="center"/>
            </w:pPr>
            <w:r/>
            <w:r>
              <w:rPr>
                <w:rFonts w:ascii="Lato" w:hAnsi="Lato" w:cs="Lato"/>
                <w:b/>
                <w:i w:val="0"/>
                <w:color w:val="A4233B"/>
                <w:sz w:val="19"/>
              </w:rPr>
              <w:t>✗</w:t>
            </w:r>
          </w:p>
        </w:tc>
        <w:tc>
          <w:tcPr>
            <w:tcW w:type="dxa" w:w="850"/>
            <w:shd w:val="clear" w:color="auto" w:fill="FBE6EA"/>
          </w:tcPr>
          <w:p>
            <w:pPr>
              <w:spacing w:after="0" w:before="0"/>
              <w:jc w:val="center"/>
            </w:pPr>
            <w:r/>
            <w:r>
              <w:rPr>
                <w:rFonts w:ascii="Lato" w:hAnsi="Lato" w:cs="Lato"/>
                <w:b/>
                <w:i w:val="0"/>
                <w:color w:val="A4233B"/>
                <w:sz w:val="19"/>
              </w:rPr>
              <w:t>✗</w:t>
            </w:r>
          </w:p>
        </w:tc>
        <w:tc>
          <w:tcPr>
            <w:tcW w:type="dxa" w:w="850"/>
            <w:shd w:val="clear" w:color="auto" w:fill="FBE6EA"/>
          </w:tcPr>
          <w:p>
            <w:pPr>
              <w:spacing w:after="0" w:before="0"/>
              <w:jc w:val="center"/>
            </w:pPr>
            <w:r/>
            <w:r>
              <w:rPr>
                <w:rFonts w:ascii="Lato" w:hAnsi="Lato" w:cs="Lato"/>
                <w:b/>
                <w:i w:val="0"/>
                <w:color w:val="A4233B"/>
                <w:sz w:val="19"/>
              </w:rPr>
              <w:t>✗</w:t>
            </w:r>
          </w:p>
        </w:tc>
        <w:tc>
          <w:tcPr>
            <w:tcW w:type="dxa" w:w="850"/>
            <w:shd w:val="clear" w:color="auto" w:fill="FBE6EA"/>
          </w:tcPr>
          <w:p>
            <w:pPr>
              <w:spacing w:after="0" w:before="0"/>
              <w:jc w:val="center"/>
            </w:pPr>
            <w:r/>
            <w:r>
              <w:rPr>
                <w:rFonts w:ascii="Lato" w:hAnsi="Lato" w:cs="Lato"/>
                <w:b/>
                <w:i w:val="0"/>
                <w:color w:val="A4233B"/>
                <w:sz w:val="19"/>
              </w:rPr>
              <w:t>✗</w:t>
            </w:r>
          </w:p>
        </w:tc>
        <w:tc>
          <w:tcPr>
            <w:tcW w:type="dxa" w:w="6917"/>
          </w:tcPr>
          <w:p>
            <w:pPr>
              <w:spacing w:after="20" w:before="0"/>
            </w:pPr>
            <w:r/>
            <w:r>
              <w:rPr>
                <w:rFonts w:ascii="Lato" w:hAnsi="Lato" w:cs="Lato"/>
                <w:b w:val="0"/>
                <w:i w:val="0"/>
                <w:color w:val="2B2F33"/>
                <w:sz w:val="14"/>
              </w:rPr>
              <w:t>TMHCC and Yutree both grant Reputation Management costs (GBP 250k). Not identified in Tysers S8.</w:t>
            </w:r>
          </w:p>
        </w:tc>
      </w:tr>
      <w:tr>
        <w:tc>
          <w:tcPr>
            <w:tcW w:type="dxa" w:w="2381"/>
            <w:shd w:val="clear" w:color="auto" w:fill="F4F7F9"/>
          </w:tcPr>
          <w:p>
            <w:pPr>
              <w:spacing w:after="20" w:before="0"/>
            </w:pPr>
            <w:r/>
            <w:r>
              <w:rPr>
                <w:rFonts w:ascii="Lato" w:hAnsi="Lato" w:cs="Lato"/>
                <w:b/>
                <w:i w:val="0"/>
                <w:color w:val="00648B"/>
                <w:sz w:val="15"/>
              </w:rPr>
              <w:t>Withdrawal / alteration of content (incl. ASA/OFCOM)</w:t>
            </w:r>
          </w:p>
        </w:tc>
        <w:tc>
          <w:tcPr>
            <w:tcW w:type="dxa" w:w="850"/>
            <w:shd w:val="clear" w:color="auto" w:fill="E3F1E8"/>
          </w:tcPr>
          <w:p>
            <w:pPr>
              <w:spacing w:after="0" w:before="0"/>
              <w:jc w:val="center"/>
            </w:pPr>
            <w:r/>
            <w:r>
              <w:rPr>
                <w:rFonts w:ascii="Lato" w:hAnsi="Lato" w:cs="Lato"/>
                <w:b/>
                <w:i w:val="0"/>
                <w:color w:val="1B7A3D"/>
                <w:sz w:val="19"/>
              </w:rPr>
              <w:t>✓</w:t>
            </w:r>
          </w:p>
        </w:tc>
        <w:tc>
          <w:tcPr>
            <w:tcW w:type="dxa" w:w="850"/>
            <w:shd w:val="clear" w:color="auto" w:fill="FBE6EA"/>
          </w:tcPr>
          <w:p>
            <w:pPr>
              <w:spacing w:after="0" w:before="0"/>
              <w:jc w:val="center"/>
            </w:pPr>
            <w:r/>
            <w:r>
              <w:rPr>
                <w:rFonts w:ascii="Lato" w:hAnsi="Lato" w:cs="Lato"/>
                <w:b/>
                <w:i w:val="0"/>
                <w:color w:val="A4233B"/>
                <w:sz w:val="19"/>
              </w:rPr>
              <w:t>✗</w:t>
            </w:r>
          </w:p>
        </w:tc>
        <w:tc>
          <w:tcPr>
            <w:tcW w:type="dxa" w:w="850"/>
            <w:shd w:val="clear" w:color="auto" w:fill="E3F1E8"/>
          </w:tcPr>
          <w:p>
            <w:pPr>
              <w:spacing w:after="0" w:before="0"/>
              <w:jc w:val="center"/>
            </w:pPr>
            <w:r/>
            <w:r>
              <w:rPr>
                <w:rFonts w:ascii="Lato" w:hAnsi="Lato" w:cs="Lato"/>
                <w:b/>
                <w:i w:val="0"/>
                <w:color w:val="1B7A3D"/>
                <w:sz w:val="19"/>
              </w:rPr>
              <w:t>✓</w:t>
            </w:r>
          </w:p>
        </w:tc>
        <w:tc>
          <w:tcPr>
            <w:tcW w:type="dxa" w:w="850"/>
            <w:shd w:val="clear" w:color="auto" w:fill="FBE6EA"/>
          </w:tcPr>
          <w:p>
            <w:pPr>
              <w:spacing w:after="0" w:before="0"/>
              <w:jc w:val="center"/>
            </w:pPr>
            <w:r/>
            <w:r>
              <w:rPr>
                <w:rFonts w:ascii="Lato" w:hAnsi="Lato" w:cs="Lato"/>
                <w:b/>
                <w:i w:val="0"/>
                <w:color w:val="A4233B"/>
                <w:sz w:val="19"/>
              </w:rPr>
              <w:t>✗</w:t>
            </w:r>
          </w:p>
        </w:tc>
        <w:tc>
          <w:tcPr>
            <w:tcW w:type="dxa" w:w="850"/>
            <w:shd w:val="clear" w:color="auto" w:fill="FBE6EA"/>
          </w:tcPr>
          <w:p>
            <w:pPr>
              <w:spacing w:after="0" w:before="0"/>
              <w:jc w:val="center"/>
            </w:pPr>
            <w:r/>
            <w:r>
              <w:rPr>
                <w:rFonts w:ascii="Lato" w:hAnsi="Lato" w:cs="Lato"/>
                <w:b/>
                <w:i w:val="0"/>
                <w:color w:val="A4233B"/>
                <w:sz w:val="19"/>
              </w:rPr>
              <w:t>✗</w:t>
            </w:r>
          </w:p>
        </w:tc>
        <w:tc>
          <w:tcPr>
            <w:tcW w:type="dxa" w:w="850"/>
            <w:shd w:val="clear" w:color="auto" w:fill="FBE6EA"/>
          </w:tcPr>
          <w:p>
            <w:pPr>
              <w:spacing w:after="0" w:before="0"/>
              <w:jc w:val="center"/>
            </w:pPr>
            <w:r/>
            <w:r>
              <w:rPr>
                <w:rFonts w:ascii="Lato" w:hAnsi="Lato" w:cs="Lato"/>
                <w:b/>
                <w:i w:val="0"/>
                <w:color w:val="A4233B"/>
                <w:sz w:val="19"/>
              </w:rPr>
              <w:t>✗</w:t>
            </w:r>
          </w:p>
        </w:tc>
        <w:tc>
          <w:tcPr>
            <w:tcW w:type="dxa" w:w="850"/>
            <w:shd w:val="clear" w:color="auto" w:fill="FBE6EA"/>
          </w:tcPr>
          <w:p>
            <w:pPr>
              <w:spacing w:after="0" w:before="0"/>
              <w:jc w:val="center"/>
            </w:pPr>
            <w:r/>
            <w:r>
              <w:rPr>
                <w:rFonts w:ascii="Lato" w:hAnsi="Lato" w:cs="Lato"/>
                <w:b/>
                <w:i w:val="0"/>
                <w:color w:val="A4233B"/>
                <w:sz w:val="19"/>
              </w:rPr>
              <w:t>✗</w:t>
            </w:r>
          </w:p>
        </w:tc>
        <w:tc>
          <w:tcPr>
            <w:tcW w:type="dxa" w:w="6917"/>
            <w:shd w:val="clear" w:color="auto" w:fill="F4F7F9"/>
          </w:tcPr>
          <w:p>
            <w:pPr>
              <w:spacing w:after="20" w:before="0"/>
            </w:pPr>
            <w:r/>
            <w:r>
              <w:rPr>
                <w:rFonts w:ascii="Lato" w:hAnsi="Lato" w:cs="Lato"/>
                <w:b w:val="0"/>
                <w:i w:val="0"/>
                <w:color w:val="2B2F33"/>
                <w:sz w:val="14"/>
              </w:rPr>
              <w:t>TMHCC and Yutree both grant Withdrawal of Content (GBP 250k) including ASA/OFCOM complaints. Not identified in Tysers.</w:t>
            </w:r>
          </w:p>
        </w:tc>
      </w:tr>
      <w:tr>
        <w:tc>
          <w:tcPr>
            <w:tcW w:type="dxa" w:w="2381"/>
          </w:tcPr>
          <w:p>
            <w:pPr>
              <w:spacing w:after="20" w:before="0"/>
            </w:pPr>
            <w:r/>
            <w:r>
              <w:rPr>
                <w:rFonts w:ascii="Lato" w:hAnsi="Lato" w:cs="Lato"/>
                <w:b/>
                <w:i w:val="0"/>
                <w:color w:val="00648B"/>
                <w:sz w:val="15"/>
              </w:rPr>
              <w:t>Rectification / mitigation costs</w:t>
            </w:r>
          </w:p>
        </w:tc>
        <w:tc>
          <w:tcPr>
            <w:tcW w:type="dxa" w:w="850"/>
            <w:shd w:val="clear" w:color="auto" w:fill="E3F1E8"/>
          </w:tcPr>
          <w:p>
            <w:pPr>
              <w:spacing w:after="0" w:before="0"/>
              <w:jc w:val="center"/>
            </w:pPr>
            <w:r/>
            <w:r>
              <w:rPr>
                <w:rFonts w:ascii="Lato" w:hAnsi="Lato" w:cs="Lato"/>
                <w:b/>
                <w:i w:val="0"/>
                <w:color w:val="1B7A3D"/>
                <w:sz w:val="19"/>
              </w:rPr>
              <w:t>✓</w:t>
            </w:r>
          </w:p>
        </w:tc>
        <w:tc>
          <w:tcPr>
            <w:tcW w:type="dxa" w:w="850"/>
            <w:shd w:val="clear" w:color="auto" w:fill="E3F1E8"/>
          </w:tcPr>
          <w:p>
            <w:pPr>
              <w:spacing w:after="0" w:before="0"/>
              <w:jc w:val="center"/>
            </w:pPr>
            <w:r/>
            <w:r>
              <w:rPr>
                <w:rFonts w:ascii="Lato" w:hAnsi="Lato" w:cs="Lato"/>
                <w:b/>
                <w:i w:val="0"/>
                <w:color w:val="1B7A3D"/>
                <w:sz w:val="19"/>
              </w:rPr>
              <w:t>✓</w:t>
            </w:r>
          </w:p>
        </w:tc>
        <w:tc>
          <w:tcPr>
            <w:tcW w:type="dxa" w:w="850"/>
            <w:shd w:val="clear" w:color="auto" w:fill="E3F1E8"/>
          </w:tcPr>
          <w:p>
            <w:pPr>
              <w:spacing w:after="0" w:before="0"/>
              <w:jc w:val="center"/>
            </w:pPr>
            <w:r/>
            <w:r>
              <w:rPr>
                <w:rFonts w:ascii="Lato" w:hAnsi="Lato" w:cs="Lato"/>
                <w:b/>
                <w:i w:val="0"/>
                <w:color w:val="1B7A3D"/>
                <w:sz w:val="19"/>
              </w:rPr>
              <w:t>✓</w:t>
            </w:r>
          </w:p>
        </w:tc>
        <w:tc>
          <w:tcPr>
            <w:tcW w:type="dxa" w:w="850"/>
            <w:shd w:val="clear" w:color="auto" w:fill="FBE6EA"/>
          </w:tcPr>
          <w:p>
            <w:pPr>
              <w:spacing w:after="0" w:before="0"/>
              <w:jc w:val="center"/>
            </w:pPr>
            <w:r/>
            <w:r>
              <w:rPr>
                <w:rFonts w:ascii="Lato" w:hAnsi="Lato" w:cs="Lato"/>
                <w:b/>
                <w:i w:val="0"/>
                <w:color w:val="A4233B"/>
                <w:sz w:val="19"/>
              </w:rPr>
              <w:t>✗</w:t>
            </w:r>
          </w:p>
        </w:tc>
        <w:tc>
          <w:tcPr>
            <w:tcW w:type="dxa" w:w="850"/>
            <w:shd w:val="clear" w:color="auto" w:fill="FBE6EA"/>
          </w:tcPr>
          <w:p>
            <w:pPr>
              <w:spacing w:after="0" w:before="0"/>
              <w:jc w:val="center"/>
            </w:pPr>
            <w:r/>
            <w:r>
              <w:rPr>
                <w:rFonts w:ascii="Lato" w:hAnsi="Lato" w:cs="Lato"/>
                <w:b/>
                <w:i w:val="0"/>
                <w:color w:val="A4233B"/>
                <w:sz w:val="19"/>
              </w:rPr>
              <w:t>✗</w:t>
            </w:r>
          </w:p>
        </w:tc>
        <w:tc>
          <w:tcPr>
            <w:tcW w:type="dxa" w:w="850"/>
            <w:shd w:val="clear" w:color="auto" w:fill="FBE6EA"/>
          </w:tcPr>
          <w:p>
            <w:pPr>
              <w:spacing w:after="0" w:before="0"/>
              <w:jc w:val="center"/>
            </w:pPr>
            <w:r/>
            <w:r>
              <w:rPr>
                <w:rFonts w:ascii="Lato" w:hAnsi="Lato" w:cs="Lato"/>
                <w:b/>
                <w:i w:val="0"/>
                <w:color w:val="A4233B"/>
                <w:sz w:val="19"/>
              </w:rPr>
              <w:t>✗</w:t>
            </w:r>
          </w:p>
        </w:tc>
        <w:tc>
          <w:tcPr>
            <w:tcW w:type="dxa" w:w="850"/>
            <w:shd w:val="clear" w:color="auto" w:fill="FBE6EA"/>
          </w:tcPr>
          <w:p>
            <w:pPr>
              <w:spacing w:after="0" w:before="0"/>
              <w:jc w:val="center"/>
            </w:pPr>
            <w:r/>
            <w:r>
              <w:rPr>
                <w:rFonts w:ascii="Lato" w:hAnsi="Lato" w:cs="Lato"/>
                <w:b/>
                <w:i w:val="0"/>
                <w:color w:val="A4233B"/>
                <w:sz w:val="19"/>
              </w:rPr>
              <w:t>✗</w:t>
            </w:r>
          </w:p>
        </w:tc>
        <w:tc>
          <w:tcPr>
            <w:tcW w:type="dxa" w:w="6917"/>
          </w:tcPr>
          <w:p>
            <w:pPr>
              <w:spacing w:after="20" w:before="0"/>
            </w:pPr>
            <w:r/>
            <w:r>
              <w:rPr>
                <w:rFonts w:ascii="Lato" w:hAnsi="Lato" w:cs="Lato"/>
                <w:b w:val="0"/>
                <w:i w:val="0"/>
                <w:color w:val="2B2F33"/>
                <w:sz w:val="14"/>
              </w:rPr>
              <w:t>All three pay rectification/mitigation costs that avert a larger claim (TMHCC Rectification; Tysers 8.14; Yutree Mitigation).</w:t>
            </w:r>
          </w:p>
        </w:tc>
      </w:tr>
      <w:tr>
        <w:tc>
          <w:tcPr>
            <w:tcW w:type="dxa" w:w="2381"/>
            <w:shd w:val="clear" w:color="auto" w:fill="F4F7F9"/>
          </w:tcPr>
          <w:p>
            <w:pPr>
              <w:spacing w:after="20" w:before="0"/>
            </w:pPr>
            <w:r/>
            <w:r>
              <w:rPr>
                <w:rFonts w:ascii="Lato" w:hAnsi="Lato" w:cs="Lato"/>
                <w:b/>
                <w:i w:val="0"/>
                <w:color w:val="00648B"/>
                <w:sz w:val="15"/>
              </w:rPr>
              <w:t>Costs to PROSECUTE infringement of the insured’s own IP</w:t>
            </w:r>
          </w:p>
        </w:tc>
        <w:tc>
          <w:tcPr>
            <w:tcW w:type="dxa" w:w="850"/>
            <w:shd w:val="clear" w:color="auto" w:fill="E3F1E8"/>
          </w:tcPr>
          <w:p>
            <w:pPr>
              <w:spacing w:after="0" w:before="0"/>
              <w:jc w:val="center"/>
            </w:pPr>
            <w:r/>
            <w:r>
              <w:rPr>
                <w:rFonts w:ascii="Lato" w:hAnsi="Lato" w:cs="Lato"/>
                <w:b/>
                <w:i w:val="0"/>
                <w:color w:val="1B7A3D"/>
                <w:sz w:val="19"/>
              </w:rPr>
              <w:t>✓</w:t>
            </w:r>
          </w:p>
        </w:tc>
        <w:tc>
          <w:tcPr>
            <w:tcW w:type="dxa" w:w="850"/>
            <w:shd w:val="clear" w:color="auto" w:fill="FBE6EA"/>
          </w:tcPr>
          <w:p>
            <w:pPr>
              <w:spacing w:after="0" w:before="0"/>
              <w:jc w:val="center"/>
            </w:pPr>
            <w:r/>
            <w:r>
              <w:rPr>
                <w:rFonts w:ascii="Lato" w:hAnsi="Lato" w:cs="Lato"/>
                <w:b/>
                <w:i w:val="0"/>
                <w:color w:val="A4233B"/>
                <w:sz w:val="19"/>
              </w:rPr>
              <w:t>✗</w:t>
            </w:r>
          </w:p>
        </w:tc>
        <w:tc>
          <w:tcPr>
            <w:tcW w:type="dxa" w:w="850"/>
            <w:shd w:val="clear" w:color="auto" w:fill="E3F1E8"/>
          </w:tcPr>
          <w:p>
            <w:pPr>
              <w:spacing w:after="0" w:before="0"/>
              <w:jc w:val="center"/>
            </w:pPr>
            <w:r/>
            <w:r>
              <w:rPr>
                <w:rFonts w:ascii="Lato" w:hAnsi="Lato" w:cs="Lato"/>
                <w:b/>
                <w:i w:val="0"/>
                <w:color w:val="1B7A3D"/>
                <w:sz w:val="19"/>
              </w:rPr>
              <w:t>✓</w:t>
            </w:r>
          </w:p>
        </w:tc>
        <w:tc>
          <w:tcPr>
            <w:tcW w:type="dxa" w:w="850"/>
            <w:shd w:val="clear" w:color="auto" w:fill="FBE6EA"/>
          </w:tcPr>
          <w:p>
            <w:pPr>
              <w:spacing w:after="0" w:before="0"/>
              <w:jc w:val="center"/>
            </w:pPr>
            <w:r/>
            <w:r>
              <w:rPr>
                <w:rFonts w:ascii="Lato" w:hAnsi="Lato" w:cs="Lato"/>
                <w:b/>
                <w:i w:val="0"/>
                <w:color w:val="A4233B"/>
                <w:sz w:val="19"/>
              </w:rPr>
              <w:t>✗</w:t>
            </w:r>
          </w:p>
        </w:tc>
        <w:tc>
          <w:tcPr>
            <w:tcW w:type="dxa" w:w="850"/>
            <w:shd w:val="clear" w:color="auto" w:fill="FBE6EA"/>
          </w:tcPr>
          <w:p>
            <w:pPr>
              <w:spacing w:after="0" w:before="0"/>
              <w:jc w:val="center"/>
            </w:pPr>
            <w:r/>
            <w:r>
              <w:rPr>
                <w:rFonts w:ascii="Lato" w:hAnsi="Lato" w:cs="Lato"/>
                <w:b/>
                <w:i w:val="0"/>
                <w:color w:val="A4233B"/>
                <w:sz w:val="19"/>
              </w:rPr>
              <w:t>✗</w:t>
            </w:r>
          </w:p>
        </w:tc>
        <w:tc>
          <w:tcPr>
            <w:tcW w:type="dxa" w:w="850"/>
            <w:shd w:val="clear" w:color="auto" w:fill="FBE6EA"/>
          </w:tcPr>
          <w:p>
            <w:pPr>
              <w:spacing w:after="0" w:before="0"/>
              <w:jc w:val="center"/>
            </w:pPr>
            <w:r/>
            <w:r>
              <w:rPr>
                <w:rFonts w:ascii="Lato" w:hAnsi="Lato" w:cs="Lato"/>
                <w:b/>
                <w:i w:val="0"/>
                <w:color w:val="A4233B"/>
                <w:sz w:val="19"/>
              </w:rPr>
              <w:t>✗</w:t>
            </w:r>
          </w:p>
        </w:tc>
        <w:tc>
          <w:tcPr>
            <w:tcW w:type="dxa" w:w="850"/>
            <w:shd w:val="clear" w:color="auto" w:fill="FBE6EA"/>
          </w:tcPr>
          <w:p>
            <w:pPr>
              <w:spacing w:after="0" w:before="0"/>
              <w:jc w:val="center"/>
            </w:pPr>
            <w:r/>
            <w:r>
              <w:rPr>
                <w:rFonts w:ascii="Lato" w:hAnsi="Lato" w:cs="Lato"/>
                <w:b/>
                <w:i w:val="0"/>
                <w:color w:val="A4233B"/>
                <w:sz w:val="19"/>
              </w:rPr>
              <w:t>✗</w:t>
            </w:r>
          </w:p>
        </w:tc>
        <w:tc>
          <w:tcPr>
            <w:tcW w:type="dxa" w:w="6917"/>
            <w:shd w:val="clear" w:color="auto" w:fill="F4F7F9"/>
          </w:tcPr>
          <w:p>
            <w:pPr>
              <w:spacing w:after="20" w:before="0"/>
            </w:pPr>
            <w:r/>
            <w:r>
              <w:rPr>
                <w:rFonts w:ascii="Lato" w:hAnsi="Lato" w:cs="Lato"/>
                <w:b w:val="0"/>
                <w:i w:val="0"/>
                <w:color w:val="2B2F33"/>
                <w:sz w:val="14"/>
              </w:rPr>
              <w:t>TMHCC (GBP 25k) and Yutree (IP-rights prosecution) fund pursuit of the insured’s own IP, subject to a supporting legal opinion. Not identified in Tysers.</w:t>
            </w:r>
          </w:p>
        </w:tc>
      </w:tr>
      <w:tr>
        <w:tc>
          <w:tcPr>
            <w:tcW w:type="dxa" w:w="2381"/>
          </w:tcPr>
          <w:p>
            <w:pPr>
              <w:spacing w:after="20" w:before="0"/>
            </w:pPr>
            <w:r/>
            <w:r>
              <w:rPr>
                <w:rFonts w:ascii="Lato" w:hAnsi="Lato" w:cs="Lato"/>
                <w:b/>
                <w:i w:val="0"/>
                <w:color w:val="00648B"/>
                <w:sz w:val="15"/>
              </w:rPr>
              <w:t>Distributors &amp; purchasers extension</w:t>
            </w:r>
          </w:p>
        </w:tc>
        <w:tc>
          <w:tcPr>
            <w:tcW w:type="dxa" w:w="850"/>
            <w:shd w:val="clear" w:color="auto" w:fill="FBE6EA"/>
          </w:tcPr>
          <w:p>
            <w:pPr>
              <w:spacing w:after="0" w:before="0"/>
              <w:jc w:val="center"/>
            </w:pPr>
            <w:r/>
            <w:r>
              <w:rPr>
                <w:rFonts w:ascii="Lato" w:hAnsi="Lato" w:cs="Lato"/>
                <w:b/>
                <w:i w:val="0"/>
                <w:color w:val="A4233B"/>
                <w:sz w:val="19"/>
              </w:rPr>
              <w:t>✗</w:t>
            </w:r>
          </w:p>
        </w:tc>
        <w:tc>
          <w:tcPr>
            <w:tcW w:type="dxa" w:w="850"/>
            <w:shd w:val="clear" w:color="auto" w:fill="E3F1E8"/>
          </w:tcPr>
          <w:p>
            <w:pPr>
              <w:spacing w:after="0" w:before="0"/>
              <w:jc w:val="center"/>
            </w:pPr>
            <w:r/>
            <w:r>
              <w:rPr>
                <w:rFonts w:ascii="Lato" w:hAnsi="Lato" w:cs="Lato"/>
                <w:b/>
                <w:i w:val="0"/>
                <w:color w:val="1B7A3D"/>
                <w:sz w:val="19"/>
              </w:rPr>
              <w:t>✓</w:t>
            </w:r>
          </w:p>
        </w:tc>
        <w:tc>
          <w:tcPr>
            <w:tcW w:type="dxa" w:w="850"/>
            <w:shd w:val="clear" w:color="auto" w:fill="FBE6EA"/>
          </w:tcPr>
          <w:p>
            <w:pPr>
              <w:spacing w:after="0" w:before="0"/>
              <w:jc w:val="center"/>
            </w:pPr>
            <w:r/>
            <w:r>
              <w:rPr>
                <w:rFonts w:ascii="Lato" w:hAnsi="Lato" w:cs="Lato"/>
                <w:b/>
                <w:i w:val="0"/>
                <w:color w:val="A4233B"/>
                <w:sz w:val="19"/>
              </w:rPr>
              <w:t>✗</w:t>
            </w:r>
          </w:p>
        </w:tc>
        <w:tc>
          <w:tcPr>
            <w:tcW w:type="dxa" w:w="850"/>
            <w:shd w:val="clear" w:color="auto" w:fill="FBE6EA"/>
          </w:tcPr>
          <w:p>
            <w:pPr>
              <w:spacing w:after="0" w:before="0"/>
              <w:jc w:val="center"/>
            </w:pPr>
            <w:r/>
            <w:r>
              <w:rPr>
                <w:rFonts w:ascii="Lato" w:hAnsi="Lato" w:cs="Lato"/>
                <w:b/>
                <w:i w:val="0"/>
                <w:color w:val="A4233B"/>
                <w:sz w:val="19"/>
              </w:rPr>
              <w:t>✗</w:t>
            </w:r>
          </w:p>
        </w:tc>
        <w:tc>
          <w:tcPr>
            <w:tcW w:type="dxa" w:w="850"/>
            <w:shd w:val="clear" w:color="auto" w:fill="FBE6EA"/>
          </w:tcPr>
          <w:p>
            <w:pPr>
              <w:spacing w:after="0" w:before="0"/>
              <w:jc w:val="center"/>
            </w:pPr>
            <w:r/>
            <w:r>
              <w:rPr>
                <w:rFonts w:ascii="Lato" w:hAnsi="Lato" w:cs="Lato"/>
                <w:b/>
                <w:i w:val="0"/>
                <w:color w:val="A4233B"/>
                <w:sz w:val="19"/>
              </w:rPr>
              <w:t>✗</w:t>
            </w:r>
          </w:p>
        </w:tc>
        <w:tc>
          <w:tcPr>
            <w:tcW w:type="dxa" w:w="850"/>
            <w:shd w:val="clear" w:color="auto" w:fill="FBE6EA"/>
          </w:tcPr>
          <w:p>
            <w:pPr>
              <w:spacing w:after="0" w:before="0"/>
              <w:jc w:val="center"/>
            </w:pPr>
            <w:r/>
            <w:r>
              <w:rPr>
                <w:rFonts w:ascii="Lato" w:hAnsi="Lato" w:cs="Lato"/>
                <w:b/>
                <w:i w:val="0"/>
                <w:color w:val="A4233B"/>
                <w:sz w:val="19"/>
              </w:rPr>
              <w:t>✗</w:t>
            </w:r>
          </w:p>
        </w:tc>
        <w:tc>
          <w:tcPr>
            <w:tcW w:type="dxa" w:w="850"/>
            <w:shd w:val="clear" w:color="auto" w:fill="FBE6EA"/>
          </w:tcPr>
          <w:p>
            <w:pPr>
              <w:spacing w:after="0" w:before="0"/>
              <w:jc w:val="center"/>
            </w:pPr>
            <w:r/>
            <w:r>
              <w:rPr>
                <w:rFonts w:ascii="Lato" w:hAnsi="Lato" w:cs="Lato"/>
                <w:b/>
                <w:i w:val="0"/>
                <w:color w:val="A4233B"/>
                <w:sz w:val="19"/>
              </w:rPr>
              <w:t>✗</w:t>
            </w:r>
          </w:p>
        </w:tc>
        <w:tc>
          <w:tcPr>
            <w:tcW w:type="dxa" w:w="6917"/>
          </w:tcPr>
          <w:p>
            <w:pPr>
              <w:spacing w:after="20" w:before="0"/>
            </w:pPr>
            <w:r/>
            <w:r>
              <w:rPr>
                <w:rFonts w:ascii="Lato" w:hAnsi="Lato" w:cs="Lato"/>
                <w:b w:val="0"/>
                <w:i w:val="0"/>
                <w:color w:val="2B2F33"/>
                <w:sz w:val="14"/>
              </w:rPr>
              <w:t>Tysers (clause 8.7) extends indemnity to purchasers/co-producers/distributors of the insured’s media material (up to 5x the limit). Not provided by TMHCC or Yutree.</w:t>
            </w:r>
          </w:p>
        </w:tc>
      </w:tr>
      <w:tr>
        <w:tc>
          <w:tcPr>
            <w:tcW w:type="dxa" w:w="2381"/>
            <w:shd w:val="clear" w:color="auto" w:fill="F4F7F9"/>
          </w:tcPr>
          <w:p>
            <w:pPr>
              <w:spacing w:after="20" w:before="0"/>
            </w:pPr>
            <w:r/>
            <w:r>
              <w:rPr>
                <w:rFonts w:ascii="Lato" w:hAnsi="Lato" w:cs="Lato"/>
                <w:b/>
                <w:i w:val="0"/>
                <w:color w:val="00648B"/>
                <w:sz w:val="15"/>
              </w:rPr>
              <w:t>Journalistic source-protection / challenge to subpoena</w:t>
            </w:r>
          </w:p>
        </w:tc>
        <w:tc>
          <w:tcPr>
            <w:tcW w:type="dxa" w:w="850"/>
            <w:shd w:val="clear" w:color="auto" w:fill="FBE6EA"/>
          </w:tcPr>
          <w:p>
            <w:pPr>
              <w:spacing w:after="0" w:before="0"/>
              <w:jc w:val="center"/>
            </w:pPr>
            <w:r/>
            <w:r>
              <w:rPr>
                <w:rFonts w:ascii="Lato" w:hAnsi="Lato" w:cs="Lato"/>
                <w:b/>
                <w:i w:val="0"/>
                <w:color w:val="A4233B"/>
                <w:sz w:val="19"/>
              </w:rPr>
              <w:t>✗</w:t>
            </w:r>
          </w:p>
        </w:tc>
        <w:tc>
          <w:tcPr>
            <w:tcW w:type="dxa" w:w="850"/>
            <w:shd w:val="clear" w:color="auto" w:fill="E3F1E8"/>
          </w:tcPr>
          <w:p>
            <w:pPr>
              <w:spacing w:after="0" w:before="0"/>
              <w:jc w:val="center"/>
            </w:pPr>
            <w:r/>
            <w:r>
              <w:rPr>
                <w:rFonts w:ascii="Lato" w:hAnsi="Lato" w:cs="Lato"/>
                <w:b/>
                <w:i w:val="0"/>
                <w:color w:val="1B7A3D"/>
                <w:sz w:val="19"/>
              </w:rPr>
              <w:t>✓</w:t>
            </w:r>
          </w:p>
        </w:tc>
        <w:tc>
          <w:tcPr>
            <w:tcW w:type="dxa" w:w="850"/>
            <w:shd w:val="clear" w:color="auto" w:fill="FBE6EA"/>
          </w:tcPr>
          <w:p>
            <w:pPr>
              <w:spacing w:after="0" w:before="0"/>
              <w:jc w:val="center"/>
            </w:pPr>
            <w:r/>
            <w:r>
              <w:rPr>
                <w:rFonts w:ascii="Lato" w:hAnsi="Lato" w:cs="Lato"/>
                <w:b/>
                <w:i w:val="0"/>
                <w:color w:val="A4233B"/>
                <w:sz w:val="19"/>
              </w:rPr>
              <w:t>✗</w:t>
            </w:r>
          </w:p>
        </w:tc>
        <w:tc>
          <w:tcPr>
            <w:tcW w:type="dxa" w:w="850"/>
            <w:shd w:val="clear" w:color="auto" w:fill="FBE6EA"/>
          </w:tcPr>
          <w:p>
            <w:pPr>
              <w:spacing w:after="0" w:before="0"/>
              <w:jc w:val="center"/>
            </w:pPr>
            <w:r/>
            <w:r>
              <w:rPr>
                <w:rFonts w:ascii="Lato" w:hAnsi="Lato" w:cs="Lato"/>
                <w:b/>
                <w:i w:val="0"/>
                <w:color w:val="A4233B"/>
                <w:sz w:val="19"/>
              </w:rPr>
              <w:t>✗</w:t>
            </w:r>
          </w:p>
        </w:tc>
        <w:tc>
          <w:tcPr>
            <w:tcW w:type="dxa" w:w="850"/>
            <w:shd w:val="clear" w:color="auto" w:fill="FBE6EA"/>
          </w:tcPr>
          <w:p>
            <w:pPr>
              <w:spacing w:after="0" w:before="0"/>
              <w:jc w:val="center"/>
            </w:pPr>
            <w:r/>
            <w:r>
              <w:rPr>
                <w:rFonts w:ascii="Lato" w:hAnsi="Lato" w:cs="Lato"/>
                <w:b/>
                <w:i w:val="0"/>
                <w:color w:val="A4233B"/>
                <w:sz w:val="19"/>
              </w:rPr>
              <w:t>✗</w:t>
            </w:r>
          </w:p>
        </w:tc>
        <w:tc>
          <w:tcPr>
            <w:tcW w:type="dxa" w:w="850"/>
            <w:shd w:val="clear" w:color="auto" w:fill="FBE6EA"/>
          </w:tcPr>
          <w:p>
            <w:pPr>
              <w:spacing w:after="0" w:before="0"/>
              <w:jc w:val="center"/>
            </w:pPr>
            <w:r/>
            <w:r>
              <w:rPr>
                <w:rFonts w:ascii="Lato" w:hAnsi="Lato" w:cs="Lato"/>
                <w:b/>
                <w:i w:val="0"/>
                <w:color w:val="A4233B"/>
                <w:sz w:val="19"/>
              </w:rPr>
              <w:t>✗</w:t>
            </w:r>
          </w:p>
        </w:tc>
        <w:tc>
          <w:tcPr>
            <w:tcW w:type="dxa" w:w="850"/>
            <w:shd w:val="clear" w:color="auto" w:fill="FBE6EA"/>
          </w:tcPr>
          <w:p>
            <w:pPr>
              <w:spacing w:after="0" w:before="0"/>
              <w:jc w:val="center"/>
            </w:pPr>
            <w:r/>
            <w:r>
              <w:rPr>
                <w:rFonts w:ascii="Lato" w:hAnsi="Lato" w:cs="Lato"/>
                <w:b/>
                <w:i w:val="0"/>
                <w:color w:val="A4233B"/>
                <w:sz w:val="19"/>
              </w:rPr>
              <w:t>✗</w:t>
            </w:r>
          </w:p>
        </w:tc>
        <w:tc>
          <w:tcPr>
            <w:tcW w:type="dxa" w:w="6917"/>
            <w:shd w:val="clear" w:color="auto" w:fill="F4F7F9"/>
          </w:tcPr>
          <w:p>
            <w:pPr>
              <w:spacing w:after="20" w:before="0"/>
            </w:pPr>
            <w:r/>
            <w:r>
              <w:rPr>
                <w:rFonts w:ascii="Lato" w:hAnsi="Lato" w:cs="Lato"/>
                <w:b w:val="0"/>
                <w:i w:val="0"/>
                <w:color w:val="2B2F33"/>
                <w:sz w:val="14"/>
              </w:rPr>
              <w:t>Tysers (clause 8.13) funds legal costs to challenge a subpoena requiring disclosure of a source. Not provided by TMHCC or Yutree — broker-sensitive for editorial/news clients.</w:t>
            </w:r>
          </w:p>
        </w:tc>
      </w:tr>
      <w:tr>
        <w:tc>
          <w:tcPr>
            <w:tcW w:type="dxa" w:w="2381"/>
          </w:tcPr>
          <w:p>
            <w:pPr>
              <w:spacing w:after="20" w:before="0"/>
            </w:pPr>
            <w:r/>
            <w:r>
              <w:rPr>
                <w:rFonts w:ascii="Lato" w:hAnsi="Lato" w:cs="Lato"/>
                <w:b/>
                <w:i w:val="0"/>
                <w:color w:val="00648B"/>
                <w:sz w:val="15"/>
              </w:rPr>
              <w:t>Representation costs at investigations / inquiries</w:t>
            </w:r>
          </w:p>
        </w:tc>
        <w:tc>
          <w:tcPr>
            <w:tcW w:type="dxa" w:w="850"/>
            <w:shd w:val="clear" w:color="auto" w:fill="FBF1DA"/>
          </w:tcPr>
          <w:p>
            <w:pPr>
              <w:spacing w:after="0" w:before="0"/>
              <w:jc w:val="center"/>
            </w:pPr>
            <w:r/>
            <w:r>
              <w:rPr>
                <w:rFonts w:ascii="Lato" w:hAnsi="Lato" w:cs="Lato"/>
                <w:b/>
                <w:i w:val="0"/>
                <w:color w:val="8A6A1E"/>
                <w:sz w:val="19"/>
              </w:rPr>
              <w:t>◐</w:t>
            </w:r>
          </w:p>
        </w:tc>
        <w:tc>
          <w:tcPr>
            <w:tcW w:type="dxa" w:w="850"/>
            <w:shd w:val="clear" w:color="auto" w:fill="E3F1E8"/>
          </w:tcPr>
          <w:p>
            <w:pPr>
              <w:spacing w:after="0" w:before="0"/>
              <w:jc w:val="center"/>
            </w:pPr>
            <w:r/>
            <w:r>
              <w:rPr>
                <w:rFonts w:ascii="Lato" w:hAnsi="Lato" w:cs="Lato"/>
                <w:b/>
                <w:i w:val="0"/>
                <w:color w:val="1B7A3D"/>
                <w:sz w:val="19"/>
              </w:rPr>
              <w:t>✓</w:t>
            </w:r>
          </w:p>
        </w:tc>
        <w:tc>
          <w:tcPr>
            <w:tcW w:type="dxa" w:w="850"/>
            <w:shd w:val="clear" w:color="auto" w:fill="FBF1DA"/>
          </w:tcPr>
          <w:p>
            <w:pPr>
              <w:spacing w:after="0" w:before="0"/>
              <w:jc w:val="center"/>
            </w:pPr>
            <w:r/>
            <w:r>
              <w:rPr>
                <w:rFonts w:ascii="Lato" w:hAnsi="Lato" w:cs="Lato"/>
                <w:b/>
                <w:i w:val="0"/>
                <w:color w:val="8A6A1E"/>
                <w:sz w:val="19"/>
              </w:rPr>
              <w:t>◐</w:t>
            </w:r>
          </w:p>
        </w:tc>
        <w:tc>
          <w:tcPr>
            <w:tcW w:type="dxa" w:w="850"/>
            <w:shd w:val="clear" w:color="auto" w:fill="FBE6EA"/>
          </w:tcPr>
          <w:p>
            <w:pPr>
              <w:spacing w:after="0" w:before="0"/>
              <w:jc w:val="center"/>
            </w:pPr>
            <w:r/>
            <w:r>
              <w:rPr>
                <w:rFonts w:ascii="Lato" w:hAnsi="Lato" w:cs="Lato"/>
                <w:b/>
                <w:i w:val="0"/>
                <w:color w:val="A4233B"/>
                <w:sz w:val="19"/>
              </w:rPr>
              <w:t>✗</w:t>
            </w:r>
          </w:p>
        </w:tc>
        <w:tc>
          <w:tcPr>
            <w:tcW w:type="dxa" w:w="850"/>
            <w:shd w:val="clear" w:color="auto" w:fill="FBE6EA"/>
          </w:tcPr>
          <w:p>
            <w:pPr>
              <w:spacing w:after="0" w:before="0"/>
              <w:jc w:val="center"/>
            </w:pPr>
            <w:r/>
            <w:r>
              <w:rPr>
                <w:rFonts w:ascii="Lato" w:hAnsi="Lato" w:cs="Lato"/>
                <w:b/>
                <w:i w:val="0"/>
                <w:color w:val="A4233B"/>
                <w:sz w:val="19"/>
              </w:rPr>
              <w:t>✗</w:t>
            </w:r>
          </w:p>
        </w:tc>
        <w:tc>
          <w:tcPr>
            <w:tcW w:type="dxa" w:w="850"/>
            <w:shd w:val="clear" w:color="auto" w:fill="FBE6EA"/>
          </w:tcPr>
          <w:p>
            <w:pPr>
              <w:spacing w:after="0" w:before="0"/>
              <w:jc w:val="center"/>
            </w:pPr>
            <w:r/>
            <w:r>
              <w:rPr>
                <w:rFonts w:ascii="Lato" w:hAnsi="Lato" w:cs="Lato"/>
                <w:b/>
                <w:i w:val="0"/>
                <w:color w:val="A4233B"/>
                <w:sz w:val="19"/>
              </w:rPr>
              <w:t>✗</w:t>
            </w:r>
          </w:p>
        </w:tc>
        <w:tc>
          <w:tcPr>
            <w:tcW w:type="dxa" w:w="850"/>
            <w:shd w:val="clear" w:color="auto" w:fill="FBE6EA"/>
          </w:tcPr>
          <w:p>
            <w:pPr>
              <w:spacing w:after="0" w:before="0"/>
              <w:jc w:val="center"/>
            </w:pPr>
            <w:r/>
            <w:r>
              <w:rPr>
                <w:rFonts w:ascii="Lato" w:hAnsi="Lato" w:cs="Lato"/>
                <w:b/>
                <w:i w:val="0"/>
                <w:color w:val="A4233B"/>
                <w:sz w:val="19"/>
              </w:rPr>
              <w:t>✗</w:t>
            </w:r>
          </w:p>
        </w:tc>
        <w:tc>
          <w:tcPr>
            <w:tcW w:type="dxa" w:w="6917"/>
          </w:tcPr>
          <w:p>
            <w:pPr>
              <w:spacing w:after="20" w:before="0"/>
            </w:pPr>
            <w:r/>
            <w:r>
              <w:rPr>
                <w:rFonts w:ascii="Lato" w:hAnsi="Lato" w:cs="Lato"/>
                <w:b w:val="0"/>
                <w:i w:val="0"/>
                <w:color w:val="2B2F33"/>
                <w:sz w:val="14"/>
              </w:rPr>
              <w:t>Tysers (8.15, GBP 25k) covers representation at official examinations/inquiries. TMHCC provides this only via Data-Protection defence; Yutree via Criminal-Prosecution defence.</w:t>
            </w:r>
          </w:p>
        </w:tc>
      </w:tr>
      <w:tr>
        <w:tc>
          <w:tcPr>
            <w:tcW w:type="dxa" w:w="2381"/>
            <w:shd w:val="clear" w:color="auto" w:fill="F4F7F9"/>
          </w:tcPr>
          <w:p>
            <w:pPr>
              <w:spacing w:after="20" w:before="0"/>
            </w:pPr>
            <w:r/>
            <w:r>
              <w:rPr>
                <w:rFonts w:ascii="Lato" w:hAnsi="Lato" w:cs="Lato"/>
                <w:b/>
                <w:i w:val="0"/>
                <w:color w:val="00648B"/>
                <w:sz w:val="15"/>
              </w:rPr>
              <w:t>Loss of documents</w:t>
            </w:r>
          </w:p>
        </w:tc>
        <w:tc>
          <w:tcPr>
            <w:tcW w:type="dxa" w:w="850"/>
            <w:shd w:val="clear" w:color="auto" w:fill="E3F1E8"/>
          </w:tcPr>
          <w:p>
            <w:pPr>
              <w:spacing w:after="0" w:before="0"/>
              <w:jc w:val="center"/>
            </w:pPr>
            <w:r/>
            <w:r>
              <w:rPr>
                <w:rFonts w:ascii="Lato" w:hAnsi="Lato" w:cs="Lato"/>
                <w:b/>
                <w:i w:val="0"/>
                <w:color w:val="1B7A3D"/>
                <w:sz w:val="19"/>
              </w:rPr>
              <w:t>✓</w:t>
            </w:r>
          </w:p>
        </w:tc>
        <w:tc>
          <w:tcPr>
            <w:tcW w:type="dxa" w:w="850"/>
            <w:shd w:val="clear" w:color="auto" w:fill="E3F1E8"/>
          </w:tcPr>
          <w:p>
            <w:pPr>
              <w:spacing w:after="0" w:before="0"/>
              <w:jc w:val="center"/>
            </w:pPr>
            <w:r/>
            <w:r>
              <w:rPr>
                <w:rFonts w:ascii="Lato" w:hAnsi="Lato" w:cs="Lato"/>
                <w:b/>
                <w:i w:val="0"/>
                <w:color w:val="1B7A3D"/>
                <w:sz w:val="19"/>
              </w:rPr>
              <w:t>✓</w:t>
            </w:r>
          </w:p>
        </w:tc>
        <w:tc>
          <w:tcPr>
            <w:tcW w:type="dxa" w:w="850"/>
            <w:shd w:val="clear" w:color="auto" w:fill="E3F1E8"/>
          </w:tcPr>
          <w:p>
            <w:pPr>
              <w:spacing w:after="0" w:before="0"/>
              <w:jc w:val="center"/>
            </w:pPr>
            <w:r/>
            <w:r>
              <w:rPr>
                <w:rFonts w:ascii="Lato" w:hAnsi="Lato" w:cs="Lato"/>
                <w:b/>
                <w:i w:val="0"/>
                <w:color w:val="1B7A3D"/>
                <w:sz w:val="19"/>
              </w:rPr>
              <w:t>✓</w:t>
            </w:r>
          </w:p>
        </w:tc>
        <w:tc>
          <w:tcPr>
            <w:tcW w:type="dxa" w:w="850"/>
            <w:shd w:val="clear" w:color="auto" w:fill="FBE6EA"/>
          </w:tcPr>
          <w:p>
            <w:pPr>
              <w:spacing w:after="0" w:before="0"/>
              <w:jc w:val="center"/>
            </w:pPr>
            <w:r/>
            <w:r>
              <w:rPr>
                <w:rFonts w:ascii="Lato" w:hAnsi="Lato" w:cs="Lato"/>
                <w:b/>
                <w:i w:val="0"/>
                <w:color w:val="A4233B"/>
                <w:sz w:val="19"/>
              </w:rPr>
              <w:t>✗</w:t>
            </w:r>
          </w:p>
        </w:tc>
        <w:tc>
          <w:tcPr>
            <w:tcW w:type="dxa" w:w="850"/>
            <w:shd w:val="clear" w:color="auto" w:fill="FBE6EA"/>
          </w:tcPr>
          <w:p>
            <w:pPr>
              <w:spacing w:after="0" w:before="0"/>
              <w:jc w:val="center"/>
            </w:pPr>
            <w:r/>
            <w:r>
              <w:rPr>
                <w:rFonts w:ascii="Lato" w:hAnsi="Lato" w:cs="Lato"/>
                <w:b/>
                <w:i w:val="0"/>
                <w:color w:val="A4233B"/>
                <w:sz w:val="19"/>
              </w:rPr>
              <w:t>✗</w:t>
            </w:r>
          </w:p>
        </w:tc>
        <w:tc>
          <w:tcPr>
            <w:tcW w:type="dxa" w:w="850"/>
            <w:shd w:val="clear" w:color="auto" w:fill="FBE6EA"/>
          </w:tcPr>
          <w:p>
            <w:pPr>
              <w:spacing w:after="0" w:before="0"/>
              <w:jc w:val="center"/>
            </w:pPr>
            <w:r/>
            <w:r>
              <w:rPr>
                <w:rFonts w:ascii="Lato" w:hAnsi="Lato" w:cs="Lato"/>
                <w:b/>
                <w:i w:val="0"/>
                <w:color w:val="A4233B"/>
                <w:sz w:val="19"/>
              </w:rPr>
              <w:t>✗</w:t>
            </w:r>
          </w:p>
        </w:tc>
        <w:tc>
          <w:tcPr>
            <w:tcW w:type="dxa" w:w="850"/>
            <w:shd w:val="clear" w:color="auto" w:fill="FBE6EA"/>
          </w:tcPr>
          <w:p>
            <w:pPr>
              <w:spacing w:after="0" w:before="0"/>
              <w:jc w:val="center"/>
            </w:pPr>
            <w:r/>
            <w:r>
              <w:rPr>
                <w:rFonts w:ascii="Lato" w:hAnsi="Lato" w:cs="Lato"/>
                <w:b/>
                <w:i w:val="0"/>
                <w:color w:val="A4233B"/>
                <w:sz w:val="19"/>
              </w:rPr>
              <w:t>✗</w:t>
            </w:r>
          </w:p>
        </w:tc>
        <w:tc>
          <w:tcPr>
            <w:tcW w:type="dxa" w:w="6917"/>
            <w:shd w:val="clear" w:color="auto" w:fill="F4F7F9"/>
          </w:tcPr>
          <w:p>
            <w:pPr>
              <w:spacing w:after="20" w:before="0"/>
            </w:pPr>
            <w:r/>
            <w:r>
              <w:rPr>
                <w:rFonts w:ascii="Lato" w:hAnsi="Lato" w:cs="Lato"/>
                <w:b w:val="0"/>
                <w:i w:val="0"/>
                <w:color w:val="2B2F33"/>
                <w:sz w:val="14"/>
              </w:rPr>
              <w:t>Covered by all three media wordings (TMHCC Insuring Clause; Tysers 8.10 GBP 1m; Yutree Loss of Documents, GBP 500 excess).</w:t>
            </w:r>
          </w:p>
        </w:tc>
      </w:tr>
      <w:tr>
        <w:tc>
          <w:tcPr>
            <w:tcW w:type="dxa" w:w="2381"/>
          </w:tcPr>
          <w:p>
            <w:pPr>
              <w:spacing w:after="20" w:before="0"/>
            </w:pPr>
            <w:r/>
            <w:r>
              <w:rPr>
                <w:rFonts w:ascii="Lato" w:hAnsi="Lato" w:cs="Lato"/>
                <w:b/>
                <w:i w:val="0"/>
                <w:color w:val="00648B"/>
                <w:sz w:val="15"/>
              </w:rPr>
              <w:t>Unintentional virus transmission</w:t>
            </w:r>
          </w:p>
        </w:tc>
        <w:tc>
          <w:tcPr>
            <w:tcW w:type="dxa" w:w="850"/>
            <w:shd w:val="clear" w:color="auto" w:fill="E3F1E8"/>
          </w:tcPr>
          <w:p>
            <w:pPr>
              <w:spacing w:after="0" w:before="0"/>
              <w:jc w:val="center"/>
            </w:pPr>
            <w:r/>
            <w:r>
              <w:rPr>
                <w:rFonts w:ascii="Lato" w:hAnsi="Lato" w:cs="Lato"/>
                <w:b/>
                <w:i w:val="0"/>
                <w:color w:val="1B7A3D"/>
                <w:sz w:val="19"/>
              </w:rPr>
              <w:t>✓</w:t>
            </w:r>
          </w:p>
        </w:tc>
        <w:tc>
          <w:tcPr>
            <w:tcW w:type="dxa" w:w="850"/>
            <w:shd w:val="clear" w:color="auto" w:fill="E3F1E8"/>
          </w:tcPr>
          <w:p>
            <w:pPr>
              <w:spacing w:after="0" w:before="0"/>
              <w:jc w:val="center"/>
            </w:pPr>
            <w:r/>
            <w:r>
              <w:rPr>
                <w:rFonts w:ascii="Lato" w:hAnsi="Lato" w:cs="Lato"/>
                <w:b/>
                <w:i w:val="0"/>
                <w:color w:val="1B7A3D"/>
                <w:sz w:val="19"/>
              </w:rPr>
              <w:t>✓</w:t>
            </w:r>
          </w:p>
        </w:tc>
        <w:tc>
          <w:tcPr>
            <w:tcW w:type="dxa" w:w="850"/>
            <w:shd w:val="clear" w:color="auto" w:fill="FBF1DA"/>
          </w:tcPr>
          <w:p>
            <w:pPr>
              <w:spacing w:after="0" w:before="0"/>
              <w:jc w:val="center"/>
            </w:pPr>
            <w:r/>
            <w:r>
              <w:rPr>
                <w:rFonts w:ascii="Lato" w:hAnsi="Lato" w:cs="Lato"/>
                <w:b/>
                <w:i w:val="0"/>
                <w:color w:val="8A6A1E"/>
                <w:sz w:val="19"/>
              </w:rPr>
              <w:t>◐</w:t>
            </w:r>
          </w:p>
        </w:tc>
        <w:tc>
          <w:tcPr>
            <w:tcW w:type="dxa" w:w="850"/>
            <w:shd w:val="clear" w:color="auto" w:fill="FBE6EA"/>
          </w:tcPr>
          <w:p>
            <w:pPr>
              <w:spacing w:after="0" w:before="0"/>
              <w:jc w:val="center"/>
            </w:pPr>
            <w:r/>
            <w:r>
              <w:rPr>
                <w:rFonts w:ascii="Lato" w:hAnsi="Lato" w:cs="Lato"/>
                <w:b/>
                <w:i w:val="0"/>
                <w:color w:val="A4233B"/>
                <w:sz w:val="19"/>
              </w:rPr>
              <w:t>✗</w:t>
            </w:r>
          </w:p>
        </w:tc>
        <w:tc>
          <w:tcPr>
            <w:tcW w:type="dxa" w:w="850"/>
            <w:shd w:val="clear" w:color="auto" w:fill="FBE6EA"/>
          </w:tcPr>
          <w:p>
            <w:pPr>
              <w:spacing w:after="0" w:before="0"/>
              <w:jc w:val="center"/>
            </w:pPr>
            <w:r/>
            <w:r>
              <w:rPr>
                <w:rFonts w:ascii="Lato" w:hAnsi="Lato" w:cs="Lato"/>
                <w:b/>
                <w:i w:val="0"/>
                <w:color w:val="A4233B"/>
                <w:sz w:val="19"/>
              </w:rPr>
              <w:t>✗</w:t>
            </w:r>
          </w:p>
        </w:tc>
        <w:tc>
          <w:tcPr>
            <w:tcW w:type="dxa" w:w="850"/>
            <w:shd w:val="clear" w:color="auto" w:fill="FBE6EA"/>
          </w:tcPr>
          <w:p>
            <w:pPr>
              <w:spacing w:after="0" w:before="0"/>
              <w:jc w:val="center"/>
            </w:pPr>
            <w:r/>
            <w:r>
              <w:rPr>
                <w:rFonts w:ascii="Lato" w:hAnsi="Lato" w:cs="Lato"/>
                <w:b/>
                <w:i w:val="0"/>
                <w:color w:val="A4233B"/>
                <w:sz w:val="19"/>
              </w:rPr>
              <w:t>✗</w:t>
            </w:r>
          </w:p>
        </w:tc>
        <w:tc>
          <w:tcPr>
            <w:tcW w:type="dxa" w:w="850"/>
            <w:shd w:val="clear" w:color="auto" w:fill="FBE6EA"/>
          </w:tcPr>
          <w:p>
            <w:pPr>
              <w:spacing w:after="0" w:before="0"/>
              <w:jc w:val="center"/>
            </w:pPr>
            <w:r/>
            <w:r>
              <w:rPr>
                <w:rFonts w:ascii="Lato" w:hAnsi="Lato" w:cs="Lato"/>
                <w:b/>
                <w:i w:val="0"/>
                <w:color w:val="A4233B"/>
                <w:sz w:val="19"/>
              </w:rPr>
              <w:t>✗</w:t>
            </w:r>
          </w:p>
        </w:tc>
        <w:tc>
          <w:tcPr>
            <w:tcW w:type="dxa" w:w="6917"/>
          </w:tcPr>
          <w:p>
            <w:pPr>
              <w:spacing w:after="20" w:before="0"/>
            </w:pPr>
            <w:r/>
            <w:r>
              <w:rPr>
                <w:rFonts w:ascii="Lato" w:hAnsi="Lato" w:cs="Lato"/>
                <w:b w:val="0"/>
                <w:i w:val="0"/>
                <w:color w:val="2B2F33"/>
                <w:sz w:val="14"/>
              </w:rPr>
              <w:t>TMHCC (GBP 500k sub-limit, targeted-virus write-back) and Tysers (8.16, GBP 250k) cover unintentional virus transmission. Yutree treats virus within its broader cyber exclusion.</w:t>
            </w:r>
          </w:p>
        </w:tc>
      </w:tr>
      <w:tr>
        <w:tc>
          <w:tcPr>
            <w:tcW w:type="dxa" w:w="2381"/>
            <w:shd w:val="clear" w:color="auto" w:fill="F4F7F9"/>
          </w:tcPr>
          <w:p>
            <w:pPr>
              <w:spacing w:after="20" w:before="0"/>
            </w:pPr>
            <w:r/>
            <w:r>
              <w:rPr>
                <w:rFonts w:ascii="Lato" w:hAnsi="Lato" w:cs="Lato"/>
                <w:b/>
                <w:i w:val="0"/>
                <w:color w:val="00648B"/>
                <w:sz w:val="15"/>
              </w:rPr>
              <w:t>Mergers &amp; acquisitions / subsidiary auto-acquisition</w:t>
            </w:r>
          </w:p>
        </w:tc>
        <w:tc>
          <w:tcPr>
            <w:tcW w:type="dxa" w:w="850"/>
            <w:shd w:val="clear" w:color="auto" w:fill="E3F1E8"/>
          </w:tcPr>
          <w:p>
            <w:pPr>
              <w:spacing w:after="0" w:before="0"/>
              <w:jc w:val="center"/>
            </w:pPr>
            <w:r/>
            <w:r>
              <w:rPr>
                <w:rFonts w:ascii="Lato" w:hAnsi="Lato" w:cs="Lato"/>
                <w:b/>
                <w:i w:val="0"/>
                <w:color w:val="1B7A3D"/>
                <w:sz w:val="19"/>
              </w:rPr>
              <w:t>✓</w:t>
            </w:r>
          </w:p>
        </w:tc>
        <w:tc>
          <w:tcPr>
            <w:tcW w:type="dxa" w:w="850"/>
            <w:shd w:val="clear" w:color="auto" w:fill="EEF1F3"/>
          </w:tcPr>
          <w:p>
            <w:pPr>
              <w:spacing w:after="0" w:before="0"/>
              <w:jc w:val="center"/>
            </w:pPr>
            <w:r/>
            <w:r>
              <w:rPr>
                <w:rFonts w:ascii="Lato" w:hAnsi="Lato" w:cs="Lato"/>
                <w:b/>
                <w:i w:val="0"/>
                <w:color w:val="5B6166"/>
                <w:sz w:val="19"/>
              </w:rPr>
              <w:t>?</w:t>
            </w:r>
          </w:p>
        </w:tc>
        <w:tc>
          <w:tcPr>
            <w:tcW w:type="dxa" w:w="850"/>
            <w:shd w:val="clear" w:color="auto" w:fill="E3F1E8"/>
          </w:tcPr>
          <w:p>
            <w:pPr>
              <w:spacing w:after="0" w:before="0"/>
              <w:jc w:val="center"/>
            </w:pPr>
            <w:r/>
            <w:r>
              <w:rPr>
                <w:rFonts w:ascii="Lato" w:hAnsi="Lato" w:cs="Lato"/>
                <w:b/>
                <w:i w:val="0"/>
                <w:color w:val="1B7A3D"/>
                <w:sz w:val="19"/>
              </w:rPr>
              <w:t>✓</w:t>
            </w:r>
          </w:p>
        </w:tc>
        <w:tc>
          <w:tcPr>
            <w:tcW w:type="dxa" w:w="850"/>
            <w:shd w:val="clear" w:color="auto" w:fill="FBE6EA"/>
          </w:tcPr>
          <w:p>
            <w:pPr>
              <w:spacing w:after="0" w:before="0"/>
              <w:jc w:val="center"/>
            </w:pPr>
            <w:r/>
            <w:r>
              <w:rPr>
                <w:rFonts w:ascii="Lato" w:hAnsi="Lato" w:cs="Lato"/>
                <w:b/>
                <w:i w:val="0"/>
                <w:color w:val="A4233B"/>
                <w:sz w:val="19"/>
              </w:rPr>
              <w:t>✗</w:t>
            </w:r>
          </w:p>
        </w:tc>
        <w:tc>
          <w:tcPr>
            <w:tcW w:type="dxa" w:w="850"/>
            <w:shd w:val="clear" w:color="auto" w:fill="FBE6EA"/>
          </w:tcPr>
          <w:p>
            <w:pPr>
              <w:spacing w:after="0" w:before="0"/>
              <w:jc w:val="center"/>
            </w:pPr>
            <w:r/>
            <w:r>
              <w:rPr>
                <w:rFonts w:ascii="Lato" w:hAnsi="Lato" w:cs="Lato"/>
                <w:b/>
                <w:i w:val="0"/>
                <w:color w:val="A4233B"/>
                <w:sz w:val="19"/>
              </w:rPr>
              <w:t>✗</w:t>
            </w:r>
          </w:p>
        </w:tc>
        <w:tc>
          <w:tcPr>
            <w:tcW w:type="dxa" w:w="850"/>
            <w:shd w:val="clear" w:color="auto" w:fill="FBE6EA"/>
          </w:tcPr>
          <w:p>
            <w:pPr>
              <w:spacing w:after="0" w:before="0"/>
              <w:jc w:val="center"/>
            </w:pPr>
            <w:r/>
            <w:r>
              <w:rPr>
                <w:rFonts w:ascii="Lato" w:hAnsi="Lato" w:cs="Lato"/>
                <w:b/>
                <w:i w:val="0"/>
                <w:color w:val="A4233B"/>
                <w:sz w:val="19"/>
              </w:rPr>
              <w:t>✗</w:t>
            </w:r>
          </w:p>
        </w:tc>
        <w:tc>
          <w:tcPr>
            <w:tcW w:type="dxa" w:w="850"/>
            <w:shd w:val="clear" w:color="auto" w:fill="FBE6EA"/>
          </w:tcPr>
          <w:p>
            <w:pPr>
              <w:spacing w:after="0" w:before="0"/>
              <w:jc w:val="center"/>
            </w:pPr>
            <w:r/>
            <w:r>
              <w:rPr>
                <w:rFonts w:ascii="Lato" w:hAnsi="Lato" w:cs="Lato"/>
                <w:b/>
                <w:i w:val="0"/>
                <w:color w:val="A4233B"/>
                <w:sz w:val="19"/>
              </w:rPr>
              <w:t>✗</w:t>
            </w:r>
          </w:p>
        </w:tc>
        <w:tc>
          <w:tcPr>
            <w:tcW w:type="dxa" w:w="6917"/>
            <w:shd w:val="clear" w:color="auto" w:fill="F4F7F9"/>
          </w:tcPr>
          <w:p>
            <w:pPr>
              <w:spacing w:after="20" w:before="0"/>
            </w:pPr>
            <w:r/>
            <w:r>
              <w:rPr>
                <w:rFonts w:ascii="Lato" w:hAnsi="Lato" w:cs="Lato"/>
                <w:b w:val="0"/>
                <w:i w:val="0"/>
                <w:color w:val="2B2F33"/>
                <w:sz w:val="14"/>
              </w:rPr>
              <w:t>TMHCC and Yutree both auto-include newly created/acquired entities below a 20% turnover threshold, with notification above. Tysers position requires review.</w:t>
            </w:r>
          </w:p>
        </w:tc>
      </w:tr>
      <w:tr>
        <w:tc>
          <w:tcPr>
            <w:tcW w:type="dxa" w:w="2381"/>
          </w:tcPr>
          <w:p>
            <w:pPr>
              <w:spacing w:after="20" w:before="0"/>
            </w:pPr>
            <w:r/>
            <w:r>
              <w:rPr>
                <w:rFonts w:ascii="Lato" w:hAnsi="Lato" w:cs="Lato"/>
                <w:b/>
                <w:i w:val="0"/>
                <w:color w:val="00648B"/>
                <w:sz w:val="15"/>
              </w:rPr>
              <w:t>Pollution write-back (negligent advice)</w:t>
            </w:r>
          </w:p>
        </w:tc>
        <w:tc>
          <w:tcPr>
            <w:tcW w:type="dxa" w:w="850"/>
            <w:shd w:val="clear" w:color="auto" w:fill="FBE6EA"/>
          </w:tcPr>
          <w:p>
            <w:pPr>
              <w:spacing w:after="0" w:before="0"/>
              <w:jc w:val="center"/>
            </w:pPr>
            <w:r/>
            <w:r>
              <w:rPr>
                <w:rFonts w:ascii="Lato" w:hAnsi="Lato" w:cs="Lato"/>
                <w:b/>
                <w:i w:val="0"/>
                <w:color w:val="A4233B"/>
                <w:sz w:val="19"/>
              </w:rPr>
              <w:t>✗</w:t>
            </w:r>
          </w:p>
        </w:tc>
        <w:tc>
          <w:tcPr>
            <w:tcW w:type="dxa" w:w="850"/>
            <w:shd w:val="clear" w:color="auto" w:fill="FBE6EA"/>
          </w:tcPr>
          <w:p>
            <w:pPr>
              <w:spacing w:after="0" w:before="0"/>
              <w:jc w:val="center"/>
            </w:pPr>
            <w:r/>
            <w:r>
              <w:rPr>
                <w:rFonts w:ascii="Lato" w:hAnsi="Lato" w:cs="Lato"/>
                <w:b/>
                <w:i w:val="0"/>
                <w:color w:val="A4233B"/>
                <w:sz w:val="19"/>
              </w:rPr>
              <w:t>✗</w:t>
            </w:r>
          </w:p>
        </w:tc>
        <w:tc>
          <w:tcPr>
            <w:tcW w:type="dxa" w:w="850"/>
            <w:shd w:val="clear" w:color="auto" w:fill="FBF1DA"/>
          </w:tcPr>
          <w:p>
            <w:pPr>
              <w:spacing w:after="0" w:before="0"/>
              <w:jc w:val="center"/>
            </w:pPr>
            <w:r/>
            <w:r>
              <w:rPr>
                <w:rFonts w:ascii="Lato" w:hAnsi="Lato" w:cs="Lato"/>
                <w:b/>
                <w:i w:val="0"/>
                <w:color w:val="8A6A1E"/>
                <w:sz w:val="19"/>
              </w:rPr>
              <w:t>◐</w:t>
            </w:r>
          </w:p>
        </w:tc>
        <w:tc>
          <w:tcPr>
            <w:tcW w:type="dxa" w:w="850"/>
            <w:shd w:val="clear" w:color="auto" w:fill="FBE6EA"/>
          </w:tcPr>
          <w:p>
            <w:pPr>
              <w:spacing w:after="0" w:before="0"/>
              <w:jc w:val="center"/>
            </w:pPr>
            <w:r/>
            <w:r>
              <w:rPr>
                <w:rFonts w:ascii="Lato" w:hAnsi="Lato" w:cs="Lato"/>
                <w:b/>
                <w:i w:val="0"/>
                <w:color w:val="A4233B"/>
                <w:sz w:val="19"/>
              </w:rPr>
              <w:t>✗</w:t>
            </w:r>
          </w:p>
        </w:tc>
        <w:tc>
          <w:tcPr>
            <w:tcW w:type="dxa" w:w="850"/>
            <w:shd w:val="clear" w:color="auto" w:fill="FBE6EA"/>
          </w:tcPr>
          <w:p>
            <w:pPr>
              <w:spacing w:after="0" w:before="0"/>
              <w:jc w:val="center"/>
            </w:pPr>
            <w:r/>
            <w:r>
              <w:rPr>
                <w:rFonts w:ascii="Lato" w:hAnsi="Lato" w:cs="Lato"/>
                <w:b/>
                <w:i w:val="0"/>
                <w:color w:val="A4233B"/>
                <w:sz w:val="19"/>
              </w:rPr>
              <w:t>✗</w:t>
            </w:r>
          </w:p>
        </w:tc>
        <w:tc>
          <w:tcPr>
            <w:tcW w:type="dxa" w:w="850"/>
            <w:shd w:val="clear" w:color="auto" w:fill="FBE6EA"/>
          </w:tcPr>
          <w:p>
            <w:pPr>
              <w:spacing w:after="0" w:before="0"/>
              <w:jc w:val="center"/>
            </w:pPr>
            <w:r/>
            <w:r>
              <w:rPr>
                <w:rFonts w:ascii="Lato" w:hAnsi="Lato" w:cs="Lato"/>
                <w:b/>
                <w:i w:val="0"/>
                <w:color w:val="A4233B"/>
                <w:sz w:val="19"/>
              </w:rPr>
              <w:t>✗</w:t>
            </w:r>
          </w:p>
        </w:tc>
        <w:tc>
          <w:tcPr>
            <w:tcW w:type="dxa" w:w="850"/>
            <w:shd w:val="clear" w:color="auto" w:fill="FBE6EA"/>
          </w:tcPr>
          <w:p>
            <w:pPr>
              <w:spacing w:after="0" w:before="0"/>
              <w:jc w:val="center"/>
            </w:pPr>
            <w:r/>
            <w:r>
              <w:rPr>
                <w:rFonts w:ascii="Lato" w:hAnsi="Lato" w:cs="Lato"/>
                <w:b/>
                <w:i w:val="0"/>
                <w:color w:val="A4233B"/>
                <w:sz w:val="19"/>
              </w:rPr>
              <w:t>✗</w:t>
            </w:r>
          </w:p>
        </w:tc>
        <w:tc>
          <w:tcPr>
            <w:tcW w:type="dxa" w:w="6917"/>
          </w:tcPr>
          <w:p>
            <w:pPr>
              <w:spacing w:after="20" w:before="0"/>
            </w:pPr>
            <w:r/>
            <w:r>
              <w:rPr>
                <w:rFonts w:ascii="Lato" w:hAnsi="Lato" w:cs="Lato"/>
                <w:b w:val="0"/>
                <w:i w:val="0"/>
                <w:color w:val="2B2F33"/>
                <w:sz w:val="14"/>
              </w:rPr>
              <w:t>Yutree grants a limited pollution write-back where the cause is a specific act/error/omission of the insured. TMHCC and Tysers exclude pollution from PI.</w:t>
            </w:r>
          </w:p>
        </w:tc>
      </w:tr>
      <w:tr>
        <w:tc>
          <w:tcPr>
            <w:tcW w:type="dxa" w:w="2381"/>
            <w:shd w:val="clear" w:color="auto" w:fill="F4F7F9"/>
          </w:tcPr>
          <w:p>
            <w:pPr>
              <w:spacing w:after="20" w:before="0"/>
            </w:pPr>
            <w:r/>
            <w:r>
              <w:rPr>
                <w:rFonts w:ascii="Lato" w:hAnsi="Lato" w:cs="Lato"/>
                <w:b/>
                <w:i w:val="0"/>
                <w:color w:val="00648B"/>
                <w:sz w:val="15"/>
              </w:rPr>
              <w:t>Cyber/data general exclusion impact on PI cover</w:t>
            </w:r>
          </w:p>
        </w:tc>
        <w:tc>
          <w:tcPr>
            <w:tcW w:type="dxa" w:w="850"/>
            <w:shd w:val="clear" w:color="auto" w:fill="E3F1E8"/>
          </w:tcPr>
          <w:p>
            <w:pPr>
              <w:spacing w:after="0" w:before="0"/>
              <w:jc w:val="center"/>
            </w:pPr>
            <w:r/>
            <w:r>
              <w:rPr>
                <w:rFonts w:ascii="Lato" w:hAnsi="Lato" w:cs="Lato"/>
                <w:b/>
                <w:i w:val="0"/>
                <w:color w:val="1B7A3D"/>
                <w:sz w:val="19"/>
              </w:rPr>
              <w:t>✓</w:t>
            </w:r>
          </w:p>
        </w:tc>
        <w:tc>
          <w:tcPr>
            <w:tcW w:type="dxa" w:w="850"/>
            <w:shd w:val="clear" w:color="auto" w:fill="E3F1E8"/>
          </w:tcPr>
          <w:p>
            <w:pPr>
              <w:spacing w:after="0" w:before="0"/>
              <w:jc w:val="center"/>
            </w:pPr>
            <w:r/>
            <w:r>
              <w:rPr>
                <w:rFonts w:ascii="Lato" w:hAnsi="Lato" w:cs="Lato"/>
                <w:b/>
                <w:i w:val="0"/>
                <w:color w:val="1B7A3D"/>
                <w:sz w:val="19"/>
              </w:rPr>
              <w:t>✓</w:t>
            </w:r>
          </w:p>
        </w:tc>
        <w:tc>
          <w:tcPr>
            <w:tcW w:type="dxa" w:w="850"/>
            <w:shd w:val="clear" w:color="auto" w:fill="FBE6EA"/>
          </w:tcPr>
          <w:p>
            <w:pPr>
              <w:spacing w:after="0" w:before="0"/>
              <w:jc w:val="center"/>
            </w:pPr>
            <w:r/>
            <w:r>
              <w:rPr>
                <w:rFonts w:ascii="Lato" w:hAnsi="Lato" w:cs="Lato"/>
                <w:b/>
                <w:i w:val="0"/>
                <w:color w:val="A4233B"/>
                <w:sz w:val="19"/>
              </w:rPr>
              <w:t>✗</w:t>
            </w:r>
          </w:p>
        </w:tc>
        <w:tc>
          <w:tcPr>
            <w:tcW w:type="dxa" w:w="850"/>
            <w:shd w:val="clear" w:color="auto" w:fill="FBE6EA"/>
          </w:tcPr>
          <w:p>
            <w:pPr>
              <w:spacing w:after="0" w:before="0"/>
              <w:jc w:val="center"/>
            </w:pPr>
            <w:r/>
            <w:r>
              <w:rPr>
                <w:rFonts w:ascii="Lato" w:hAnsi="Lato" w:cs="Lato"/>
                <w:b/>
                <w:i w:val="0"/>
                <w:color w:val="A4233B"/>
                <w:sz w:val="19"/>
              </w:rPr>
              <w:t>✗</w:t>
            </w:r>
          </w:p>
        </w:tc>
        <w:tc>
          <w:tcPr>
            <w:tcW w:type="dxa" w:w="850"/>
            <w:shd w:val="clear" w:color="auto" w:fill="FBE6EA"/>
          </w:tcPr>
          <w:p>
            <w:pPr>
              <w:spacing w:after="0" w:before="0"/>
              <w:jc w:val="center"/>
            </w:pPr>
            <w:r/>
            <w:r>
              <w:rPr>
                <w:rFonts w:ascii="Lato" w:hAnsi="Lato" w:cs="Lato"/>
                <w:b/>
                <w:i w:val="0"/>
                <w:color w:val="A4233B"/>
                <w:sz w:val="19"/>
              </w:rPr>
              <w:t>✗</w:t>
            </w:r>
          </w:p>
        </w:tc>
        <w:tc>
          <w:tcPr>
            <w:tcW w:type="dxa" w:w="850"/>
            <w:shd w:val="clear" w:color="auto" w:fill="FBE6EA"/>
          </w:tcPr>
          <w:p>
            <w:pPr>
              <w:spacing w:after="0" w:before="0"/>
              <w:jc w:val="center"/>
            </w:pPr>
            <w:r/>
            <w:r>
              <w:rPr>
                <w:rFonts w:ascii="Lato" w:hAnsi="Lato" w:cs="Lato"/>
                <w:b/>
                <w:i w:val="0"/>
                <w:color w:val="A4233B"/>
                <w:sz w:val="19"/>
              </w:rPr>
              <w:t>✗</w:t>
            </w:r>
          </w:p>
        </w:tc>
        <w:tc>
          <w:tcPr>
            <w:tcW w:type="dxa" w:w="850"/>
            <w:shd w:val="clear" w:color="auto" w:fill="FBE6EA"/>
          </w:tcPr>
          <w:p>
            <w:pPr>
              <w:spacing w:after="0" w:before="0"/>
              <w:jc w:val="center"/>
            </w:pPr>
            <w:r/>
            <w:r>
              <w:rPr>
                <w:rFonts w:ascii="Lato" w:hAnsi="Lato" w:cs="Lato"/>
                <w:b/>
                <w:i w:val="0"/>
                <w:color w:val="A4233B"/>
                <w:sz w:val="19"/>
              </w:rPr>
              <w:t>✗</w:t>
            </w:r>
          </w:p>
        </w:tc>
        <w:tc>
          <w:tcPr>
            <w:tcW w:type="dxa" w:w="6917"/>
            <w:shd w:val="clear" w:color="auto" w:fill="F4F7F9"/>
          </w:tcPr>
          <w:p>
            <w:pPr>
              <w:spacing w:after="20" w:before="0"/>
            </w:pPr>
            <w:r/>
            <w:r>
              <w:rPr>
                <w:rFonts w:ascii="Lato" w:hAnsi="Lato" w:cs="Lato"/>
                <w:b w:val="0"/>
                <w:i w:val="0"/>
                <w:color w:val="2B2F33"/>
                <w:sz w:val="14"/>
              </w:rPr>
              <w:t>TMHCC’s general cyber/date exclusion applies to Sections 1–11 ONLY, leaving S12 with bespoke virus/unauthorised-access cover; Tysers’ Electronic-Risk exclusion is dis-applied to S8. Yutree’s PI carries a BROAD cyber &amp; data-protection exclusion.</w:t>
            </w:r>
          </w:p>
        </w:tc>
      </w:tr>
      <w:tr>
        <w:tc>
          <w:tcPr>
            <w:tcW w:type="dxa" w:w="2381"/>
          </w:tcPr>
          <w:p>
            <w:pPr>
              <w:spacing w:after="20" w:before="0"/>
            </w:pPr>
            <w:r/>
            <w:r>
              <w:rPr>
                <w:rFonts w:ascii="Lato" w:hAnsi="Lato" w:cs="Lato"/>
                <w:b/>
                <w:i w:val="0"/>
                <w:color w:val="00648B"/>
                <w:sz w:val="15"/>
              </w:rPr>
              <w:t>Senior-counsel (KC) dispute-resolution clause</w:t>
            </w:r>
          </w:p>
        </w:tc>
        <w:tc>
          <w:tcPr>
            <w:tcW w:type="dxa" w:w="850"/>
            <w:shd w:val="clear" w:color="auto" w:fill="FBF1DA"/>
          </w:tcPr>
          <w:p>
            <w:pPr>
              <w:spacing w:after="0" w:before="0"/>
              <w:jc w:val="center"/>
            </w:pPr>
            <w:r/>
            <w:r>
              <w:rPr>
                <w:rFonts w:ascii="Lato" w:hAnsi="Lato" w:cs="Lato"/>
                <w:b/>
                <w:i w:val="0"/>
                <w:color w:val="8A6A1E"/>
                <w:sz w:val="19"/>
              </w:rPr>
              <w:t>◐</w:t>
            </w:r>
          </w:p>
        </w:tc>
        <w:tc>
          <w:tcPr>
            <w:tcW w:type="dxa" w:w="850"/>
            <w:shd w:val="clear" w:color="auto" w:fill="EEF1F3"/>
          </w:tcPr>
          <w:p>
            <w:pPr>
              <w:spacing w:after="0" w:before="0"/>
              <w:jc w:val="center"/>
            </w:pPr>
            <w:r/>
            <w:r>
              <w:rPr>
                <w:rFonts w:ascii="Lato" w:hAnsi="Lato" w:cs="Lato"/>
                <w:b/>
                <w:i w:val="0"/>
                <w:color w:val="5B6166"/>
                <w:sz w:val="19"/>
              </w:rPr>
              <w:t>?</w:t>
            </w:r>
          </w:p>
        </w:tc>
        <w:tc>
          <w:tcPr>
            <w:tcW w:type="dxa" w:w="850"/>
            <w:shd w:val="clear" w:color="auto" w:fill="E3F1E8"/>
          </w:tcPr>
          <w:p>
            <w:pPr>
              <w:spacing w:after="0" w:before="0"/>
              <w:jc w:val="center"/>
            </w:pPr>
            <w:r/>
            <w:r>
              <w:rPr>
                <w:rFonts w:ascii="Lato" w:hAnsi="Lato" w:cs="Lato"/>
                <w:b/>
                <w:i w:val="0"/>
                <w:color w:val="1B7A3D"/>
                <w:sz w:val="19"/>
              </w:rPr>
              <w:t>✓</w:t>
            </w:r>
          </w:p>
        </w:tc>
        <w:tc>
          <w:tcPr>
            <w:tcW w:type="dxa" w:w="850"/>
            <w:shd w:val="clear" w:color="auto" w:fill="FBE6EA"/>
          </w:tcPr>
          <w:p>
            <w:pPr>
              <w:spacing w:after="0" w:before="0"/>
              <w:jc w:val="center"/>
            </w:pPr>
            <w:r/>
            <w:r>
              <w:rPr>
                <w:rFonts w:ascii="Lato" w:hAnsi="Lato" w:cs="Lato"/>
                <w:b/>
                <w:i w:val="0"/>
                <w:color w:val="A4233B"/>
                <w:sz w:val="19"/>
              </w:rPr>
              <w:t>✗</w:t>
            </w:r>
          </w:p>
        </w:tc>
        <w:tc>
          <w:tcPr>
            <w:tcW w:type="dxa" w:w="850"/>
            <w:shd w:val="clear" w:color="auto" w:fill="FBE6EA"/>
          </w:tcPr>
          <w:p>
            <w:pPr>
              <w:spacing w:after="0" w:before="0"/>
              <w:jc w:val="center"/>
            </w:pPr>
            <w:r/>
            <w:r>
              <w:rPr>
                <w:rFonts w:ascii="Lato" w:hAnsi="Lato" w:cs="Lato"/>
                <w:b/>
                <w:i w:val="0"/>
                <w:color w:val="A4233B"/>
                <w:sz w:val="19"/>
              </w:rPr>
              <w:t>✗</w:t>
            </w:r>
          </w:p>
        </w:tc>
        <w:tc>
          <w:tcPr>
            <w:tcW w:type="dxa" w:w="850"/>
            <w:shd w:val="clear" w:color="auto" w:fill="FBE6EA"/>
          </w:tcPr>
          <w:p>
            <w:pPr>
              <w:spacing w:after="0" w:before="0"/>
              <w:jc w:val="center"/>
            </w:pPr>
            <w:r/>
            <w:r>
              <w:rPr>
                <w:rFonts w:ascii="Lato" w:hAnsi="Lato" w:cs="Lato"/>
                <w:b/>
                <w:i w:val="0"/>
                <w:color w:val="A4233B"/>
                <w:sz w:val="19"/>
              </w:rPr>
              <w:t>✗</w:t>
            </w:r>
          </w:p>
        </w:tc>
        <w:tc>
          <w:tcPr>
            <w:tcW w:type="dxa" w:w="850"/>
            <w:shd w:val="clear" w:color="auto" w:fill="FBE6EA"/>
          </w:tcPr>
          <w:p>
            <w:pPr>
              <w:spacing w:after="0" w:before="0"/>
              <w:jc w:val="center"/>
            </w:pPr>
            <w:r/>
            <w:r>
              <w:rPr>
                <w:rFonts w:ascii="Lato" w:hAnsi="Lato" w:cs="Lato"/>
                <w:b/>
                <w:i w:val="0"/>
                <w:color w:val="A4233B"/>
                <w:sz w:val="19"/>
              </w:rPr>
              <w:t>✗</w:t>
            </w:r>
          </w:p>
        </w:tc>
        <w:tc>
          <w:tcPr>
            <w:tcW w:type="dxa" w:w="6917"/>
          </w:tcPr>
          <w:p>
            <w:pPr>
              <w:spacing w:after="20" w:before="0"/>
            </w:pPr>
            <w:r/>
            <w:r>
              <w:rPr>
                <w:rFonts w:ascii="Lato" w:hAnsi="Lato" w:cs="Lato"/>
                <w:b w:val="0"/>
                <w:i w:val="0"/>
                <w:color w:val="2B2F33"/>
                <w:sz w:val="14"/>
              </w:rPr>
              <w:t>Yutree includes a clear King’s Counsel arbitration clause for defence/settlement disputes. TMHCC relies on a general mediation/dispute condition; Tysers requires review.</w:t>
            </w:r>
          </w:p>
        </w:tc>
      </w:tr>
    </w:tbl>
    <w:p>
      <w:pPr>
        <w:spacing w:after="80"/>
      </w:pPr>
    </w:p>
    <w:p>
      <w:pPr>
        <w:keepNext/>
        <w:spacing w:before="180" w:after="40"/>
      </w:pPr>
      <w:r>
        <w:rPr>
          <w:rFonts w:ascii="Lato" w:hAnsi="Lato" w:cs="Lato"/>
          <w:b/>
          <w:i w:val="0"/>
          <w:color w:val="00648B"/>
          <w:sz w:val="23"/>
        </w:rPr>
        <w:t>C.2 PI-specific exclusions</w:t>
      </w:r>
    </w:p>
    <w:p>
      <w:pPr>
        <w:spacing w:after="80" w:before="0"/>
      </w:pPr>
      <w:r>
        <w:rPr>
          <w:rFonts w:ascii="Lato" w:hAnsi="Lato" w:cs="Lato"/>
          <w:b w:val="0"/>
          <w:i w:val="0"/>
          <w:color w:val="2B2F33"/>
          <w:sz w:val="17"/>
        </w:rPr>
        <w:t>✓ = exclusion applies; na = no PI section. Covers patents, USA/Canada, insolvency, prior-known, cyber-within-PI, pollution.</w:t>
      </w:r>
    </w:p>
    <w:tbl>
      <w:tblPr>
        <w:tblW w:type="dxa" w:w="15252"/>
        <w:jc w:val="center"/>
        <w:tblBorders>
          <w:top w:val="single" w:sz="4" w:space="0" w:color="D6DCE0"/>
          <w:left w:val="single" w:sz="4" w:space="0" w:color="D6DCE0"/>
          <w:bottom w:val="single" w:sz="4" w:space="0" w:color="D6DCE0"/>
          <w:right w:val="single" w:sz="4" w:space="0" w:color="D6DCE0"/>
          <w:insideH w:val="single" w:sz="4" w:space="0" w:color="D6DCE0"/>
          <w:insideV w:val="single" w:sz="4" w:space="0" w:color="D6DCE0"/>
        </w:tblBorders>
        <w:tblLayout w:type="fixed"/>
        <w:tblLook w:firstColumn="1" w:firstRow="1" w:lastColumn="0" w:lastRow="0" w:noHBand="0" w:noVBand="1" w:val="04A0"/>
      </w:tblPr>
      <w:tblGrid>
        <w:gridCol w:w="2381"/>
        <w:gridCol w:w="850"/>
        <w:gridCol w:w="850"/>
        <w:gridCol w:w="850"/>
        <w:gridCol w:w="850"/>
        <w:gridCol w:w="850"/>
        <w:gridCol w:w="850"/>
        <w:gridCol w:w="850"/>
        <w:gridCol w:w="6917"/>
      </w:tblGrid>
      <w:tr>
        <w:tc>
          <w:tcPr>
            <w:tcW w:type="dxa" w:w="2381"/>
            <w:shd w:val="clear" w:color="auto" w:fill="00648B"/>
          </w:tcPr>
          <w:p>
            <w:pPr>
              <w:spacing w:after="20" w:before="0"/>
              <w:jc w:val="center"/>
            </w:pPr>
            <w:r/>
            <w:r>
              <w:rPr>
                <w:rFonts w:ascii="Lato" w:hAnsi="Lato" w:cs="Lato"/>
                <w:b/>
                <w:i w:val="0"/>
                <w:color w:val="FFFFFF"/>
                <w:sz w:val="17"/>
              </w:rPr>
              <w:t>Coverage / legal feature</w:t>
            </w:r>
          </w:p>
        </w:tc>
        <w:tc>
          <w:tcPr>
            <w:tcW w:type="dxa" w:w="850"/>
            <w:shd w:val="clear" w:color="auto" w:fill="00648B"/>
          </w:tcPr>
          <w:p>
            <w:pPr>
              <w:spacing w:after="20" w:before="0"/>
              <w:jc w:val="center"/>
            </w:pPr>
            <w:r/>
            <w:r>
              <w:rPr>
                <w:rFonts w:ascii="Lato" w:hAnsi="Lato" w:cs="Lato"/>
                <w:b/>
                <w:i w:val="0"/>
                <w:color w:val="FFFFFF"/>
                <w:sz w:val="17"/>
              </w:rPr>
              <w:t>TMHCC</w:t>
            </w:r>
          </w:p>
        </w:tc>
        <w:tc>
          <w:tcPr>
            <w:tcW w:type="dxa" w:w="850"/>
            <w:shd w:val="clear" w:color="auto" w:fill="00648B"/>
          </w:tcPr>
          <w:p>
            <w:pPr>
              <w:spacing w:after="20" w:before="0"/>
              <w:jc w:val="center"/>
            </w:pPr>
            <w:r/>
            <w:r>
              <w:rPr>
                <w:rFonts w:ascii="Lato" w:hAnsi="Lato" w:cs="Lato"/>
                <w:b/>
                <w:i w:val="0"/>
                <w:color w:val="FFFFFF"/>
                <w:sz w:val="17"/>
              </w:rPr>
              <w:t>Tysers</w:t>
            </w:r>
          </w:p>
        </w:tc>
        <w:tc>
          <w:tcPr>
            <w:tcW w:type="dxa" w:w="850"/>
            <w:shd w:val="clear" w:color="auto" w:fill="00648B"/>
          </w:tcPr>
          <w:p>
            <w:pPr>
              <w:spacing w:after="20" w:before="0"/>
              <w:jc w:val="center"/>
            </w:pPr>
            <w:r/>
            <w:r>
              <w:rPr>
                <w:rFonts w:ascii="Lato" w:hAnsi="Lato" w:cs="Lato"/>
                <w:b/>
                <w:i w:val="0"/>
                <w:color w:val="FFFFFF"/>
                <w:sz w:val="17"/>
              </w:rPr>
              <w:t>Yutree</w:t>
            </w:r>
          </w:p>
        </w:tc>
        <w:tc>
          <w:tcPr>
            <w:tcW w:type="dxa" w:w="850"/>
            <w:shd w:val="clear" w:color="auto" w:fill="00648B"/>
          </w:tcPr>
          <w:p>
            <w:pPr>
              <w:spacing w:after="20" w:before="0"/>
              <w:jc w:val="center"/>
            </w:pPr>
            <w:r/>
            <w:r>
              <w:rPr>
                <w:rFonts w:ascii="Lato" w:hAnsi="Lato" w:cs="Lato"/>
                <w:b/>
                <w:i w:val="0"/>
                <w:color w:val="FFFFFF"/>
                <w:sz w:val="17"/>
              </w:rPr>
              <w:t>Liberty</w:t>
            </w:r>
          </w:p>
        </w:tc>
        <w:tc>
          <w:tcPr>
            <w:tcW w:type="dxa" w:w="850"/>
            <w:shd w:val="clear" w:color="auto" w:fill="00648B"/>
          </w:tcPr>
          <w:p>
            <w:pPr>
              <w:spacing w:after="20" w:before="0"/>
              <w:jc w:val="center"/>
            </w:pPr>
            <w:r/>
            <w:r>
              <w:rPr>
                <w:rFonts w:ascii="Lato" w:hAnsi="Lato" w:cs="Lato"/>
                <w:b/>
                <w:i w:val="0"/>
                <w:color w:val="FFFFFF"/>
                <w:sz w:val="17"/>
              </w:rPr>
              <w:t>Allianz</w:t>
            </w:r>
          </w:p>
        </w:tc>
        <w:tc>
          <w:tcPr>
            <w:tcW w:type="dxa" w:w="850"/>
            <w:shd w:val="clear" w:color="auto" w:fill="00648B"/>
          </w:tcPr>
          <w:p>
            <w:pPr>
              <w:spacing w:after="20" w:before="0"/>
              <w:jc w:val="center"/>
            </w:pPr>
            <w:r/>
            <w:r>
              <w:rPr>
                <w:rFonts w:ascii="Lato" w:hAnsi="Lato" w:cs="Lato"/>
                <w:b/>
                <w:i w:val="0"/>
                <w:color w:val="FFFFFF"/>
                <w:sz w:val="17"/>
              </w:rPr>
              <w:t>AXA XL</w:t>
            </w:r>
          </w:p>
        </w:tc>
        <w:tc>
          <w:tcPr>
            <w:tcW w:type="dxa" w:w="850"/>
            <w:shd w:val="clear" w:color="auto" w:fill="00648B"/>
          </w:tcPr>
          <w:p>
            <w:pPr>
              <w:spacing w:after="20" w:before="0"/>
              <w:jc w:val="center"/>
            </w:pPr>
            <w:r/>
            <w:r>
              <w:rPr>
                <w:rFonts w:ascii="Lato" w:hAnsi="Lato" w:cs="Lato"/>
                <w:b/>
                <w:i w:val="0"/>
                <w:color w:val="FFFFFF"/>
                <w:sz w:val="17"/>
              </w:rPr>
              <w:t>Ent.Elite</w:t>
            </w:r>
          </w:p>
        </w:tc>
        <w:tc>
          <w:tcPr>
            <w:tcW w:type="dxa" w:w="6917"/>
            <w:shd w:val="clear" w:color="auto" w:fill="00648B"/>
          </w:tcPr>
          <w:p>
            <w:pPr>
              <w:spacing w:after="20" w:before="0"/>
              <w:jc w:val="center"/>
            </w:pPr>
            <w:r/>
            <w:r>
              <w:rPr>
                <w:rFonts w:ascii="Lato" w:hAnsi="Lato" w:cs="Lato"/>
                <w:b/>
                <w:i w:val="0"/>
                <w:color w:val="FFFFFF"/>
                <w:sz w:val="17"/>
              </w:rPr>
              <w:t>Legal significance / note</w:t>
            </w:r>
          </w:p>
        </w:tc>
      </w:tr>
      <w:tr>
        <w:tc>
          <w:tcPr>
            <w:tcW w:type="dxa" w:w="2381"/>
          </w:tcPr>
          <w:p>
            <w:pPr>
              <w:spacing w:after="20" w:before="0"/>
            </w:pPr>
            <w:r/>
            <w:r>
              <w:rPr>
                <w:rFonts w:ascii="Lato" w:hAnsi="Lato" w:cs="Lato"/>
                <w:b/>
                <w:i w:val="0"/>
                <w:color w:val="00648B"/>
                <w:sz w:val="15"/>
              </w:rPr>
              <w:t>Contractual / assumed liability</w:t>
            </w:r>
          </w:p>
        </w:tc>
        <w:tc>
          <w:tcPr>
            <w:tcW w:type="dxa" w:w="850"/>
            <w:shd w:val="clear" w:color="auto" w:fill="E3F1E8"/>
          </w:tcPr>
          <w:p>
            <w:pPr>
              <w:spacing w:after="0" w:before="0"/>
              <w:jc w:val="center"/>
            </w:pPr>
            <w:r/>
            <w:r>
              <w:rPr>
                <w:rFonts w:ascii="Lato" w:hAnsi="Lato" w:cs="Lato"/>
                <w:b/>
                <w:i w:val="0"/>
                <w:color w:val="1B7A3D"/>
                <w:sz w:val="19"/>
              </w:rPr>
              <w:t>✓</w:t>
            </w:r>
          </w:p>
        </w:tc>
        <w:tc>
          <w:tcPr>
            <w:tcW w:type="dxa" w:w="850"/>
            <w:shd w:val="clear" w:color="auto" w:fill="E3F1E8"/>
          </w:tcPr>
          <w:p>
            <w:pPr>
              <w:spacing w:after="0" w:before="0"/>
              <w:jc w:val="center"/>
            </w:pPr>
            <w:r/>
            <w:r>
              <w:rPr>
                <w:rFonts w:ascii="Lato" w:hAnsi="Lato" w:cs="Lato"/>
                <w:b/>
                <w:i w:val="0"/>
                <w:color w:val="1B7A3D"/>
                <w:sz w:val="19"/>
              </w:rPr>
              <w:t>✓</w:t>
            </w:r>
          </w:p>
        </w:tc>
        <w:tc>
          <w:tcPr>
            <w:tcW w:type="dxa" w:w="850"/>
            <w:shd w:val="clear" w:color="auto" w:fill="E3F1E8"/>
          </w:tcPr>
          <w:p>
            <w:pPr>
              <w:spacing w:after="0" w:before="0"/>
              <w:jc w:val="center"/>
            </w:pPr>
            <w:r/>
            <w:r>
              <w:rPr>
                <w:rFonts w:ascii="Lato" w:hAnsi="Lato" w:cs="Lato"/>
                <w:b/>
                <w:i w:val="0"/>
                <w:color w:val="1B7A3D"/>
                <w:sz w:val="19"/>
              </w:rPr>
              <w:t>✓</w:t>
            </w:r>
          </w:p>
        </w:tc>
        <w:tc>
          <w:tcPr>
            <w:tcW w:type="dxa" w:w="850"/>
            <w:shd w:val="clear" w:color="auto" w:fill="F2F4F5"/>
          </w:tcPr>
          <w:p>
            <w:pPr>
              <w:spacing w:after="0" w:before="0"/>
              <w:jc w:val="center"/>
            </w:pPr>
            <w:r/>
            <w:r>
              <w:rPr>
                <w:rFonts w:ascii="Lato" w:hAnsi="Lato" w:cs="Lato"/>
                <w:b/>
                <w:i w:val="0"/>
                <w:color w:val="8A9095"/>
                <w:sz w:val="19"/>
              </w:rPr>
              <w:t>—</w:t>
            </w:r>
          </w:p>
        </w:tc>
        <w:tc>
          <w:tcPr>
            <w:tcW w:type="dxa" w:w="850"/>
            <w:shd w:val="clear" w:color="auto" w:fill="F2F4F5"/>
          </w:tcPr>
          <w:p>
            <w:pPr>
              <w:spacing w:after="0" w:before="0"/>
              <w:jc w:val="center"/>
            </w:pPr>
            <w:r/>
            <w:r>
              <w:rPr>
                <w:rFonts w:ascii="Lato" w:hAnsi="Lato" w:cs="Lato"/>
                <w:b/>
                <w:i w:val="0"/>
                <w:color w:val="8A9095"/>
                <w:sz w:val="19"/>
              </w:rPr>
              <w:t>—</w:t>
            </w:r>
          </w:p>
        </w:tc>
        <w:tc>
          <w:tcPr>
            <w:tcW w:type="dxa" w:w="850"/>
            <w:shd w:val="clear" w:color="auto" w:fill="F2F4F5"/>
          </w:tcPr>
          <w:p>
            <w:pPr>
              <w:spacing w:after="0" w:before="0"/>
              <w:jc w:val="center"/>
            </w:pPr>
            <w:r/>
            <w:r>
              <w:rPr>
                <w:rFonts w:ascii="Lato" w:hAnsi="Lato" w:cs="Lato"/>
                <w:b/>
                <w:i w:val="0"/>
                <w:color w:val="8A9095"/>
                <w:sz w:val="19"/>
              </w:rPr>
              <w:t>—</w:t>
            </w:r>
          </w:p>
        </w:tc>
        <w:tc>
          <w:tcPr>
            <w:tcW w:type="dxa" w:w="850"/>
            <w:shd w:val="clear" w:color="auto" w:fill="F2F4F5"/>
          </w:tcPr>
          <w:p>
            <w:pPr>
              <w:spacing w:after="0" w:before="0"/>
              <w:jc w:val="center"/>
            </w:pPr>
            <w:r/>
            <w:r>
              <w:rPr>
                <w:rFonts w:ascii="Lato" w:hAnsi="Lato" w:cs="Lato"/>
                <w:b/>
                <w:i w:val="0"/>
                <w:color w:val="8A9095"/>
                <w:sz w:val="19"/>
              </w:rPr>
              <w:t>—</w:t>
            </w:r>
          </w:p>
        </w:tc>
        <w:tc>
          <w:tcPr>
            <w:tcW w:type="dxa" w:w="6917"/>
          </w:tcPr>
          <w:p>
            <w:pPr>
              <w:spacing w:after="20" w:before="0"/>
            </w:pPr>
            <w:r/>
            <w:r>
              <w:rPr>
                <w:rFonts w:ascii="Lato" w:hAnsi="Lato" w:cs="Lato"/>
                <w:b w:val="0"/>
                <w:i w:val="0"/>
                <w:color w:val="2B2F33"/>
                <w:sz w:val="14"/>
              </w:rPr>
              <w:t>Excluded by all three media wordings, with the standard write-back for liability that would exist absent the contract. Equivalent.</w:t>
            </w:r>
          </w:p>
        </w:tc>
      </w:tr>
      <w:tr>
        <w:tc>
          <w:tcPr>
            <w:tcW w:type="dxa" w:w="2381"/>
            <w:shd w:val="clear" w:color="auto" w:fill="F4F7F9"/>
          </w:tcPr>
          <w:p>
            <w:pPr>
              <w:spacing w:after="20" w:before="0"/>
            </w:pPr>
            <w:r/>
            <w:r>
              <w:rPr>
                <w:rFonts w:ascii="Lato" w:hAnsi="Lato" w:cs="Lato"/>
                <w:b/>
                <w:i w:val="0"/>
                <w:color w:val="00648B"/>
                <w:sz w:val="15"/>
              </w:rPr>
              <w:t>Deliberate / reckless / dishonest acts (with employee write-back)</w:t>
            </w:r>
          </w:p>
        </w:tc>
        <w:tc>
          <w:tcPr>
            <w:tcW w:type="dxa" w:w="850"/>
            <w:shd w:val="clear" w:color="auto" w:fill="E3F1E8"/>
          </w:tcPr>
          <w:p>
            <w:pPr>
              <w:spacing w:after="0" w:before="0"/>
              <w:jc w:val="center"/>
            </w:pPr>
            <w:r/>
            <w:r>
              <w:rPr>
                <w:rFonts w:ascii="Lato" w:hAnsi="Lato" w:cs="Lato"/>
                <w:b/>
                <w:i w:val="0"/>
                <w:color w:val="1B7A3D"/>
                <w:sz w:val="19"/>
              </w:rPr>
              <w:t>✓</w:t>
            </w:r>
          </w:p>
        </w:tc>
        <w:tc>
          <w:tcPr>
            <w:tcW w:type="dxa" w:w="850"/>
            <w:shd w:val="clear" w:color="auto" w:fill="E3F1E8"/>
          </w:tcPr>
          <w:p>
            <w:pPr>
              <w:spacing w:after="0" w:before="0"/>
              <w:jc w:val="center"/>
            </w:pPr>
            <w:r/>
            <w:r>
              <w:rPr>
                <w:rFonts w:ascii="Lato" w:hAnsi="Lato" w:cs="Lato"/>
                <w:b/>
                <w:i w:val="0"/>
                <w:color w:val="1B7A3D"/>
                <w:sz w:val="19"/>
              </w:rPr>
              <w:t>✓</w:t>
            </w:r>
          </w:p>
        </w:tc>
        <w:tc>
          <w:tcPr>
            <w:tcW w:type="dxa" w:w="850"/>
            <w:shd w:val="clear" w:color="auto" w:fill="E3F1E8"/>
          </w:tcPr>
          <w:p>
            <w:pPr>
              <w:spacing w:after="0" w:before="0"/>
              <w:jc w:val="center"/>
            </w:pPr>
            <w:r/>
            <w:r>
              <w:rPr>
                <w:rFonts w:ascii="Lato" w:hAnsi="Lato" w:cs="Lato"/>
                <w:b/>
                <w:i w:val="0"/>
                <w:color w:val="1B7A3D"/>
                <w:sz w:val="19"/>
              </w:rPr>
              <w:t>✓</w:t>
            </w:r>
          </w:p>
        </w:tc>
        <w:tc>
          <w:tcPr>
            <w:tcW w:type="dxa" w:w="850"/>
            <w:shd w:val="clear" w:color="auto" w:fill="F2F4F5"/>
          </w:tcPr>
          <w:p>
            <w:pPr>
              <w:spacing w:after="0" w:before="0"/>
              <w:jc w:val="center"/>
            </w:pPr>
            <w:r/>
            <w:r>
              <w:rPr>
                <w:rFonts w:ascii="Lato" w:hAnsi="Lato" w:cs="Lato"/>
                <w:b/>
                <w:i w:val="0"/>
                <w:color w:val="8A9095"/>
                <w:sz w:val="19"/>
              </w:rPr>
              <w:t>—</w:t>
            </w:r>
          </w:p>
        </w:tc>
        <w:tc>
          <w:tcPr>
            <w:tcW w:type="dxa" w:w="850"/>
            <w:shd w:val="clear" w:color="auto" w:fill="F2F4F5"/>
          </w:tcPr>
          <w:p>
            <w:pPr>
              <w:spacing w:after="0" w:before="0"/>
              <w:jc w:val="center"/>
            </w:pPr>
            <w:r/>
            <w:r>
              <w:rPr>
                <w:rFonts w:ascii="Lato" w:hAnsi="Lato" w:cs="Lato"/>
                <w:b/>
                <w:i w:val="0"/>
                <w:color w:val="8A9095"/>
                <w:sz w:val="19"/>
              </w:rPr>
              <w:t>—</w:t>
            </w:r>
          </w:p>
        </w:tc>
        <w:tc>
          <w:tcPr>
            <w:tcW w:type="dxa" w:w="850"/>
            <w:shd w:val="clear" w:color="auto" w:fill="F2F4F5"/>
          </w:tcPr>
          <w:p>
            <w:pPr>
              <w:spacing w:after="0" w:before="0"/>
              <w:jc w:val="center"/>
            </w:pPr>
            <w:r/>
            <w:r>
              <w:rPr>
                <w:rFonts w:ascii="Lato" w:hAnsi="Lato" w:cs="Lato"/>
                <w:b/>
                <w:i w:val="0"/>
                <w:color w:val="8A9095"/>
                <w:sz w:val="19"/>
              </w:rPr>
              <w:t>—</w:t>
            </w:r>
          </w:p>
        </w:tc>
        <w:tc>
          <w:tcPr>
            <w:tcW w:type="dxa" w:w="850"/>
            <w:shd w:val="clear" w:color="auto" w:fill="F2F4F5"/>
          </w:tcPr>
          <w:p>
            <w:pPr>
              <w:spacing w:after="0" w:before="0"/>
              <w:jc w:val="center"/>
            </w:pPr>
            <w:r/>
            <w:r>
              <w:rPr>
                <w:rFonts w:ascii="Lato" w:hAnsi="Lato" w:cs="Lato"/>
                <w:b/>
                <w:i w:val="0"/>
                <w:color w:val="8A9095"/>
                <w:sz w:val="19"/>
              </w:rPr>
              <w:t>—</w:t>
            </w:r>
          </w:p>
        </w:tc>
        <w:tc>
          <w:tcPr>
            <w:tcW w:type="dxa" w:w="6917"/>
            <w:shd w:val="clear" w:color="auto" w:fill="F4F7F9"/>
          </w:tcPr>
          <w:p>
            <w:pPr>
              <w:spacing w:after="20" w:before="0"/>
            </w:pPr>
            <w:r/>
            <w:r>
              <w:rPr>
                <w:rFonts w:ascii="Lato" w:hAnsi="Lato" w:cs="Lato"/>
                <w:b w:val="0"/>
                <w:i w:val="0"/>
                <w:color w:val="2B2F33"/>
                <w:sz w:val="14"/>
              </w:rPr>
              <w:t>All exclude deliberate/dishonest acts of the insured but write back dishonest acts of employees. Equivalent.</w:t>
            </w:r>
          </w:p>
        </w:tc>
      </w:tr>
      <w:tr>
        <w:tc>
          <w:tcPr>
            <w:tcW w:type="dxa" w:w="2381"/>
          </w:tcPr>
          <w:p>
            <w:pPr>
              <w:spacing w:after="20" w:before="0"/>
            </w:pPr>
            <w:r/>
            <w:r>
              <w:rPr>
                <w:rFonts w:ascii="Lato" w:hAnsi="Lato" w:cs="Lato"/>
                <w:b/>
                <w:i w:val="0"/>
                <w:color w:val="00648B"/>
                <w:sz w:val="15"/>
              </w:rPr>
              <w:t>Bodily injury / property damage</w:t>
            </w:r>
          </w:p>
        </w:tc>
        <w:tc>
          <w:tcPr>
            <w:tcW w:type="dxa" w:w="850"/>
            <w:shd w:val="clear" w:color="auto" w:fill="E3F1E8"/>
          </w:tcPr>
          <w:p>
            <w:pPr>
              <w:spacing w:after="0" w:before="0"/>
              <w:jc w:val="center"/>
            </w:pPr>
            <w:r/>
            <w:r>
              <w:rPr>
                <w:rFonts w:ascii="Lato" w:hAnsi="Lato" w:cs="Lato"/>
                <w:b/>
                <w:i w:val="0"/>
                <w:color w:val="1B7A3D"/>
                <w:sz w:val="19"/>
              </w:rPr>
              <w:t>✓</w:t>
            </w:r>
          </w:p>
        </w:tc>
        <w:tc>
          <w:tcPr>
            <w:tcW w:type="dxa" w:w="850"/>
            <w:shd w:val="clear" w:color="auto" w:fill="E3F1E8"/>
          </w:tcPr>
          <w:p>
            <w:pPr>
              <w:spacing w:after="0" w:before="0"/>
              <w:jc w:val="center"/>
            </w:pPr>
            <w:r/>
            <w:r>
              <w:rPr>
                <w:rFonts w:ascii="Lato" w:hAnsi="Lato" w:cs="Lato"/>
                <w:b/>
                <w:i w:val="0"/>
                <w:color w:val="1B7A3D"/>
                <w:sz w:val="19"/>
              </w:rPr>
              <w:t>✓</w:t>
            </w:r>
          </w:p>
        </w:tc>
        <w:tc>
          <w:tcPr>
            <w:tcW w:type="dxa" w:w="850"/>
            <w:shd w:val="clear" w:color="auto" w:fill="E3F1E8"/>
          </w:tcPr>
          <w:p>
            <w:pPr>
              <w:spacing w:after="0" w:before="0"/>
              <w:jc w:val="center"/>
            </w:pPr>
            <w:r/>
            <w:r>
              <w:rPr>
                <w:rFonts w:ascii="Lato" w:hAnsi="Lato" w:cs="Lato"/>
                <w:b/>
                <w:i w:val="0"/>
                <w:color w:val="1B7A3D"/>
                <w:sz w:val="19"/>
              </w:rPr>
              <w:t>✓</w:t>
            </w:r>
          </w:p>
        </w:tc>
        <w:tc>
          <w:tcPr>
            <w:tcW w:type="dxa" w:w="850"/>
            <w:shd w:val="clear" w:color="auto" w:fill="F2F4F5"/>
          </w:tcPr>
          <w:p>
            <w:pPr>
              <w:spacing w:after="0" w:before="0"/>
              <w:jc w:val="center"/>
            </w:pPr>
            <w:r/>
            <w:r>
              <w:rPr>
                <w:rFonts w:ascii="Lato" w:hAnsi="Lato" w:cs="Lato"/>
                <w:b/>
                <w:i w:val="0"/>
                <w:color w:val="8A9095"/>
                <w:sz w:val="19"/>
              </w:rPr>
              <w:t>—</w:t>
            </w:r>
          </w:p>
        </w:tc>
        <w:tc>
          <w:tcPr>
            <w:tcW w:type="dxa" w:w="850"/>
            <w:shd w:val="clear" w:color="auto" w:fill="F2F4F5"/>
          </w:tcPr>
          <w:p>
            <w:pPr>
              <w:spacing w:after="0" w:before="0"/>
              <w:jc w:val="center"/>
            </w:pPr>
            <w:r/>
            <w:r>
              <w:rPr>
                <w:rFonts w:ascii="Lato" w:hAnsi="Lato" w:cs="Lato"/>
                <w:b/>
                <w:i w:val="0"/>
                <w:color w:val="8A9095"/>
                <w:sz w:val="19"/>
              </w:rPr>
              <w:t>—</w:t>
            </w:r>
          </w:p>
        </w:tc>
        <w:tc>
          <w:tcPr>
            <w:tcW w:type="dxa" w:w="850"/>
            <w:shd w:val="clear" w:color="auto" w:fill="F2F4F5"/>
          </w:tcPr>
          <w:p>
            <w:pPr>
              <w:spacing w:after="0" w:before="0"/>
              <w:jc w:val="center"/>
            </w:pPr>
            <w:r/>
            <w:r>
              <w:rPr>
                <w:rFonts w:ascii="Lato" w:hAnsi="Lato" w:cs="Lato"/>
                <w:b/>
                <w:i w:val="0"/>
                <w:color w:val="8A9095"/>
                <w:sz w:val="19"/>
              </w:rPr>
              <w:t>—</w:t>
            </w:r>
          </w:p>
        </w:tc>
        <w:tc>
          <w:tcPr>
            <w:tcW w:type="dxa" w:w="850"/>
            <w:shd w:val="clear" w:color="auto" w:fill="F2F4F5"/>
          </w:tcPr>
          <w:p>
            <w:pPr>
              <w:spacing w:after="0" w:before="0"/>
              <w:jc w:val="center"/>
            </w:pPr>
            <w:r/>
            <w:r>
              <w:rPr>
                <w:rFonts w:ascii="Lato" w:hAnsi="Lato" w:cs="Lato"/>
                <w:b/>
                <w:i w:val="0"/>
                <w:color w:val="8A9095"/>
                <w:sz w:val="19"/>
              </w:rPr>
              <w:t>—</w:t>
            </w:r>
          </w:p>
        </w:tc>
        <w:tc>
          <w:tcPr>
            <w:tcW w:type="dxa" w:w="6917"/>
          </w:tcPr>
          <w:p>
            <w:pPr>
              <w:spacing w:after="20" w:before="0"/>
            </w:pPr>
            <w:r/>
            <w:r>
              <w:rPr>
                <w:rFonts w:ascii="Lato" w:hAnsi="Lato" w:cs="Lato"/>
                <w:b w:val="0"/>
                <w:i w:val="0"/>
                <w:color w:val="2B2F33"/>
                <w:sz w:val="14"/>
              </w:rPr>
              <w:t>Excluded unless arising from negligent publication/advice. Equivalent.</w:t>
            </w:r>
          </w:p>
        </w:tc>
      </w:tr>
      <w:tr>
        <w:tc>
          <w:tcPr>
            <w:tcW w:type="dxa" w:w="2381"/>
            <w:shd w:val="clear" w:color="auto" w:fill="F4F7F9"/>
          </w:tcPr>
          <w:p>
            <w:pPr>
              <w:spacing w:after="20" w:before="0"/>
            </w:pPr>
            <w:r/>
            <w:r>
              <w:rPr>
                <w:rFonts w:ascii="Lato" w:hAnsi="Lato" w:cs="Lato"/>
                <w:b/>
                <w:i w:val="0"/>
                <w:color w:val="00648B"/>
                <w:sz w:val="15"/>
              </w:rPr>
              <w:t>Fines / penalties / punitive damages</w:t>
            </w:r>
          </w:p>
        </w:tc>
        <w:tc>
          <w:tcPr>
            <w:tcW w:type="dxa" w:w="850"/>
            <w:shd w:val="clear" w:color="auto" w:fill="FBF1DA"/>
          </w:tcPr>
          <w:p>
            <w:pPr>
              <w:spacing w:after="0" w:before="0"/>
              <w:jc w:val="center"/>
            </w:pPr>
            <w:r/>
            <w:r>
              <w:rPr>
                <w:rFonts w:ascii="Lato" w:hAnsi="Lato" w:cs="Lato"/>
                <w:b/>
                <w:i w:val="0"/>
                <w:color w:val="8A6A1E"/>
                <w:sz w:val="19"/>
              </w:rPr>
              <w:t>◐</w:t>
            </w:r>
          </w:p>
        </w:tc>
        <w:tc>
          <w:tcPr>
            <w:tcW w:type="dxa" w:w="850"/>
            <w:shd w:val="clear" w:color="auto" w:fill="EEF1F3"/>
          </w:tcPr>
          <w:p>
            <w:pPr>
              <w:spacing w:after="0" w:before="0"/>
              <w:jc w:val="center"/>
            </w:pPr>
            <w:r/>
            <w:r>
              <w:rPr>
                <w:rFonts w:ascii="Lato" w:hAnsi="Lato" w:cs="Lato"/>
                <w:b/>
                <w:i w:val="0"/>
                <w:color w:val="5B6166"/>
                <w:sz w:val="19"/>
              </w:rPr>
              <w:t>?</w:t>
            </w:r>
          </w:p>
        </w:tc>
        <w:tc>
          <w:tcPr>
            <w:tcW w:type="dxa" w:w="850"/>
            <w:shd w:val="clear" w:color="auto" w:fill="EEF1F3"/>
          </w:tcPr>
          <w:p>
            <w:pPr>
              <w:spacing w:after="0" w:before="0"/>
              <w:jc w:val="center"/>
            </w:pPr>
            <w:r/>
            <w:r>
              <w:rPr>
                <w:rFonts w:ascii="Lato" w:hAnsi="Lato" w:cs="Lato"/>
                <w:b/>
                <w:i w:val="0"/>
                <w:color w:val="5B6166"/>
                <w:sz w:val="19"/>
              </w:rPr>
              <w:t>?</w:t>
            </w:r>
          </w:p>
        </w:tc>
        <w:tc>
          <w:tcPr>
            <w:tcW w:type="dxa" w:w="850"/>
            <w:shd w:val="clear" w:color="auto" w:fill="F2F4F5"/>
          </w:tcPr>
          <w:p>
            <w:pPr>
              <w:spacing w:after="0" w:before="0"/>
              <w:jc w:val="center"/>
            </w:pPr>
            <w:r/>
            <w:r>
              <w:rPr>
                <w:rFonts w:ascii="Lato" w:hAnsi="Lato" w:cs="Lato"/>
                <w:b/>
                <w:i w:val="0"/>
                <w:color w:val="8A9095"/>
                <w:sz w:val="19"/>
              </w:rPr>
              <w:t>—</w:t>
            </w:r>
          </w:p>
        </w:tc>
        <w:tc>
          <w:tcPr>
            <w:tcW w:type="dxa" w:w="850"/>
            <w:shd w:val="clear" w:color="auto" w:fill="F2F4F5"/>
          </w:tcPr>
          <w:p>
            <w:pPr>
              <w:spacing w:after="0" w:before="0"/>
              <w:jc w:val="center"/>
            </w:pPr>
            <w:r/>
            <w:r>
              <w:rPr>
                <w:rFonts w:ascii="Lato" w:hAnsi="Lato" w:cs="Lato"/>
                <w:b/>
                <w:i w:val="0"/>
                <w:color w:val="8A9095"/>
                <w:sz w:val="19"/>
              </w:rPr>
              <w:t>—</w:t>
            </w:r>
          </w:p>
        </w:tc>
        <w:tc>
          <w:tcPr>
            <w:tcW w:type="dxa" w:w="850"/>
            <w:shd w:val="clear" w:color="auto" w:fill="F2F4F5"/>
          </w:tcPr>
          <w:p>
            <w:pPr>
              <w:spacing w:after="0" w:before="0"/>
              <w:jc w:val="center"/>
            </w:pPr>
            <w:r/>
            <w:r>
              <w:rPr>
                <w:rFonts w:ascii="Lato" w:hAnsi="Lato" w:cs="Lato"/>
                <w:b/>
                <w:i w:val="0"/>
                <w:color w:val="8A9095"/>
                <w:sz w:val="19"/>
              </w:rPr>
              <w:t>—</w:t>
            </w:r>
          </w:p>
        </w:tc>
        <w:tc>
          <w:tcPr>
            <w:tcW w:type="dxa" w:w="850"/>
            <w:shd w:val="clear" w:color="auto" w:fill="F2F4F5"/>
          </w:tcPr>
          <w:p>
            <w:pPr>
              <w:spacing w:after="0" w:before="0"/>
              <w:jc w:val="center"/>
            </w:pPr>
            <w:r/>
            <w:r>
              <w:rPr>
                <w:rFonts w:ascii="Lato" w:hAnsi="Lato" w:cs="Lato"/>
                <w:b/>
                <w:i w:val="0"/>
                <w:color w:val="8A9095"/>
                <w:sz w:val="19"/>
              </w:rPr>
              <w:t>—</w:t>
            </w:r>
          </w:p>
        </w:tc>
        <w:tc>
          <w:tcPr>
            <w:tcW w:type="dxa" w:w="6917"/>
            <w:shd w:val="clear" w:color="auto" w:fill="F4F7F9"/>
          </w:tcPr>
          <w:p>
            <w:pPr>
              <w:spacing w:after="20" w:before="0"/>
            </w:pPr>
            <w:r/>
            <w:r>
              <w:rPr>
                <w:rFonts w:ascii="Lato" w:hAnsi="Lato" w:cs="Lato"/>
                <w:b w:val="0"/>
                <w:i w:val="0"/>
                <w:color w:val="2B2F33"/>
                <w:sz w:val="14"/>
              </w:rPr>
              <w:t>TMHCC excludes non-compensatory damages BUT writes back libel/slander/defamation awards and punitive damages where the law permits — a favourable carve-back. (Note: AXA XL’s general policy excludes punitive/exemplary damages and fines ABSOLUTELY, with no write-back — TMHCC is clearer/broader.)</w:t>
            </w:r>
          </w:p>
        </w:tc>
      </w:tr>
      <w:tr>
        <w:tc>
          <w:tcPr>
            <w:tcW w:type="dxa" w:w="2381"/>
          </w:tcPr>
          <w:p>
            <w:pPr>
              <w:spacing w:after="20" w:before="0"/>
            </w:pPr>
            <w:r/>
            <w:r>
              <w:rPr>
                <w:rFonts w:ascii="Lato" w:hAnsi="Lato" w:cs="Lato"/>
                <w:b/>
                <w:i w:val="0"/>
                <w:color w:val="00648B"/>
                <w:sz w:val="15"/>
              </w:rPr>
              <w:t>Prior known claims / circumstances</w:t>
            </w:r>
          </w:p>
        </w:tc>
        <w:tc>
          <w:tcPr>
            <w:tcW w:type="dxa" w:w="850"/>
            <w:shd w:val="clear" w:color="auto" w:fill="E3F1E8"/>
          </w:tcPr>
          <w:p>
            <w:pPr>
              <w:spacing w:after="0" w:before="0"/>
              <w:jc w:val="center"/>
            </w:pPr>
            <w:r/>
            <w:r>
              <w:rPr>
                <w:rFonts w:ascii="Lato" w:hAnsi="Lato" w:cs="Lato"/>
                <w:b/>
                <w:i w:val="0"/>
                <w:color w:val="1B7A3D"/>
                <w:sz w:val="19"/>
              </w:rPr>
              <w:t>✓</w:t>
            </w:r>
          </w:p>
        </w:tc>
        <w:tc>
          <w:tcPr>
            <w:tcW w:type="dxa" w:w="850"/>
            <w:shd w:val="clear" w:color="auto" w:fill="E3F1E8"/>
          </w:tcPr>
          <w:p>
            <w:pPr>
              <w:spacing w:after="0" w:before="0"/>
              <w:jc w:val="center"/>
            </w:pPr>
            <w:r/>
            <w:r>
              <w:rPr>
                <w:rFonts w:ascii="Lato" w:hAnsi="Lato" w:cs="Lato"/>
                <w:b/>
                <w:i w:val="0"/>
                <w:color w:val="1B7A3D"/>
                <w:sz w:val="19"/>
              </w:rPr>
              <w:t>✓</w:t>
            </w:r>
          </w:p>
        </w:tc>
        <w:tc>
          <w:tcPr>
            <w:tcW w:type="dxa" w:w="850"/>
            <w:shd w:val="clear" w:color="auto" w:fill="E3F1E8"/>
          </w:tcPr>
          <w:p>
            <w:pPr>
              <w:spacing w:after="0" w:before="0"/>
              <w:jc w:val="center"/>
            </w:pPr>
            <w:r/>
            <w:r>
              <w:rPr>
                <w:rFonts w:ascii="Lato" w:hAnsi="Lato" w:cs="Lato"/>
                <w:b/>
                <w:i w:val="0"/>
                <w:color w:val="1B7A3D"/>
                <w:sz w:val="19"/>
              </w:rPr>
              <w:t>✓</w:t>
            </w:r>
          </w:p>
        </w:tc>
        <w:tc>
          <w:tcPr>
            <w:tcW w:type="dxa" w:w="850"/>
            <w:shd w:val="clear" w:color="auto" w:fill="F2F4F5"/>
          </w:tcPr>
          <w:p>
            <w:pPr>
              <w:spacing w:after="0" w:before="0"/>
              <w:jc w:val="center"/>
            </w:pPr>
            <w:r/>
            <w:r>
              <w:rPr>
                <w:rFonts w:ascii="Lato" w:hAnsi="Lato" w:cs="Lato"/>
                <w:b/>
                <w:i w:val="0"/>
                <w:color w:val="8A9095"/>
                <w:sz w:val="19"/>
              </w:rPr>
              <w:t>—</w:t>
            </w:r>
          </w:p>
        </w:tc>
        <w:tc>
          <w:tcPr>
            <w:tcW w:type="dxa" w:w="850"/>
            <w:shd w:val="clear" w:color="auto" w:fill="F2F4F5"/>
          </w:tcPr>
          <w:p>
            <w:pPr>
              <w:spacing w:after="0" w:before="0"/>
              <w:jc w:val="center"/>
            </w:pPr>
            <w:r/>
            <w:r>
              <w:rPr>
                <w:rFonts w:ascii="Lato" w:hAnsi="Lato" w:cs="Lato"/>
                <w:b/>
                <w:i w:val="0"/>
                <w:color w:val="8A9095"/>
                <w:sz w:val="19"/>
              </w:rPr>
              <w:t>—</w:t>
            </w:r>
          </w:p>
        </w:tc>
        <w:tc>
          <w:tcPr>
            <w:tcW w:type="dxa" w:w="850"/>
            <w:shd w:val="clear" w:color="auto" w:fill="F2F4F5"/>
          </w:tcPr>
          <w:p>
            <w:pPr>
              <w:spacing w:after="0" w:before="0"/>
              <w:jc w:val="center"/>
            </w:pPr>
            <w:r/>
            <w:r>
              <w:rPr>
                <w:rFonts w:ascii="Lato" w:hAnsi="Lato" w:cs="Lato"/>
                <w:b/>
                <w:i w:val="0"/>
                <w:color w:val="8A9095"/>
                <w:sz w:val="19"/>
              </w:rPr>
              <w:t>—</w:t>
            </w:r>
          </w:p>
        </w:tc>
        <w:tc>
          <w:tcPr>
            <w:tcW w:type="dxa" w:w="850"/>
            <w:shd w:val="clear" w:color="auto" w:fill="F2F4F5"/>
          </w:tcPr>
          <w:p>
            <w:pPr>
              <w:spacing w:after="0" w:before="0"/>
              <w:jc w:val="center"/>
            </w:pPr>
            <w:r/>
            <w:r>
              <w:rPr>
                <w:rFonts w:ascii="Lato" w:hAnsi="Lato" w:cs="Lato"/>
                <w:b/>
                <w:i w:val="0"/>
                <w:color w:val="8A9095"/>
                <w:sz w:val="19"/>
              </w:rPr>
              <w:t>—</w:t>
            </w:r>
          </w:p>
        </w:tc>
        <w:tc>
          <w:tcPr>
            <w:tcW w:type="dxa" w:w="6917"/>
          </w:tcPr>
          <w:p>
            <w:pPr>
              <w:spacing w:after="20" w:before="0"/>
            </w:pPr>
            <w:r/>
            <w:r>
              <w:rPr>
                <w:rFonts w:ascii="Lato" w:hAnsi="Lato" w:cs="Lato"/>
                <w:b w:val="0"/>
                <w:i w:val="0"/>
                <w:color w:val="2B2F33"/>
                <w:sz w:val="14"/>
              </w:rPr>
              <w:t>Excluded by all three (claims-made hygiene). Equivalent.</w:t>
            </w:r>
          </w:p>
        </w:tc>
      </w:tr>
      <w:tr>
        <w:tc>
          <w:tcPr>
            <w:tcW w:type="dxa" w:w="2381"/>
            <w:shd w:val="clear" w:color="auto" w:fill="F4F7F9"/>
          </w:tcPr>
          <w:p>
            <w:pPr>
              <w:spacing w:after="20" w:before="0"/>
            </w:pPr>
            <w:r/>
            <w:r>
              <w:rPr>
                <w:rFonts w:ascii="Lato" w:hAnsi="Lato" w:cs="Lato"/>
                <w:b/>
                <w:i w:val="0"/>
                <w:color w:val="00648B"/>
                <w:sz w:val="15"/>
              </w:rPr>
              <w:t>Insolvency / financial failure of the insured</w:t>
            </w:r>
          </w:p>
        </w:tc>
        <w:tc>
          <w:tcPr>
            <w:tcW w:type="dxa" w:w="850"/>
            <w:shd w:val="clear" w:color="auto" w:fill="E3F1E8"/>
          </w:tcPr>
          <w:p>
            <w:pPr>
              <w:spacing w:after="0" w:before="0"/>
              <w:jc w:val="center"/>
            </w:pPr>
            <w:r/>
            <w:r>
              <w:rPr>
                <w:rFonts w:ascii="Lato" w:hAnsi="Lato" w:cs="Lato"/>
                <w:b/>
                <w:i w:val="0"/>
                <w:color w:val="1B7A3D"/>
                <w:sz w:val="19"/>
              </w:rPr>
              <w:t>✓</w:t>
            </w:r>
          </w:p>
        </w:tc>
        <w:tc>
          <w:tcPr>
            <w:tcW w:type="dxa" w:w="850"/>
            <w:shd w:val="clear" w:color="auto" w:fill="EEF1F3"/>
          </w:tcPr>
          <w:p>
            <w:pPr>
              <w:spacing w:after="0" w:before="0"/>
              <w:jc w:val="center"/>
            </w:pPr>
            <w:r/>
            <w:r>
              <w:rPr>
                <w:rFonts w:ascii="Lato" w:hAnsi="Lato" w:cs="Lato"/>
                <w:b/>
                <w:i w:val="0"/>
                <w:color w:val="5B6166"/>
                <w:sz w:val="19"/>
              </w:rPr>
              <w:t>?</w:t>
            </w:r>
          </w:p>
        </w:tc>
        <w:tc>
          <w:tcPr>
            <w:tcW w:type="dxa" w:w="850"/>
            <w:shd w:val="clear" w:color="auto" w:fill="EEF1F3"/>
          </w:tcPr>
          <w:p>
            <w:pPr>
              <w:spacing w:after="0" w:before="0"/>
              <w:jc w:val="center"/>
            </w:pPr>
            <w:r/>
            <w:r>
              <w:rPr>
                <w:rFonts w:ascii="Lato" w:hAnsi="Lato" w:cs="Lato"/>
                <w:b/>
                <w:i w:val="0"/>
                <w:color w:val="5B6166"/>
                <w:sz w:val="19"/>
              </w:rPr>
              <w:t>?</w:t>
            </w:r>
          </w:p>
        </w:tc>
        <w:tc>
          <w:tcPr>
            <w:tcW w:type="dxa" w:w="850"/>
            <w:shd w:val="clear" w:color="auto" w:fill="F2F4F5"/>
          </w:tcPr>
          <w:p>
            <w:pPr>
              <w:spacing w:after="0" w:before="0"/>
              <w:jc w:val="center"/>
            </w:pPr>
            <w:r/>
            <w:r>
              <w:rPr>
                <w:rFonts w:ascii="Lato" w:hAnsi="Lato" w:cs="Lato"/>
                <w:b/>
                <w:i w:val="0"/>
                <w:color w:val="8A9095"/>
                <w:sz w:val="19"/>
              </w:rPr>
              <w:t>—</w:t>
            </w:r>
          </w:p>
        </w:tc>
        <w:tc>
          <w:tcPr>
            <w:tcW w:type="dxa" w:w="850"/>
            <w:shd w:val="clear" w:color="auto" w:fill="F2F4F5"/>
          </w:tcPr>
          <w:p>
            <w:pPr>
              <w:spacing w:after="0" w:before="0"/>
              <w:jc w:val="center"/>
            </w:pPr>
            <w:r/>
            <w:r>
              <w:rPr>
                <w:rFonts w:ascii="Lato" w:hAnsi="Lato" w:cs="Lato"/>
                <w:b/>
                <w:i w:val="0"/>
                <w:color w:val="8A9095"/>
                <w:sz w:val="19"/>
              </w:rPr>
              <w:t>—</w:t>
            </w:r>
          </w:p>
        </w:tc>
        <w:tc>
          <w:tcPr>
            <w:tcW w:type="dxa" w:w="850"/>
            <w:shd w:val="clear" w:color="auto" w:fill="F2F4F5"/>
          </w:tcPr>
          <w:p>
            <w:pPr>
              <w:spacing w:after="0" w:before="0"/>
              <w:jc w:val="center"/>
            </w:pPr>
            <w:r/>
            <w:r>
              <w:rPr>
                <w:rFonts w:ascii="Lato" w:hAnsi="Lato" w:cs="Lato"/>
                <w:b/>
                <w:i w:val="0"/>
                <w:color w:val="8A9095"/>
                <w:sz w:val="19"/>
              </w:rPr>
              <w:t>—</w:t>
            </w:r>
          </w:p>
        </w:tc>
        <w:tc>
          <w:tcPr>
            <w:tcW w:type="dxa" w:w="850"/>
            <w:shd w:val="clear" w:color="auto" w:fill="F2F4F5"/>
          </w:tcPr>
          <w:p>
            <w:pPr>
              <w:spacing w:after="0" w:before="0"/>
              <w:jc w:val="center"/>
            </w:pPr>
            <w:r/>
            <w:r>
              <w:rPr>
                <w:rFonts w:ascii="Lato" w:hAnsi="Lato" w:cs="Lato"/>
                <w:b/>
                <w:i w:val="0"/>
                <w:color w:val="8A9095"/>
                <w:sz w:val="19"/>
              </w:rPr>
              <w:t>—</w:t>
            </w:r>
          </w:p>
        </w:tc>
        <w:tc>
          <w:tcPr>
            <w:tcW w:type="dxa" w:w="6917"/>
            <w:shd w:val="clear" w:color="auto" w:fill="F4F7F9"/>
          </w:tcPr>
          <w:p>
            <w:pPr>
              <w:spacing w:after="20" w:before="0"/>
            </w:pPr>
            <w:r/>
            <w:r>
              <w:rPr>
                <w:rFonts w:ascii="Lato" w:hAnsi="Lato" w:cs="Lato"/>
                <w:b w:val="0"/>
                <w:i w:val="0"/>
                <w:color w:val="2B2F33"/>
                <w:sz w:val="14"/>
              </w:rPr>
              <w:t>TMHCC expressly excludes claims arising from its own insolvency/liquidation. Competitor positions require review.</w:t>
            </w:r>
          </w:p>
        </w:tc>
      </w:tr>
      <w:tr>
        <w:tc>
          <w:tcPr>
            <w:tcW w:type="dxa" w:w="2381"/>
          </w:tcPr>
          <w:p>
            <w:pPr>
              <w:spacing w:after="20" w:before="0"/>
            </w:pPr>
            <w:r/>
            <w:r>
              <w:rPr>
                <w:rFonts w:ascii="Lato" w:hAnsi="Lato" w:cs="Lato"/>
                <w:b/>
                <w:i w:val="0"/>
                <w:color w:val="00648B"/>
                <w:sz w:val="15"/>
              </w:rPr>
              <w:t>USA / Canada jurisdiction</w:t>
            </w:r>
          </w:p>
        </w:tc>
        <w:tc>
          <w:tcPr>
            <w:tcW w:type="dxa" w:w="850"/>
            <w:shd w:val="clear" w:color="auto" w:fill="E3F1E8"/>
          </w:tcPr>
          <w:p>
            <w:pPr>
              <w:spacing w:after="0" w:before="0"/>
              <w:jc w:val="center"/>
            </w:pPr>
            <w:r/>
            <w:r>
              <w:rPr>
                <w:rFonts w:ascii="Lato" w:hAnsi="Lato" w:cs="Lato"/>
                <w:b/>
                <w:i w:val="0"/>
                <w:color w:val="1B7A3D"/>
                <w:sz w:val="19"/>
              </w:rPr>
              <w:t>✓</w:t>
            </w:r>
          </w:p>
        </w:tc>
        <w:tc>
          <w:tcPr>
            <w:tcW w:type="dxa" w:w="850"/>
            <w:shd w:val="clear" w:color="auto" w:fill="FBE6EA"/>
          </w:tcPr>
          <w:p>
            <w:pPr>
              <w:spacing w:after="0" w:before="0"/>
              <w:jc w:val="center"/>
            </w:pPr>
            <w:r/>
            <w:r>
              <w:rPr>
                <w:rFonts w:ascii="Lato" w:hAnsi="Lato" w:cs="Lato"/>
                <w:b/>
                <w:i w:val="0"/>
                <w:color w:val="A4233B"/>
                <w:sz w:val="19"/>
              </w:rPr>
              <w:t>✗</w:t>
            </w:r>
          </w:p>
        </w:tc>
        <w:tc>
          <w:tcPr>
            <w:tcW w:type="dxa" w:w="850"/>
            <w:shd w:val="clear" w:color="auto" w:fill="FBF1DA"/>
          </w:tcPr>
          <w:p>
            <w:pPr>
              <w:spacing w:after="0" w:before="0"/>
              <w:jc w:val="center"/>
            </w:pPr>
            <w:r/>
            <w:r>
              <w:rPr>
                <w:rFonts w:ascii="Lato" w:hAnsi="Lato" w:cs="Lato"/>
                <w:b/>
                <w:i w:val="0"/>
                <w:color w:val="8A6A1E"/>
                <w:sz w:val="19"/>
              </w:rPr>
              <w:t>◐</w:t>
            </w:r>
          </w:p>
        </w:tc>
        <w:tc>
          <w:tcPr>
            <w:tcW w:type="dxa" w:w="850"/>
            <w:shd w:val="clear" w:color="auto" w:fill="F2F4F5"/>
          </w:tcPr>
          <w:p>
            <w:pPr>
              <w:spacing w:after="0" w:before="0"/>
              <w:jc w:val="center"/>
            </w:pPr>
            <w:r/>
            <w:r>
              <w:rPr>
                <w:rFonts w:ascii="Lato" w:hAnsi="Lato" w:cs="Lato"/>
                <w:b/>
                <w:i w:val="0"/>
                <w:color w:val="8A9095"/>
                <w:sz w:val="19"/>
              </w:rPr>
              <w:t>—</w:t>
            </w:r>
          </w:p>
        </w:tc>
        <w:tc>
          <w:tcPr>
            <w:tcW w:type="dxa" w:w="850"/>
            <w:shd w:val="clear" w:color="auto" w:fill="F2F4F5"/>
          </w:tcPr>
          <w:p>
            <w:pPr>
              <w:spacing w:after="0" w:before="0"/>
              <w:jc w:val="center"/>
            </w:pPr>
            <w:r/>
            <w:r>
              <w:rPr>
                <w:rFonts w:ascii="Lato" w:hAnsi="Lato" w:cs="Lato"/>
                <w:b/>
                <w:i w:val="0"/>
                <w:color w:val="8A9095"/>
                <w:sz w:val="19"/>
              </w:rPr>
              <w:t>—</w:t>
            </w:r>
          </w:p>
        </w:tc>
        <w:tc>
          <w:tcPr>
            <w:tcW w:type="dxa" w:w="850"/>
            <w:shd w:val="clear" w:color="auto" w:fill="F2F4F5"/>
          </w:tcPr>
          <w:p>
            <w:pPr>
              <w:spacing w:after="0" w:before="0"/>
              <w:jc w:val="center"/>
            </w:pPr>
            <w:r/>
            <w:r>
              <w:rPr>
                <w:rFonts w:ascii="Lato" w:hAnsi="Lato" w:cs="Lato"/>
                <w:b/>
                <w:i w:val="0"/>
                <w:color w:val="8A9095"/>
                <w:sz w:val="19"/>
              </w:rPr>
              <w:t>—</w:t>
            </w:r>
          </w:p>
        </w:tc>
        <w:tc>
          <w:tcPr>
            <w:tcW w:type="dxa" w:w="850"/>
            <w:shd w:val="clear" w:color="auto" w:fill="F2F4F5"/>
          </w:tcPr>
          <w:p>
            <w:pPr>
              <w:spacing w:after="0" w:before="0"/>
              <w:jc w:val="center"/>
            </w:pPr>
            <w:r/>
            <w:r>
              <w:rPr>
                <w:rFonts w:ascii="Lato" w:hAnsi="Lato" w:cs="Lato"/>
                <w:b/>
                <w:i w:val="0"/>
                <w:color w:val="8A9095"/>
                <w:sz w:val="19"/>
              </w:rPr>
              <w:t>—</w:t>
            </w:r>
          </w:p>
        </w:tc>
        <w:tc>
          <w:tcPr>
            <w:tcW w:type="dxa" w:w="6917"/>
          </w:tcPr>
          <w:p>
            <w:pPr>
              <w:spacing w:after="20" w:before="0"/>
            </w:pPr>
            <w:r/>
            <w:r>
              <w:rPr>
                <w:rFonts w:ascii="Lato" w:hAnsi="Lato" w:cs="Lato"/>
                <w:b w:val="0"/>
                <w:i w:val="0"/>
                <w:color w:val="2B2F33"/>
                <w:sz w:val="14"/>
              </w:rPr>
              <w:t>TMHCC excludes actions brought / governed outside the stated Jurisdiction (default ex-US/Canada). Tysers PI is WORLDWIDE. Yutree restricts US/Canada exposure. Competitor (Tysers) broader.</w:t>
            </w:r>
          </w:p>
        </w:tc>
      </w:tr>
      <w:tr>
        <w:tc>
          <w:tcPr>
            <w:tcW w:type="dxa" w:w="2381"/>
            <w:shd w:val="clear" w:color="auto" w:fill="F4F7F9"/>
          </w:tcPr>
          <w:p>
            <w:pPr>
              <w:spacing w:after="20" w:before="0"/>
            </w:pPr>
            <w:r/>
            <w:r>
              <w:rPr>
                <w:rFonts w:ascii="Lato" w:hAnsi="Lato" w:cs="Lato"/>
                <w:b/>
                <w:i w:val="0"/>
                <w:color w:val="00648B"/>
                <w:sz w:val="15"/>
              </w:rPr>
              <w:t>Patent infringement</w:t>
            </w:r>
          </w:p>
        </w:tc>
        <w:tc>
          <w:tcPr>
            <w:tcW w:type="dxa" w:w="850"/>
            <w:shd w:val="clear" w:color="auto" w:fill="E3F1E8"/>
          </w:tcPr>
          <w:p>
            <w:pPr>
              <w:spacing w:after="0" w:before="0"/>
              <w:jc w:val="center"/>
            </w:pPr>
            <w:r/>
            <w:r>
              <w:rPr>
                <w:rFonts w:ascii="Lato" w:hAnsi="Lato" w:cs="Lato"/>
                <w:b/>
                <w:i w:val="0"/>
                <w:color w:val="1B7A3D"/>
                <w:sz w:val="19"/>
              </w:rPr>
              <w:t>✓</w:t>
            </w:r>
          </w:p>
        </w:tc>
        <w:tc>
          <w:tcPr>
            <w:tcW w:type="dxa" w:w="850"/>
            <w:shd w:val="clear" w:color="auto" w:fill="FBE6EA"/>
          </w:tcPr>
          <w:p>
            <w:pPr>
              <w:spacing w:after="0" w:before="0"/>
              <w:jc w:val="center"/>
            </w:pPr>
            <w:r/>
            <w:r>
              <w:rPr>
                <w:rFonts w:ascii="Lato" w:hAnsi="Lato" w:cs="Lato"/>
                <w:b/>
                <w:i w:val="0"/>
                <w:color w:val="A4233B"/>
                <w:sz w:val="19"/>
              </w:rPr>
              <w:t>✗</w:t>
            </w:r>
          </w:p>
        </w:tc>
        <w:tc>
          <w:tcPr>
            <w:tcW w:type="dxa" w:w="850"/>
            <w:shd w:val="clear" w:color="auto" w:fill="E3F1E8"/>
          </w:tcPr>
          <w:p>
            <w:pPr>
              <w:spacing w:after="0" w:before="0"/>
              <w:jc w:val="center"/>
            </w:pPr>
            <w:r/>
            <w:r>
              <w:rPr>
                <w:rFonts w:ascii="Lato" w:hAnsi="Lato" w:cs="Lato"/>
                <w:b/>
                <w:i w:val="0"/>
                <w:color w:val="1B7A3D"/>
                <w:sz w:val="19"/>
              </w:rPr>
              <w:t>✓</w:t>
            </w:r>
          </w:p>
        </w:tc>
        <w:tc>
          <w:tcPr>
            <w:tcW w:type="dxa" w:w="850"/>
            <w:shd w:val="clear" w:color="auto" w:fill="F2F4F5"/>
          </w:tcPr>
          <w:p>
            <w:pPr>
              <w:spacing w:after="0" w:before="0"/>
              <w:jc w:val="center"/>
            </w:pPr>
            <w:r/>
            <w:r>
              <w:rPr>
                <w:rFonts w:ascii="Lato" w:hAnsi="Lato" w:cs="Lato"/>
                <w:b/>
                <w:i w:val="0"/>
                <w:color w:val="8A9095"/>
                <w:sz w:val="19"/>
              </w:rPr>
              <w:t>—</w:t>
            </w:r>
          </w:p>
        </w:tc>
        <w:tc>
          <w:tcPr>
            <w:tcW w:type="dxa" w:w="850"/>
            <w:shd w:val="clear" w:color="auto" w:fill="F2F4F5"/>
          </w:tcPr>
          <w:p>
            <w:pPr>
              <w:spacing w:after="0" w:before="0"/>
              <w:jc w:val="center"/>
            </w:pPr>
            <w:r/>
            <w:r>
              <w:rPr>
                <w:rFonts w:ascii="Lato" w:hAnsi="Lato" w:cs="Lato"/>
                <w:b/>
                <w:i w:val="0"/>
                <w:color w:val="8A9095"/>
                <w:sz w:val="19"/>
              </w:rPr>
              <w:t>—</w:t>
            </w:r>
          </w:p>
        </w:tc>
        <w:tc>
          <w:tcPr>
            <w:tcW w:type="dxa" w:w="850"/>
            <w:shd w:val="clear" w:color="auto" w:fill="F2F4F5"/>
          </w:tcPr>
          <w:p>
            <w:pPr>
              <w:spacing w:after="0" w:before="0"/>
              <w:jc w:val="center"/>
            </w:pPr>
            <w:r/>
            <w:r>
              <w:rPr>
                <w:rFonts w:ascii="Lato" w:hAnsi="Lato" w:cs="Lato"/>
                <w:b/>
                <w:i w:val="0"/>
                <w:color w:val="8A9095"/>
                <w:sz w:val="19"/>
              </w:rPr>
              <w:t>—</w:t>
            </w:r>
          </w:p>
        </w:tc>
        <w:tc>
          <w:tcPr>
            <w:tcW w:type="dxa" w:w="850"/>
            <w:shd w:val="clear" w:color="auto" w:fill="F2F4F5"/>
          </w:tcPr>
          <w:p>
            <w:pPr>
              <w:spacing w:after="0" w:before="0"/>
              <w:jc w:val="center"/>
            </w:pPr>
            <w:r/>
            <w:r>
              <w:rPr>
                <w:rFonts w:ascii="Lato" w:hAnsi="Lato" w:cs="Lato"/>
                <w:b/>
                <w:i w:val="0"/>
                <w:color w:val="8A9095"/>
                <w:sz w:val="19"/>
              </w:rPr>
              <w:t>—</w:t>
            </w:r>
          </w:p>
        </w:tc>
        <w:tc>
          <w:tcPr>
            <w:tcW w:type="dxa" w:w="6917"/>
            <w:shd w:val="clear" w:color="auto" w:fill="F4F7F9"/>
          </w:tcPr>
          <w:p>
            <w:pPr>
              <w:spacing w:after="20" w:before="0"/>
            </w:pPr>
            <w:r/>
            <w:r>
              <w:rPr>
                <w:rFonts w:ascii="Lato" w:hAnsi="Lato" w:cs="Lato"/>
                <w:b w:val="0"/>
                <w:i w:val="0"/>
                <w:color w:val="2B2F33"/>
                <w:sz w:val="14"/>
              </w:rPr>
              <w:t>TMHCC and Yutree exclude patents; Tysers covers patent infringement. TMHCC sensibly more restrictive.</w:t>
            </w:r>
          </w:p>
        </w:tc>
      </w:tr>
      <w:tr>
        <w:tc>
          <w:tcPr>
            <w:tcW w:type="dxa" w:w="2381"/>
          </w:tcPr>
          <w:p>
            <w:pPr>
              <w:spacing w:after="20" w:before="0"/>
            </w:pPr>
            <w:r/>
            <w:r>
              <w:rPr>
                <w:rFonts w:ascii="Lato" w:hAnsi="Lato" w:cs="Lato"/>
                <w:b/>
                <w:i w:val="0"/>
                <w:color w:val="00648B"/>
                <w:sz w:val="15"/>
              </w:rPr>
              <w:t>Cyber act / breach of data-protection law (within PI)</w:t>
            </w:r>
          </w:p>
        </w:tc>
        <w:tc>
          <w:tcPr>
            <w:tcW w:type="dxa" w:w="850"/>
            <w:shd w:val="clear" w:color="auto" w:fill="FBE6EA"/>
          </w:tcPr>
          <w:p>
            <w:pPr>
              <w:spacing w:after="0" w:before="0"/>
              <w:jc w:val="center"/>
            </w:pPr>
            <w:r/>
            <w:r>
              <w:rPr>
                <w:rFonts w:ascii="Lato" w:hAnsi="Lato" w:cs="Lato"/>
                <w:b/>
                <w:i w:val="0"/>
                <w:color w:val="A4233B"/>
                <w:sz w:val="19"/>
              </w:rPr>
              <w:t>✗</w:t>
            </w:r>
          </w:p>
        </w:tc>
        <w:tc>
          <w:tcPr>
            <w:tcW w:type="dxa" w:w="850"/>
            <w:shd w:val="clear" w:color="auto" w:fill="FBE6EA"/>
          </w:tcPr>
          <w:p>
            <w:pPr>
              <w:spacing w:after="0" w:before="0"/>
              <w:jc w:val="center"/>
            </w:pPr>
            <w:r/>
            <w:r>
              <w:rPr>
                <w:rFonts w:ascii="Lato" w:hAnsi="Lato" w:cs="Lato"/>
                <w:b/>
                <w:i w:val="0"/>
                <w:color w:val="A4233B"/>
                <w:sz w:val="19"/>
              </w:rPr>
              <w:t>✗</w:t>
            </w:r>
          </w:p>
        </w:tc>
        <w:tc>
          <w:tcPr>
            <w:tcW w:type="dxa" w:w="850"/>
            <w:shd w:val="clear" w:color="auto" w:fill="E3F1E8"/>
          </w:tcPr>
          <w:p>
            <w:pPr>
              <w:spacing w:after="0" w:before="0"/>
              <w:jc w:val="center"/>
            </w:pPr>
            <w:r/>
            <w:r>
              <w:rPr>
                <w:rFonts w:ascii="Lato" w:hAnsi="Lato" w:cs="Lato"/>
                <w:b/>
                <w:i w:val="0"/>
                <w:color w:val="1B7A3D"/>
                <w:sz w:val="19"/>
              </w:rPr>
              <w:t>✓</w:t>
            </w:r>
          </w:p>
        </w:tc>
        <w:tc>
          <w:tcPr>
            <w:tcW w:type="dxa" w:w="850"/>
            <w:shd w:val="clear" w:color="auto" w:fill="F2F4F5"/>
          </w:tcPr>
          <w:p>
            <w:pPr>
              <w:spacing w:after="0" w:before="0"/>
              <w:jc w:val="center"/>
            </w:pPr>
            <w:r/>
            <w:r>
              <w:rPr>
                <w:rFonts w:ascii="Lato" w:hAnsi="Lato" w:cs="Lato"/>
                <w:b/>
                <w:i w:val="0"/>
                <w:color w:val="8A9095"/>
                <w:sz w:val="19"/>
              </w:rPr>
              <w:t>—</w:t>
            </w:r>
          </w:p>
        </w:tc>
        <w:tc>
          <w:tcPr>
            <w:tcW w:type="dxa" w:w="850"/>
            <w:shd w:val="clear" w:color="auto" w:fill="F2F4F5"/>
          </w:tcPr>
          <w:p>
            <w:pPr>
              <w:spacing w:after="0" w:before="0"/>
              <w:jc w:val="center"/>
            </w:pPr>
            <w:r/>
            <w:r>
              <w:rPr>
                <w:rFonts w:ascii="Lato" w:hAnsi="Lato" w:cs="Lato"/>
                <w:b/>
                <w:i w:val="0"/>
                <w:color w:val="8A9095"/>
                <w:sz w:val="19"/>
              </w:rPr>
              <w:t>—</w:t>
            </w:r>
          </w:p>
        </w:tc>
        <w:tc>
          <w:tcPr>
            <w:tcW w:type="dxa" w:w="850"/>
            <w:shd w:val="clear" w:color="auto" w:fill="F2F4F5"/>
          </w:tcPr>
          <w:p>
            <w:pPr>
              <w:spacing w:after="0" w:before="0"/>
              <w:jc w:val="center"/>
            </w:pPr>
            <w:r/>
            <w:r>
              <w:rPr>
                <w:rFonts w:ascii="Lato" w:hAnsi="Lato" w:cs="Lato"/>
                <w:b/>
                <w:i w:val="0"/>
                <w:color w:val="8A9095"/>
                <w:sz w:val="19"/>
              </w:rPr>
              <w:t>—</w:t>
            </w:r>
          </w:p>
        </w:tc>
        <w:tc>
          <w:tcPr>
            <w:tcW w:type="dxa" w:w="850"/>
            <w:shd w:val="clear" w:color="auto" w:fill="F2F4F5"/>
          </w:tcPr>
          <w:p>
            <w:pPr>
              <w:spacing w:after="0" w:before="0"/>
              <w:jc w:val="center"/>
            </w:pPr>
            <w:r/>
            <w:r>
              <w:rPr>
                <w:rFonts w:ascii="Lato" w:hAnsi="Lato" w:cs="Lato"/>
                <w:b/>
                <w:i w:val="0"/>
                <w:color w:val="8A9095"/>
                <w:sz w:val="19"/>
              </w:rPr>
              <w:t>—</w:t>
            </w:r>
          </w:p>
        </w:tc>
        <w:tc>
          <w:tcPr>
            <w:tcW w:type="dxa" w:w="6917"/>
          </w:tcPr>
          <w:p>
            <w:pPr>
              <w:spacing w:after="20" w:before="0"/>
            </w:pPr>
            <w:r/>
            <w:r>
              <w:rPr>
                <w:rFonts w:ascii="Lato" w:hAnsi="Lato" w:cs="Lato"/>
                <w:b w:val="0"/>
                <w:i w:val="0"/>
                <w:color w:val="2B2F33"/>
                <w:sz w:val="14"/>
              </w:rPr>
              <w:t>Yutree’s PI carries a broad cyber-act &amp; data-protection-law exclusion. TMHCC instead grants bespoke cover (virus, unauthorised access, DP defence costs) — TMHCC broader/clearer.</w:t>
            </w:r>
          </w:p>
        </w:tc>
      </w:tr>
      <w:tr>
        <w:tc>
          <w:tcPr>
            <w:tcW w:type="dxa" w:w="2381"/>
            <w:shd w:val="clear" w:color="auto" w:fill="F4F7F9"/>
          </w:tcPr>
          <w:p>
            <w:pPr>
              <w:spacing w:after="20" w:before="0"/>
            </w:pPr>
            <w:r/>
            <w:r>
              <w:rPr>
                <w:rFonts w:ascii="Lato" w:hAnsi="Lato" w:cs="Lato"/>
                <w:b/>
                <w:i w:val="0"/>
                <w:color w:val="00648B"/>
                <w:sz w:val="15"/>
              </w:rPr>
              <w:t>Pollution / seepage</w:t>
            </w:r>
          </w:p>
        </w:tc>
        <w:tc>
          <w:tcPr>
            <w:tcW w:type="dxa" w:w="850"/>
            <w:shd w:val="clear" w:color="auto" w:fill="E3F1E8"/>
          </w:tcPr>
          <w:p>
            <w:pPr>
              <w:spacing w:after="0" w:before="0"/>
              <w:jc w:val="center"/>
            </w:pPr>
            <w:r/>
            <w:r>
              <w:rPr>
                <w:rFonts w:ascii="Lato" w:hAnsi="Lato" w:cs="Lato"/>
                <w:b/>
                <w:i w:val="0"/>
                <w:color w:val="1B7A3D"/>
                <w:sz w:val="19"/>
              </w:rPr>
              <w:t>✓</w:t>
            </w:r>
          </w:p>
        </w:tc>
        <w:tc>
          <w:tcPr>
            <w:tcW w:type="dxa" w:w="850"/>
            <w:shd w:val="clear" w:color="auto" w:fill="E3F1E8"/>
          </w:tcPr>
          <w:p>
            <w:pPr>
              <w:spacing w:after="0" w:before="0"/>
              <w:jc w:val="center"/>
            </w:pPr>
            <w:r/>
            <w:r>
              <w:rPr>
                <w:rFonts w:ascii="Lato" w:hAnsi="Lato" w:cs="Lato"/>
                <w:b/>
                <w:i w:val="0"/>
                <w:color w:val="1B7A3D"/>
                <w:sz w:val="19"/>
              </w:rPr>
              <w:t>✓</w:t>
            </w:r>
          </w:p>
        </w:tc>
        <w:tc>
          <w:tcPr>
            <w:tcW w:type="dxa" w:w="850"/>
            <w:shd w:val="clear" w:color="auto" w:fill="FBF1DA"/>
          </w:tcPr>
          <w:p>
            <w:pPr>
              <w:spacing w:after="0" w:before="0"/>
              <w:jc w:val="center"/>
            </w:pPr>
            <w:r/>
            <w:r>
              <w:rPr>
                <w:rFonts w:ascii="Lato" w:hAnsi="Lato" w:cs="Lato"/>
                <w:b/>
                <w:i w:val="0"/>
                <w:color w:val="8A6A1E"/>
                <w:sz w:val="19"/>
              </w:rPr>
              <w:t>◐</w:t>
            </w:r>
          </w:p>
        </w:tc>
        <w:tc>
          <w:tcPr>
            <w:tcW w:type="dxa" w:w="850"/>
            <w:shd w:val="clear" w:color="auto" w:fill="F2F4F5"/>
          </w:tcPr>
          <w:p>
            <w:pPr>
              <w:spacing w:after="0" w:before="0"/>
              <w:jc w:val="center"/>
            </w:pPr>
            <w:r/>
            <w:r>
              <w:rPr>
                <w:rFonts w:ascii="Lato" w:hAnsi="Lato" w:cs="Lato"/>
                <w:b/>
                <w:i w:val="0"/>
                <w:color w:val="8A9095"/>
                <w:sz w:val="19"/>
              </w:rPr>
              <w:t>—</w:t>
            </w:r>
          </w:p>
        </w:tc>
        <w:tc>
          <w:tcPr>
            <w:tcW w:type="dxa" w:w="850"/>
            <w:shd w:val="clear" w:color="auto" w:fill="F2F4F5"/>
          </w:tcPr>
          <w:p>
            <w:pPr>
              <w:spacing w:after="0" w:before="0"/>
              <w:jc w:val="center"/>
            </w:pPr>
            <w:r/>
            <w:r>
              <w:rPr>
                <w:rFonts w:ascii="Lato" w:hAnsi="Lato" w:cs="Lato"/>
                <w:b/>
                <w:i w:val="0"/>
                <w:color w:val="8A9095"/>
                <w:sz w:val="19"/>
              </w:rPr>
              <w:t>—</w:t>
            </w:r>
          </w:p>
        </w:tc>
        <w:tc>
          <w:tcPr>
            <w:tcW w:type="dxa" w:w="850"/>
            <w:shd w:val="clear" w:color="auto" w:fill="F2F4F5"/>
          </w:tcPr>
          <w:p>
            <w:pPr>
              <w:spacing w:after="0" w:before="0"/>
              <w:jc w:val="center"/>
            </w:pPr>
            <w:r/>
            <w:r>
              <w:rPr>
                <w:rFonts w:ascii="Lato" w:hAnsi="Lato" w:cs="Lato"/>
                <w:b/>
                <w:i w:val="0"/>
                <w:color w:val="8A9095"/>
                <w:sz w:val="19"/>
              </w:rPr>
              <w:t>—</w:t>
            </w:r>
          </w:p>
        </w:tc>
        <w:tc>
          <w:tcPr>
            <w:tcW w:type="dxa" w:w="850"/>
            <w:shd w:val="clear" w:color="auto" w:fill="F2F4F5"/>
          </w:tcPr>
          <w:p>
            <w:pPr>
              <w:spacing w:after="0" w:before="0"/>
              <w:jc w:val="center"/>
            </w:pPr>
            <w:r/>
            <w:r>
              <w:rPr>
                <w:rFonts w:ascii="Lato" w:hAnsi="Lato" w:cs="Lato"/>
                <w:b/>
                <w:i w:val="0"/>
                <w:color w:val="8A9095"/>
                <w:sz w:val="19"/>
              </w:rPr>
              <w:t>—</w:t>
            </w:r>
          </w:p>
        </w:tc>
        <w:tc>
          <w:tcPr>
            <w:tcW w:type="dxa" w:w="6917"/>
            <w:shd w:val="clear" w:color="auto" w:fill="F4F7F9"/>
          </w:tcPr>
          <w:p>
            <w:pPr>
              <w:spacing w:after="20" w:before="0"/>
            </w:pPr>
            <w:r/>
            <w:r>
              <w:rPr>
                <w:rFonts w:ascii="Lato" w:hAnsi="Lato" w:cs="Lato"/>
                <w:b w:val="0"/>
                <w:i w:val="0"/>
                <w:color w:val="2B2F33"/>
                <w:sz w:val="14"/>
              </w:rPr>
              <w:t>TMHCC and Tysers exclude pollution from PI; Yutree grants a limited write-back for the insured’s own negligent act/error/omission.</w:t>
            </w:r>
          </w:p>
        </w:tc>
      </w:tr>
    </w:tbl>
    <w:p>
      <w:pPr>
        <w:spacing w:after="80"/>
      </w:pPr>
    </w:p>
    <w:p>
      <w:r>
        <w:br w:type="page"/>
      </w:r>
    </w:p>
    <w:p>
      <w:pPr>
        <w:keepNext/>
        <w:spacing w:before="280" w:after="40"/>
        <w:pBdr>
          <w:bottom w:val="single" w:sz="8" w:space="2" w:color="B88A3C"/>
        </w:pBdr>
      </w:pPr>
      <w:r>
        <w:rPr>
          <w:rFonts w:ascii="Lato" w:hAnsi="Lato" w:cs="Lato"/>
          <w:b/>
          <w:i w:val="0"/>
          <w:color w:val="00648B"/>
          <w:sz w:val="30"/>
        </w:rPr>
        <w:t>D. Section / cover availability across the six wordings</w:t>
      </w:r>
    </w:p>
    <w:p>
      <w:pPr>
        <w:keepNext/>
        <w:spacing w:before="180" w:after="40"/>
      </w:pPr>
      <w:r>
        <w:rPr>
          <w:rFonts w:ascii="Lato" w:hAnsi="Lato" w:cs="Lato"/>
          <w:b/>
          <w:i w:val="0"/>
          <w:color w:val="00648B"/>
          <w:sz w:val="23"/>
        </w:rPr>
        <w:t>D.1 Section-level availability</w:t>
      </w:r>
    </w:p>
    <w:tbl>
      <w:tblPr>
        <w:tblW w:type="dxa" w:w="15252"/>
        <w:jc w:val="center"/>
        <w:tblBorders>
          <w:top w:val="single" w:sz="4" w:space="0" w:color="D6DCE0"/>
          <w:left w:val="single" w:sz="4" w:space="0" w:color="D6DCE0"/>
          <w:bottom w:val="single" w:sz="4" w:space="0" w:color="D6DCE0"/>
          <w:right w:val="single" w:sz="4" w:space="0" w:color="D6DCE0"/>
          <w:insideH w:val="single" w:sz="4" w:space="0" w:color="D6DCE0"/>
          <w:insideV w:val="single" w:sz="4" w:space="0" w:color="D6DCE0"/>
        </w:tblBorders>
        <w:tblLayout w:type="fixed"/>
        <w:tblLook w:firstColumn="1" w:firstRow="1" w:lastColumn="0" w:lastRow="0" w:noHBand="0" w:noVBand="1" w:val="04A0"/>
      </w:tblPr>
      <w:tblGrid>
        <w:gridCol w:w="2381"/>
        <w:gridCol w:w="850"/>
        <w:gridCol w:w="850"/>
        <w:gridCol w:w="850"/>
        <w:gridCol w:w="850"/>
        <w:gridCol w:w="850"/>
        <w:gridCol w:w="850"/>
        <w:gridCol w:w="850"/>
        <w:gridCol w:w="6917"/>
      </w:tblGrid>
      <w:tr>
        <w:tc>
          <w:tcPr>
            <w:tcW w:type="dxa" w:w="2381"/>
            <w:shd w:val="clear" w:color="auto" w:fill="00648B"/>
          </w:tcPr>
          <w:p>
            <w:pPr>
              <w:spacing w:after="20" w:before="0"/>
              <w:jc w:val="center"/>
            </w:pPr>
            <w:r/>
            <w:r>
              <w:rPr>
                <w:rFonts w:ascii="Lato" w:hAnsi="Lato" w:cs="Lato"/>
                <w:b/>
                <w:i w:val="0"/>
                <w:color w:val="FFFFFF"/>
                <w:sz w:val="17"/>
              </w:rPr>
              <w:t>Coverage / legal feature</w:t>
            </w:r>
          </w:p>
        </w:tc>
        <w:tc>
          <w:tcPr>
            <w:tcW w:type="dxa" w:w="850"/>
            <w:shd w:val="clear" w:color="auto" w:fill="00648B"/>
          </w:tcPr>
          <w:p>
            <w:pPr>
              <w:spacing w:after="20" w:before="0"/>
              <w:jc w:val="center"/>
            </w:pPr>
            <w:r/>
            <w:r>
              <w:rPr>
                <w:rFonts w:ascii="Lato" w:hAnsi="Lato" w:cs="Lato"/>
                <w:b/>
                <w:i w:val="0"/>
                <w:color w:val="FFFFFF"/>
                <w:sz w:val="17"/>
              </w:rPr>
              <w:t>TMHCC</w:t>
            </w:r>
          </w:p>
        </w:tc>
        <w:tc>
          <w:tcPr>
            <w:tcW w:type="dxa" w:w="850"/>
            <w:shd w:val="clear" w:color="auto" w:fill="00648B"/>
          </w:tcPr>
          <w:p>
            <w:pPr>
              <w:spacing w:after="20" w:before="0"/>
              <w:jc w:val="center"/>
            </w:pPr>
            <w:r/>
            <w:r>
              <w:rPr>
                <w:rFonts w:ascii="Lato" w:hAnsi="Lato" w:cs="Lato"/>
                <w:b/>
                <w:i w:val="0"/>
                <w:color w:val="FFFFFF"/>
                <w:sz w:val="17"/>
              </w:rPr>
              <w:t>Tysers</w:t>
            </w:r>
          </w:p>
        </w:tc>
        <w:tc>
          <w:tcPr>
            <w:tcW w:type="dxa" w:w="850"/>
            <w:shd w:val="clear" w:color="auto" w:fill="00648B"/>
          </w:tcPr>
          <w:p>
            <w:pPr>
              <w:spacing w:after="20" w:before="0"/>
              <w:jc w:val="center"/>
            </w:pPr>
            <w:r/>
            <w:r>
              <w:rPr>
                <w:rFonts w:ascii="Lato" w:hAnsi="Lato" w:cs="Lato"/>
                <w:b/>
                <w:i w:val="0"/>
                <w:color w:val="FFFFFF"/>
                <w:sz w:val="17"/>
              </w:rPr>
              <w:t>Yutree</w:t>
            </w:r>
          </w:p>
        </w:tc>
        <w:tc>
          <w:tcPr>
            <w:tcW w:type="dxa" w:w="850"/>
            <w:shd w:val="clear" w:color="auto" w:fill="00648B"/>
          </w:tcPr>
          <w:p>
            <w:pPr>
              <w:spacing w:after="20" w:before="0"/>
              <w:jc w:val="center"/>
            </w:pPr>
            <w:r/>
            <w:r>
              <w:rPr>
                <w:rFonts w:ascii="Lato" w:hAnsi="Lato" w:cs="Lato"/>
                <w:b/>
                <w:i w:val="0"/>
                <w:color w:val="FFFFFF"/>
                <w:sz w:val="17"/>
              </w:rPr>
              <w:t>Liberty</w:t>
            </w:r>
          </w:p>
        </w:tc>
        <w:tc>
          <w:tcPr>
            <w:tcW w:type="dxa" w:w="850"/>
            <w:shd w:val="clear" w:color="auto" w:fill="00648B"/>
          </w:tcPr>
          <w:p>
            <w:pPr>
              <w:spacing w:after="20" w:before="0"/>
              <w:jc w:val="center"/>
            </w:pPr>
            <w:r/>
            <w:r>
              <w:rPr>
                <w:rFonts w:ascii="Lato" w:hAnsi="Lato" w:cs="Lato"/>
                <w:b/>
                <w:i w:val="0"/>
                <w:color w:val="FFFFFF"/>
                <w:sz w:val="17"/>
              </w:rPr>
              <w:t>Allianz</w:t>
            </w:r>
          </w:p>
        </w:tc>
        <w:tc>
          <w:tcPr>
            <w:tcW w:type="dxa" w:w="850"/>
            <w:shd w:val="clear" w:color="auto" w:fill="00648B"/>
          </w:tcPr>
          <w:p>
            <w:pPr>
              <w:spacing w:after="20" w:before="0"/>
              <w:jc w:val="center"/>
            </w:pPr>
            <w:r/>
            <w:r>
              <w:rPr>
                <w:rFonts w:ascii="Lato" w:hAnsi="Lato" w:cs="Lato"/>
                <w:b/>
                <w:i w:val="0"/>
                <w:color w:val="FFFFFF"/>
                <w:sz w:val="17"/>
              </w:rPr>
              <w:t>AXA XL</w:t>
            </w:r>
          </w:p>
        </w:tc>
        <w:tc>
          <w:tcPr>
            <w:tcW w:type="dxa" w:w="850"/>
            <w:shd w:val="clear" w:color="auto" w:fill="00648B"/>
          </w:tcPr>
          <w:p>
            <w:pPr>
              <w:spacing w:after="20" w:before="0"/>
              <w:jc w:val="center"/>
            </w:pPr>
            <w:r/>
            <w:r>
              <w:rPr>
                <w:rFonts w:ascii="Lato" w:hAnsi="Lato" w:cs="Lato"/>
                <w:b/>
                <w:i w:val="0"/>
                <w:color w:val="FFFFFF"/>
                <w:sz w:val="17"/>
              </w:rPr>
              <w:t>Ent.Elite</w:t>
            </w:r>
          </w:p>
        </w:tc>
        <w:tc>
          <w:tcPr>
            <w:tcW w:type="dxa" w:w="6917"/>
            <w:shd w:val="clear" w:color="auto" w:fill="00648B"/>
          </w:tcPr>
          <w:p>
            <w:pPr>
              <w:spacing w:after="20" w:before="0"/>
              <w:jc w:val="center"/>
            </w:pPr>
            <w:r/>
            <w:r>
              <w:rPr>
                <w:rFonts w:ascii="Lato" w:hAnsi="Lato" w:cs="Lato"/>
                <w:b/>
                <w:i w:val="0"/>
                <w:color w:val="FFFFFF"/>
                <w:sz w:val="17"/>
              </w:rPr>
              <w:t>Legal significance / note</w:t>
            </w:r>
          </w:p>
        </w:tc>
      </w:tr>
      <w:tr>
        <w:tc>
          <w:tcPr>
            <w:tcW w:type="dxa" w:w="2381"/>
          </w:tcPr>
          <w:p>
            <w:pPr>
              <w:spacing w:after="20" w:before="0"/>
            </w:pPr>
            <w:r/>
            <w:r>
              <w:rPr>
                <w:rFonts w:ascii="Lato" w:hAnsi="Lato" w:cs="Lato"/>
                <w:b/>
                <w:i w:val="0"/>
                <w:color w:val="00648B"/>
                <w:sz w:val="15"/>
              </w:rPr>
              <w:t>S1 · Business “All Risks” (premises buildings &amp; contents)</w:t>
            </w:r>
          </w:p>
        </w:tc>
        <w:tc>
          <w:tcPr>
            <w:tcW w:type="dxa" w:w="850"/>
            <w:shd w:val="clear" w:color="auto" w:fill="E3F1E8"/>
          </w:tcPr>
          <w:p>
            <w:pPr>
              <w:spacing w:after="0" w:before="0"/>
              <w:jc w:val="center"/>
            </w:pPr>
            <w:r/>
            <w:r>
              <w:rPr>
                <w:rFonts w:ascii="Lato" w:hAnsi="Lato" w:cs="Lato"/>
                <w:b/>
                <w:i w:val="0"/>
                <w:color w:val="1B7A3D"/>
                <w:sz w:val="19"/>
              </w:rPr>
              <w:t>✓</w:t>
            </w:r>
          </w:p>
        </w:tc>
        <w:tc>
          <w:tcPr>
            <w:tcW w:type="dxa" w:w="850"/>
            <w:shd w:val="clear" w:color="auto" w:fill="E3F1E8"/>
          </w:tcPr>
          <w:p>
            <w:pPr>
              <w:spacing w:after="0" w:before="0"/>
              <w:jc w:val="center"/>
            </w:pPr>
            <w:r/>
            <w:r>
              <w:rPr>
                <w:rFonts w:ascii="Lato" w:hAnsi="Lato" w:cs="Lato"/>
                <w:b/>
                <w:i w:val="0"/>
                <w:color w:val="1B7A3D"/>
                <w:sz w:val="19"/>
              </w:rPr>
              <w:t>✓</w:t>
            </w:r>
          </w:p>
        </w:tc>
        <w:tc>
          <w:tcPr>
            <w:tcW w:type="dxa" w:w="850"/>
            <w:shd w:val="clear" w:color="auto" w:fill="E3F1E8"/>
          </w:tcPr>
          <w:p>
            <w:pPr>
              <w:spacing w:after="0" w:before="0"/>
              <w:jc w:val="center"/>
            </w:pPr>
            <w:r/>
            <w:r>
              <w:rPr>
                <w:rFonts w:ascii="Lato" w:hAnsi="Lato" w:cs="Lato"/>
                <w:b/>
                <w:i w:val="0"/>
                <w:color w:val="1B7A3D"/>
                <w:sz w:val="19"/>
              </w:rPr>
              <w:t>✓</w:t>
            </w:r>
          </w:p>
        </w:tc>
        <w:tc>
          <w:tcPr>
            <w:tcW w:type="dxa" w:w="850"/>
            <w:shd w:val="clear" w:color="auto" w:fill="E3F1E8"/>
          </w:tcPr>
          <w:p>
            <w:pPr>
              <w:spacing w:after="0" w:before="0"/>
              <w:jc w:val="center"/>
            </w:pPr>
            <w:r/>
            <w:r>
              <w:rPr>
                <w:rFonts w:ascii="Lato" w:hAnsi="Lato" w:cs="Lato"/>
                <w:b/>
                <w:i w:val="0"/>
                <w:color w:val="1B7A3D"/>
                <w:sz w:val="19"/>
              </w:rPr>
              <w:t>✓</w:t>
            </w:r>
          </w:p>
        </w:tc>
        <w:tc>
          <w:tcPr>
            <w:tcW w:type="dxa" w:w="850"/>
            <w:shd w:val="clear" w:color="auto" w:fill="E3F1E8"/>
          </w:tcPr>
          <w:p>
            <w:pPr>
              <w:spacing w:after="0" w:before="0"/>
              <w:jc w:val="center"/>
            </w:pPr>
            <w:r/>
            <w:r>
              <w:rPr>
                <w:rFonts w:ascii="Lato" w:hAnsi="Lato" w:cs="Lato"/>
                <w:b/>
                <w:i w:val="0"/>
                <w:color w:val="1B7A3D"/>
                <w:sz w:val="19"/>
              </w:rPr>
              <w:t>✓</w:t>
            </w:r>
          </w:p>
        </w:tc>
        <w:tc>
          <w:tcPr>
            <w:tcW w:type="dxa" w:w="850"/>
            <w:shd w:val="clear" w:color="auto" w:fill="E3F1E8"/>
          </w:tcPr>
          <w:p>
            <w:pPr>
              <w:spacing w:after="0" w:before="0"/>
              <w:jc w:val="center"/>
            </w:pPr>
            <w:r/>
            <w:r>
              <w:rPr>
                <w:rFonts w:ascii="Lato" w:hAnsi="Lato" w:cs="Lato"/>
                <w:b/>
                <w:i w:val="0"/>
                <w:color w:val="1B7A3D"/>
                <w:sz w:val="19"/>
              </w:rPr>
              <w:t>✓</w:t>
            </w:r>
          </w:p>
        </w:tc>
        <w:tc>
          <w:tcPr>
            <w:tcW w:type="dxa" w:w="850"/>
            <w:shd w:val="clear" w:color="auto" w:fill="E3F1E8"/>
          </w:tcPr>
          <w:p>
            <w:pPr>
              <w:spacing w:after="0" w:before="0"/>
              <w:jc w:val="center"/>
            </w:pPr>
            <w:r/>
            <w:r>
              <w:rPr>
                <w:rFonts w:ascii="Lato" w:hAnsi="Lato" w:cs="Lato"/>
                <w:b/>
                <w:i w:val="0"/>
                <w:color w:val="1B7A3D"/>
                <w:sz w:val="19"/>
              </w:rPr>
              <w:t>✓</w:t>
            </w:r>
          </w:p>
        </w:tc>
        <w:tc>
          <w:tcPr>
            <w:tcW w:type="dxa" w:w="6917"/>
          </w:tcPr>
          <w:p>
            <w:pPr>
              <w:spacing w:after="20" w:before="0"/>
            </w:pPr>
            <w:r/>
            <w:r>
              <w:rPr>
                <w:rFonts w:ascii="Lato" w:hAnsi="Lato" w:cs="Lato"/>
                <w:b w:val="0"/>
                <w:i w:val="0"/>
                <w:color w:val="2B2F33"/>
                <w:sz w:val="14"/>
              </w:rPr>
              <w:t>All six offer premises/contents material damage on an all-risks basis. Allianz, Liberty and AXA XL are property-led packages with granular MD specifications; TMHCC consolidates IT/premises cover here.</w:t>
            </w:r>
          </w:p>
        </w:tc>
      </w:tr>
      <w:tr>
        <w:tc>
          <w:tcPr>
            <w:tcW w:type="dxa" w:w="2381"/>
            <w:shd w:val="clear" w:color="auto" w:fill="F4F7F9"/>
          </w:tcPr>
          <w:p>
            <w:pPr>
              <w:spacing w:after="20" w:before="0"/>
            </w:pPr>
            <w:r/>
            <w:r>
              <w:rPr>
                <w:rFonts w:ascii="Lato" w:hAnsi="Lato" w:cs="Lato"/>
                <w:b/>
                <w:i w:val="0"/>
                <w:color w:val="00648B"/>
                <w:sz w:val="15"/>
              </w:rPr>
              <w:t>S2 · Property &amp; Equipment “All Risks” (production/entertainment equipment)</w:t>
            </w:r>
          </w:p>
        </w:tc>
        <w:tc>
          <w:tcPr>
            <w:tcW w:type="dxa" w:w="850"/>
            <w:shd w:val="clear" w:color="auto" w:fill="E3F1E8"/>
          </w:tcPr>
          <w:p>
            <w:pPr>
              <w:spacing w:after="0" w:before="0"/>
              <w:jc w:val="center"/>
            </w:pPr>
            <w:r/>
            <w:r>
              <w:rPr>
                <w:rFonts w:ascii="Lato" w:hAnsi="Lato" w:cs="Lato"/>
                <w:b/>
                <w:i w:val="0"/>
                <w:color w:val="1B7A3D"/>
                <w:sz w:val="19"/>
              </w:rPr>
              <w:t>✓</w:t>
            </w:r>
          </w:p>
        </w:tc>
        <w:tc>
          <w:tcPr>
            <w:tcW w:type="dxa" w:w="850"/>
            <w:shd w:val="clear" w:color="auto" w:fill="E3F1E8"/>
          </w:tcPr>
          <w:p>
            <w:pPr>
              <w:spacing w:after="0" w:before="0"/>
              <w:jc w:val="center"/>
            </w:pPr>
            <w:r/>
            <w:r>
              <w:rPr>
                <w:rFonts w:ascii="Lato" w:hAnsi="Lato" w:cs="Lato"/>
                <w:b/>
                <w:i w:val="0"/>
                <w:color w:val="1B7A3D"/>
                <w:sz w:val="19"/>
              </w:rPr>
              <w:t>✓</w:t>
            </w:r>
          </w:p>
        </w:tc>
        <w:tc>
          <w:tcPr>
            <w:tcW w:type="dxa" w:w="850"/>
            <w:shd w:val="clear" w:color="auto" w:fill="E3F1E8"/>
          </w:tcPr>
          <w:p>
            <w:pPr>
              <w:spacing w:after="0" w:before="0"/>
              <w:jc w:val="center"/>
            </w:pPr>
            <w:r/>
            <w:r>
              <w:rPr>
                <w:rFonts w:ascii="Lato" w:hAnsi="Lato" w:cs="Lato"/>
                <w:b/>
                <w:i w:val="0"/>
                <w:color w:val="1B7A3D"/>
                <w:sz w:val="19"/>
              </w:rPr>
              <w:t>✓</w:t>
            </w:r>
          </w:p>
        </w:tc>
        <w:tc>
          <w:tcPr>
            <w:tcW w:type="dxa" w:w="850"/>
            <w:shd w:val="clear" w:color="auto" w:fill="FBF1DA"/>
          </w:tcPr>
          <w:p>
            <w:pPr>
              <w:spacing w:after="0" w:before="0"/>
              <w:jc w:val="center"/>
            </w:pPr>
            <w:r/>
            <w:r>
              <w:rPr>
                <w:rFonts w:ascii="Lato" w:hAnsi="Lato" w:cs="Lato"/>
                <w:b/>
                <w:i w:val="0"/>
                <w:color w:val="8A6A1E"/>
                <w:sz w:val="19"/>
              </w:rPr>
              <w:t>◐</w:t>
            </w:r>
          </w:p>
        </w:tc>
        <w:tc>
          <w:tcPr>
            <w:tcW w:type="dxa" w:w="850"/>
            <w:shd w:val="clear" w:color="auto" w:fill="E3F1E8"/>
          </w:tcPr>
          <w:p>
            <w:pPr>
              <w:spacing w:after="0" w:before="0"/>
              <w:jc w:val="center"/>
            </w:pPr>
            <w:r/>
            <w:r>
              <w:rPr>
                <w:rFonts w:ascii="Lato" w:hAnsi="Lato" w:cs="Lato"/>
                <w:b/>
                <w:i w:val="0"/>
                <w:color w:val="1B7A3D"/>
                <w:sz w:val="19"/>
              </w:rPr>
              <w:t>✓</w:t>
            </w:r>
          </w:p>
        </w:tc>
        <w:tc>
          <w:tcPr>
            <w:tcW w:type="dxa" w:w="850"/>
            <w:shd w:val="clear" w:color="auto" w:fill="E3F1E8"/>
          </w:tcPr>
          <w:p>
            <w:pPr>
              <w:spacing w:after="0" w:before="0"/>
              <w:jc w:val="center"/>
            </w:pPr>
            <w:r/>
            <w:r>
              <w:rPr>
                <w:rFonts w:ascii="Lato" w:hAnsi="Lato" w:cs="Lato"/>
                <w:b/>
                <w:i w:val="0"/>
                <w:color w:val="1B7A3D"/>
                <w:sz w:val="19"/>
              </w:rPr>
              <w:t>✓</w:t>
            </w:r>
          </w:p>
        </w:tc>
        <w:tc>
          <w:tcPr>
            <w:tcW w:type="dxa" w:w="850"/>
            <w:shd w:val="clear" w:color="auto" w:fill="E3F1E8"/>
          </w:tcPr>
          <w:p>
            <w:pPr>
              <w:spacing w:after="0" w:before="0"/>
              <w:jc w:val="center"/>
            </w:pPr>
            <w:r/>
            <w:r>
              <w:rPr>
                <w:rFonts w:ascii="Lato" w:hAnsi="Lato" w:cs="Lato"/>
                <w:b/>
                <w:i w:val="0"/>
                <w:color w:val="1B7A3D"/>
                <w:sz w:val="19"/>
              </w:rPr>
              <w:t>✓</w:t>
            </w:r>
          </w:p>
        </w:tc>
        <w:tc>
          <w:tcPr>
            <w:tcW w:type="dxa" w:w="6917"/>
            <w:shd w:val="clear" w:color="auto" w:fill="F4F7F9"/>
          </w:tcPr>
          <w:p>
            <w:pPr>
              <w:spacing w:after="20" w:before="0"/>
            </w:pPr>
            <w:r/>
            <w:r>
              <w:rPr>
                <w:rFonts w:ascii="Lato" w:hAnsi="Lato" w:cs="Lato"/>
                <w:b w:val="0"/>
                <w:i w:val="0"/>
                <w:color w:val="2B2F33"/>
                <w:sz w:val="14"/>
              </w:rPr>
              <w:t>Owned and hired-in production/entertainment equipment. Tysers (Production Property), Yutree (Production property), Allianz (Specified All Risks), AXA XL (‘Technical Equipment’ within Material Damage). Liberty covers entertainment equipment via specified Schedule items.</w:t>
            </w:r>
          </w:p>
        </w:tc>
      </w:tr>
      <w:tr>
        <w:tc>
          <w:tcPr>
            <w:tcW w:type="dxa" w:w="2381"/>
          </w:tcPr>
          <w:p>
            <w:pPr>
              <w:spacing w:after="20" w:before="0"/>
            </w:pPr>
            <w:r/>
            <w:r>
              <w:rPr>
                <w:rFonts w:ascii="Lato" w:hAnsi="Lato" w:cs="Lato"/>
                <w:b/>
                <w:i w:val="0"/>
                <w:color w:val="00648B"/>
                <w:sz w:val="15"/>
              </w:rPr>
              <w:t>S3 · Business Interruption “All Risks”</w:t>
            </w:r>
          </w:p>
        </w:tc>
        <w:tc>
          <w:tcPr>
            <w:tcW w:type="dxa" w:w="850"/>
            <w:shd w:val="clear" w:color="auto" w:fill="E3F1E8"/>
          </w:tcPr>
          <w:p>
            <w:pPr>
              <w:spacing w:after="0" w:before="0"/>
              <w:jc w:val="center"/>
            </w:pPr>
            <w:r/>
            <w:r>
              <w:rPr>
                <w:rFonts w:ascii="Lato" w:hAnsi="Lato" w:cs="Lato"/>
                <w:b/>
                <w:i w:val="0"/>
                <w:color w:val="1B7A3D"/>
                <w:sz w:val="19"/>
              </w:rPr>
              <w:t>✓</w:t>
            </w:r>
          </w:p>
        </w:tc>
        <w:tc>
          <w:tcPr>
            <w:tcW w:type="dxa" w:w="850"/>
            <w:shd w:val="clear" w:color="auto" w:fill="E3F1E8"/>
          </w:tcPr>
          <w:p>
            <w:pPr>
              <w:spacing w:after="0" w:before="0"/>
              <w:jc w:val="center"/>
            </w:pPr>
            <w:r/>
            <w:r>
              <w:rPr>
                <w:rFonts w:ascii="Lato" w:hAnsi="Lato" w:cs="Lato"/>
                <w:b/>
                <w:i w:val="0"/>
                <w:color w:val="1B7A3D"/>
                <w:sz w:val="19"/>
              </w:rPr>
              <w:t>✓</w:t>
            </w:r>
          </w:p>
        </w:tc>
        <w:tc>
          <w:tcPr>
            <w:tcW w:type="dxa" w:w="850"/>
            <w:shd w:val="clear" w:color="auto" w:fill="E3F1E8"/>
          </w:tcPr>
          <w:p>
            <w:pPr>
              <w:spacing w:after="0" w:before="0"/>
              <w:jc w:val="center"/>
            </w:pPr>
            <w:r/>
            <w:r>
              <w:rPr>
                <w:rFonts w:ascii="Lato" w:hAnsi="Lato" w:cs="Lato"/>
                <w:b/>
                <w:i w:val="0"/>
                <w:color w:val="1B7A3D"/>
                <w:sz w:val="19"/>
              </w:rPr>
              <w:t>✓</w:t>
            </w:r>
          </w:p>
        </w:tc>
        <w:tc>
          <w:tcPr>
            <w:tcW w:type="dxa" w:w="850"/>
            <w:shd w:val="clear" w:color="auto" w:fill="E3F1E8"/>
          </w:tcPr>
          <w:p>
            <w:pPr>
              <w:spacing w:after="0" w:before="0"/>
              <w:jc w:val="center"/>
            </w:pPr>
            <w:r/>
            <w:r>
              <w:rPr>
                <w:rFonts w:ascii="Lato" w:hAnsi="Lato" w:cs="Lato"/>
                <w:b/>
                <w:i w:val="0"/>
                <w:color w:val="1B7A3D"/>
                <w:sz w:val="19"/>
              </w:rPr>
              <w:t>✓</w:t>
            </w:r>
          </w:p>
        </w:tc>
        <w:tc>
          <w:tcPr>
            <w:tcW w:type="dxa" w:w="850"/>
            <w:shd w:val="clear" w:color="auto" w:fill="E3F1E8"/>
          </w:tcPr>
          <w:p>
            <w:pPr>
              <w:spacing w:after="0" w:before="0"/>
              <w:jc w:val="center"/>
            </w:pPr>
            <w:r/>
            <w:r>
              <w:rPr>
                <w:rFonts w:ascii="Lato" w:hAnsi="Lato" w:cs="Lato"/>
                <w:b/>
                <w:i w:val="0"/>
                <w:color w:val="1B7A3D"/>
                <w:sz w:val="19"/>
              </w:rPr>
              <w:t>✓</w:t>
            </w:r>
          </w:p>
        </w:tc>
        <w:tc>
          <w:tcPr>
            <w:tcW w:type="dxa" w:w="850"/>
            <w:shd w:val="clear" w:color="auto" w:fill="E3F1E8"/>
          </w:tcPr>
          <w:p>
            <w:pPr>
              <w:spacing w:after="0" w:before="0"/>
              <w:jc w:val="center"/>
            </w:pPr>
            <w:r/>
            <w:r>
              <w:rPr>
                <w:rFonts w:ascii="Lato" w:hAnsi="Lato" w:cs="Lato"/>
                <w:b/>
                <w:i w:val="0"/>
                <w:color w:val="1B7A3D"/>
                <w:sz w:val="19"/>
              </w:rPr>
              <w:t>✓</w:t>
            </w:r>
          </w:p>
        </w:tc>
        <w:tc>
          <w:tcPr>
            <w:tcW w:type="dxa" w:w="850"/>
            <w:shd w:val="clear" w:color="auto" w:fill="E3F1E8"/>
          </w:tcPr>
          <w:p>
            <w:pPr>
              <w:spacing w:after="0" w:before="0"/>
              <w:jc w:val="center"/>
            </w:pPr>
            <w:r/>
            <w:r>
              <w:rPr>
                <w:rFonts w:ascii="Lato" w:hAnsi="Lato" w:cs="Lato"/>
                <w:b/>
                <w:i w:val="0"/>
                <w:color w:val="1B7A3D"/>
                <w:sz w:val="19"/>
              </w:rPr>
              <w:t>✓</w:t>
            </w:r>
          </w:p>
        </w:tc>
        <w:tc>
          <w:tcPr>
            <w:tcW w:type="dxa" w:w="6917"/>
          </w:tcPr>
          <w:p>
            <w:pPr>
              <w:spacing w:after="20" w:before="0"/>
            </w:pPr>
            <w:r/>
            <w:r>
              <w:rPr>
                <w:rFonts w:ascii="Lato" w:hAnsi="Lato" w:cs="Lato"/>
                <w:b w:val="0"/>
                <w:i w:val="0"/>
                <w:color w:val="2B2F33"/>
                <w:sz w:val="14"/>
              </w:rPr>
              <w:t>All offer BI. Allianz is structurally broader (splits Increased Cost of Working and Book Debts into discrete sections). AXA XL has a full BI section (incl. Rent Receivable / Turnover). Confirm TMHCC S3 expressly covers ICOW/AICOW and book debts.</w:t>
            </w:r>
          </w:p>
        </w:tc>
      </w:tr>
      <w:tr>
        <w:tc>
          <w:tcPr>
            <w:tcW w:type="dxa" w:w="2381"/>
            <w:shd w:val="clear" w:color="auto" w:fill="F4F7F9"/>
          </w:tcPr>
          <w:p>
            <w:pPr>
              <w:spacing w:after="20" w:before="0"/>
            </w:pPr>
            <w:r/>
            <w:r>
              <w:rPr>
                <w:rFonts w:ascii="Lato" w:hAnsi="Lato" w:cs="Lato"/>
                <w:b/>
                <w:i w:val="0"/>
                <w:color w:val="00648B"/>
                <w:sz w:val="15"/>
              </w:rPr>
              <w:t>S4 · Terrorism</w:t>
            </w:r>
          </w:p>
        </w:tc>
        <w:tc>
          <w:tcPr>
            <w:tcW w:type="dxa" w:w="850"/>
            <w:shd w:val="clear" w:color="auto" w:fill="E3F1E8"/>
          </w:tcPr>
          <w:p>
            <w:pPr>
              <w:spacing w:after="0" w:before="0"/>
              <w:jc w:val="center"/>
            </w:pPr>
            <w:r/>
            <w:r>
              <w:rPr>
                <w:rFonts w:ascii="Lato" w:hAnsi="Lato" w:cs="Lato"/>
                <w:b/>
                <w:i w:val="0"/>
                <w:color w:val="1B7A3D"/>
                <w:sz w:val="19"/>
              </w:rPr>
              <w:t>✓</w:t>
            </w:r>
          </w:p>
        </w:tc>
        <w:tc>
          <w:tcPr>
            <w:tcW w:type="dxa" w:w="850"/>
            <w:shd w:val="clear" w:color="auto" w:fill="FBE6EA"/>
          </w:tcPr>
          <w:p>
            <w:pPr>
              <w:spacing w:after="0" w:before="0"/>
              <w:jc w:val="center"/>
            </w:pPr>
            <w:r/>
            <w:r>
              <w:rPr>
                <w:rFonts w:ascii="Lato" w:hAnsi="Lato" w:cs="Lato"/>
                <w:b/>
                <w:i w:val="0"/>
                <w:color w:val="A4233B"/>
                <w:sz w:val="19"/>
              </w:rPr>
              <w:t>✗</w:t>
            </w:r>
          </w:p>
        </w:tc>
        <w:tc>
          <w:tcPr>
            <w:tcW w:type="dxa" w:w="850"/>
            <w:shd w:val="clear" w:color="auto" w:fill="E3F1E8"/>
          </w:tcPr>
          <w:p>
            <w:pPr>
              <w:spacing w:after="0" w:before="0"/>
              <w:jc w:val="center"/>
            </w:pPr>
            <w:r/>
            <w:r>
              <w:rPr>
                <w:rFonts w:ascii="Lato" w:hAnsi="Lato" w:cs="Lato"/>
                <w:b/>
                <w:i w:val="0"/>
                <w:color w:val="1B7A3D"/>
                <w:sz w:val="19"/>
              </w:rPr>
              <w:t>✓</w:t>
            </w:r>
          </w:p>
        </w:tc>
        <w:tc>
          <w:tcPr>
            <w:tcW w:type="dxa" w:w="850"/>
            <w:shd w:val="clear" w:color="auto" w:fill="E3F1E8"/>
          </w:tcPr>
          <w:p>
            <w:pPr>
              <w:spacing w:after="0" w:before="0"/>
              <w:jc w:val="center"/>
            </w:pPr>
            <w:r/>
            <w:r>
              <w:rPr>
                <w:rFonts w:ascii="Lato" w:hAnsi="Lato" w:cs="Lato"/>
                <w:b/>
                <w:i w:val="0"/>
                <w:color w:val="1B7A3D"/>
                <w:sz w:val="19"/>
              </w:rPr>
              <w:t>✓</w:t>
            </w:r>
          </w:p>
        </w:tc>
        <w:tc>
          <w:tcPr>
            <w:tcW w:type="dxa" w:w="850"/>
            <w:shd w:val="clear" w:color="auto" w:fill="E3F1E8"/>
          </w:tcPr>
          <w:p>
            <w:pPr>
              <w:spacing w:after="0" w:before="0"/>
              <w:jc w:val="center"/>
            </w:pPr>
            <w:r/>
            <w:r>
              <w:rPr>
                <w:rFonts w:ascii="Lato" w:hAnsi="Lato" w:cs="Lato"/>
                <w:b/>
                <w:i w:val="0"/>
                <w:color w:val="1B7A3D"/>
                <w:sz w:val="19"/>
              </w:rPr>
              <w:t>✓</w:t>
            </w:r>
          </w:p>
        </w:tc>
        <w:tc>
          <w:tcPr>
            <w:tcW w:type="dxa" w:w="850"/>
            <w:shd w:val="clear" w:color="auto" w:fill="FBE6EA"/>
          </w:tcPr>
          <w:p>
            <w:pPr>
              <w:spacing w:after="0" w:before="0"/>
              <w:jc w:val="center"/>
            </w:pPr>
            <w:r/>
            <w:r>
              <w:rPr>
                <w:rFonts w:ascii="Lato" w:hAnsi="Lato" w:cs="Lato"/>
                <w:b/>
                <w:i w:val="0"/>
                <w:color w:val="A4233B"/>
                <w:sz w:val="19"/>
              </w:rPr>
              <w:t>✗</w:t>
            </w:r>
          </w:p>
        </w:tc>
        <w:tc>
          <w:tcPr>
            <w:tcW w:type="dxa" w:w="850"/>
            <w:shd w:val="clear" w:color="auto" w:fill="E3F1E8"/>
          </w:tcPr>
          <w:p>
            <w:pPr>
              <w:spacing w:after="0" w:before="0"/>
              <w:jc w:val="center"/>
            </w:pPr>
            <w:r/>
            <w:r>
              <w:rPr>
                <w:rFonts w:ascii="Lato" w:hAnsi="Lato" w:cs="Lato"/>
                <w:b/>
                <w:i w:val="0"/>
                <w:color w:val="1B7A3D"/>
                <w:sz w:val="19"/>
              </w:rPr>
              <w:t>✓</w:t>
            </w:r>
          </w:p>
        </w:tc>
        <w:tc>
          <w:tcPr>
            <w:tcW w:type="dxa" w:w="6917"/>
            <w:shd w:val="clear" w:color="auto" w:fill="F4F7F9"/>
          </w:tcPr>
          <w:p>
            <w:pPr>
              <w:spacing w:after="20" w:before="0"/>
            </w:pPr>
            <w:r/>
            <w:r>
              <w:rPr>
                <w:rFonts w:ascii="Lato" w:hAnsi="Lato" w:cs="Lato"/>
                <w:b w:val="0"/>
                <w:i w:val="0"/>
                <w:color w:val="2B2F33"/>
                <w:sz w:val="14"/>
              </w:rPr>
              <w:t>TMHCC, Yutree, Liberty and Allianz provide terrorism cover. Tysers EXCLUDES terrorism (no buy-back). AXA XL EXCLUDES terrorism absolutely (Policy Exclusion 3.4, ex-Employers’ Liability) — client would need standalone Pool Re.</w:t>
            </w:r>
          </w:p>
        </w:tc>
      </w:tr>
      <w:tr>
        <w:tc>
          <w:tcPr>
            <w:tcW w:type="dxa" w:w="2381"/>
          </w:tcPr>
          <w:p>
            <w:pPr>
              <w:spacing w:after="20" w:before="0"/>
            </w:pPr>
            <w:r/>
            <w:r>
              <w:rPr>
                <w:rFonts w:ascii="Lato" w:hAnsi="Lato" w:cs="Lato"/>
                <w:b/>
                <w:i w:val="0"/>
                <w:color w:val="00648B"/>
                <w:sz w:val="15"/>
              </w:rPr>
              <w:t>S5 · Employers’ Liability</w:t>
            </w:r>
          </w:p>
        </w:tc>
        <w:tc>
          <w:tcPr>
            <w:tcW w:type="dxa" w:w="850"/>
            <w:shd w:val="clear" w:color="auto" w:fill="E3F1E8"/>
          </w:tcPr>
          <w:p>
            <w:pPr>
              <w:spacing w:after="0" w:before="0"/>
              <w:jc w:val="center"/>
            </w:pPr>
            <w:r/>
            <w:r>
              <w:rPr>
                <w:rFonts w:ascii="Lato" w:hAnsi="Lato" w:cs="Lato"/>
                <w:b/>
                <w:i w:val="0"/>
                <w:color w:val="1B7A3D"/>
                <w:sz w:val="19"/>
              </w:rPr>
              <w:t>✓</w:t>
            </w:r>
          </w:p>
        </w:tc>
        <w:tc>
          <w:tcPr>
            <w:tcW w:type="dxa" w:w="850"/>
            <w:shd w:val="clear" w:color="auto" w:fill="E3F1E8"/>
          </w:tcPr>
          <w:p>
            <w:pPr>
              <w:spacing w:after="0" w:before="0"/>
              <w:jc w:val="center"/>
            </w:pPr>
            <w:r/>
            <w:r>
              <w:rPr>
                <w:rFonts w:ascii="Lato" w:hAnsi="Lato" w:cs="Lato"/>
                <w:b/>
                <w:i w:val="0"/>
                <w:color w:val="1B7A3D"/>
                <w:sz w:val="19"/>
              </w:rPr>
              <w:t>✓</w:t>
            </w:r>
          </w:p>
        </w:tc>
        <w:tc>
          <w:tcPr>
            <w:tcW w:type="dxa" w:w="850"/>
            <w:shd w:val="clear" w:color="auto" w:fill="E3F1E8"/>
          </w:tcPr>
          <w:p>
            <w:pPr>
              <w:spacing w:after="0" w:before="0"/>
              <w:jc w:val="center"/>
            </w:pPr>
            <w:r/>
            <w:r>
              <w:rPr>
                <w:rFonts w:ascii="Lato" w:hAnsi="Lato" w:cs="Lato"/>
                <w:b/>
                <w:i w:val="0"/>
                <w:color w:val="1B7A3D"/>
                <w:sz w:val="19"/>
              </w:rPr>
              <w:t>✓</w:t>
            </w:r>
          </w:p>
        </w:tc>
        <w:tc>
          <w:tcPr>
            <w:tcW w:type="dxa" w:w="850"/>
            <w:shd w:val="clear" w:color="auto" w:fill="E3F1E8"/>
          </w:tcPr>
          <w:p>
            <w:pPr>
              <w:spacing w:after="0" w:before="0"/>
              <w:jc w:val="center"/>
            </w:pPr>
            <w:r/>
            <w:r>
              <w:rPr>
                <w:rFonts w:ascii="Lato" w:hAnsi="Lato" w:cs="Lato"/>
                <w:b/>
                <w:i w:val="0"/>
                <w:color w:val="1B7A3D"/>
                <w:sz w:val="19"/>
              </w:rPr>
              <w:t>✓</w:t>
            </w:r>
          </w:p>
        </w:tc>
        <w:tc>
          <w:tcPr>
            <w:tcW w:type="dxa" w:w="850"/>
            <w:shd w:val="clear" w:color="auto" w:fill="E3F1E8"/>
          </w:tcPr>
          <w:p>
            <w:pPr>
              <w:spacing w:after="0" w:before="0"/>
              <w:jc w:val="center"/>
            </w:pPr>
            <w:r/>
            <w:r>
              <w:rPr>
                <w:rFonts w:ascii="Lato" w:hAnsi="Lato" w:cs="Lato"/>
                <w:b/>
                <w:i w:val="0"/>
                <w:color w:val="1B7A3D"/>
                <w:sz w:val="19"/>
              </w:rPr>
              <w:t>✓</w:t>
            </w:r>
          </w:p>
        </w:tc>
        <w:tc>
          <w:tcPr>
            <w:tcW w:type="dxa" w:w="850"/>
            <w:shd w:val="clear" w:color="auto" w:fill="E3F1E8"/>
          </w:tcPr>
          <w:p>
            <w:pPr>
              <w:spacing w:after="0" w:before="0"/>
              <w:jc w:val="center"/>
            </w:pPr>
            <w:r/>
            <w:r>
              <w:rPr>
                <w:rFonts w:ascii="Lato" w:hAnsi="Lato" w:cs="Lato"/>
                <w:b/>
                <w:i w:val="0"/>
                <w:color w:val="1B7A3D"/>
                <w:sz w:val="19"/>
              </w:rPr>
              <w:t>✓</w:t>
            </w:r>
          </w:p>
        </w:tc>
        <w:tc>
          <w:tcPr>
            <w:tcW w:type="dxa" w:w="850"/>
            <w:shd w:val="clear" w:color="auto" w:fill="E3F1E8"/>
          </w:tcPr>
          <w:p>
            <w:pPr>
              <w:spacing w:after="0" w:before="0"/>
              <w:jc w:val="center"/>
            </w:pPr>
            <w:r/>
            <w:r>
              <w:rPr>
                <w:rFonts w:ascii="Lato" w:hAnsi="Lato" w:cs="Lato"/>
                <w:b/>
                <w:i w:val="0"/>
                <w:color w:val="1B7A3D"/>
                <w:sz w:val="19"/>
              </w:rPr>
              <w:t>✓</w:t>
            </w:r>
          </w:p>
        </w:tc>
        <w:tc>
          <w:tcPr>
            <w:tcW w:type="dxa" w:w="6917"/>
          </w:tcPr>
          <w:p>
            <w:pPr>
              <w:spacing w:after="20" w:before="0"/>
            </w:pPr>
            <w:r/>
            <w:r>
              <w:rPr>
                <w:rFonts w:ascii="Lato" w:hAnsi="Lato" w:cs="Lato"/>
                <w:b w:val="0"/>
                <w:i w:val="0"/>
                <w:color w:val="2B2F33"/>
                <w:sz w:val="14"/>
              </w:rPr>
              <w:t>Statutory EL provided by all six (typically GBP 10m). Broadly equivalent. AXA XL = sub-section 7C.</w:t>
            </w:r>
          </w:p>
        </w:tc>
      </w:tr>
      <w:tr>
        <w:tc>
          <w:tcPr>
            <w:tcW w:type="dxa" w:w="2381"/>
            <w:shd w:val="clear" w:color="auto" w:fill="F4F7F9"/>
          </w:tcPr>
          <w:p>
            <w:pPr>
              <w:spacing w:after="20" w:before="0"/>
            </w:pPr>
            <w:r/>
            <w:r>
              <w:rPr>
                <w:rFonts w:ascii="Lato" w:hAnsi="Lato" w:cs="Lato"/>
                <w:b/>
                <w:i w:val="0"/>
                <w:color w:val="00648B"/>
                <w:sz w:val="15"/>
              </w:rPr>
              <w:t>S6 · Public Liability</w:t>
            </w:r>
          </w:p>
        </w:tc>
        <w:tc>
          <w:tcPr>
            <w:tcW w:type="dxa" w:w="850"/>
            <w:shd w:val="clear" w:color="auto" w:fill="E3F1E8"/>
          </w:tcPr>
          <w:p>
            <w:pPr>
              <w:spacing w:after="0" w:before="0"/>
              <w:jc w:val="center"/>
            </w:pPr>
            <w:r/>
            <w:r>
              <w:rPr>
                <w:rFonts w:ascii="Lato" w:hAnsi="Lato" w:cs="Lato"/>
                <w:b/>
                <w:i w:val="0"/>
                <w:color w:val="1B7A3D"/>
                <w:sz w:val="19"/>
              </w:rPr>
              <w:t>✓</w:t>
            </w:r>
          </w:p>
        </w:tc>
        <w:tc>
          <w:tcPr>
            <w:tcW w:type="dxa" w:w="850"/>
            <w:shd w:val="clear" w:color="auto" w:fill="E3F1E8"/>
          </w:tcPr>
          <w:p>
            <w:pPr>
              <w:spacing w:after="0" w:before="0"/>
              <w:jc w:val="center"/>
            </w:pPr>
            <w:r/>
            <w:r>
              <w:rPr>
                <w:rFonts w:ascii="Lato" w:hAnsi="Lato" w:cs="Lato"/>
                <w:b/>
                <w:i w:val="0"/>
                <w:color w:val="1B7A3D"/>
                <w:sz w:val="19"/>
              </w:rPr>
              <w:t>✓</w:t>
            </w:r>
          </w:p>
        </w:tc>
        <w:tc>
          <w:tcPr>
            <w:tcW w:type="dxa" w:w="850"/>
            <w:shd w:val="clear" w:color="auto" w:fill="E3F1E8"/>
          </w:tcPr>
          <w:p>
            <w:pPr>
              <w:spacing w:after="0" w:before="0"/>
              <w:jc w:val="center"/>
            </w:pPr>
            <w:r/>
            <w:r>
              <w:rPr>
                <w:rFonts w:ascii="Lato" w:hAnsi="Lato" w:cs="Lato"/>
                <w:b/>
                <w:i w:val="0"/>
                <w:color w:val="1B7A3D"/>
                <w:sz w:val="19"/>
              </w:rPr>
              <w:t>✓</w:t>
            </w:r>
          </w:p>
        </w:tc>
        <w:tc>
          <w:tcPr>
            <w:tcW w:type="dxa" w:w="850"/>
            <w:shd w:val="clear" w:color="auto" w:fill="E3F1E8"/>
          </w:tcPr>
          <w:p>
            <w:pPr>
              <w:spacing w:after="0" w:before="0"/>
              <w:jc w:val="center"/>
            </w:pPr>
            <w:r/>
            <w:r>
              <w:rPr>
                <w:rFonts w:ascii="Lato" w:hAnsi="Lato" w:cs="Lato"/>
                <w:b/>
                <w:i w:val="0"/>
                <w:color w:val="1B7A3D"/>
                <w:sz w:val="19"/>
              </w:rPr>
              <w:t>✓</w:t>
            </w:r>
          </w:p>
        </w:tc>
        <w:tc>
          <w:tcPr>
            <w:tcW w:type="dxa" w:w="850"/>
            <w:shd w:val="clear" w:color="auto" w:fill="E3F1E8"/>
          </w:tcPr>
          <w:p>
            <w:pPr>
              <w:spacing w:after="0" w:before="0"/>
              <w:jc w:val="center"/>
            </w:pPr>
            <w:r/>
            <w:r>
              <w:rPr>
                <w:rFonts w:ascii="Lato" w:hAnsi="Lato" w:cs="Lato"/>
                <w:b/>
                <w:i w:val="0"/>
                <w:color w:val="1B7A3D"/>
                <w:sz w:val="19"/>
              </w:rPr>
              <w:t>✓</w:t>
            </w:r>
          </w:p>
        </w:tc>
        <w:tc>
          <w:tcPr>
            <w:tcW w:type="dxa" w:w="850"/>
            <w:shd w:val="clear" w:color="auto" w:fill="E3F1E8"/>
          </w:tcPr>
          <w:p>
            <w:pPr>
              <w:spacing w:after="0" w:before="0"/>
              <w:jc w:val="center"/>
            </w:pPr>
            <w:r/>
            <w:r>
              <w:rPr>
                <w:rFonts w:ascii="Lato" w:hAnsi="Lato" w:cs="Lato"/>
                <w:b/>
                <w:i w:val="0"/>
                <w:color w:val="1B7A3D"/>
                <w:sz w:val="19"/>
              </w:rPr>
              <w:t>✓</w:t>
            </w:r>
          </w:p>
        </w:tc>
        <w:tc>
          <w:tcPr>
            <w:tcW w:type="dxa" w:w="850"/>
            <w:shd w:val="clear" w:color="auto" w:fill="E3F1E8"/>
          </w:tcPr>
          <w:p>
            <w:pPr>
              <w:spacing w:after="0" w:before="0"/>
              <w:jc w:val="center"/>
            </w:pPr>
            <w:r/>
            <w:r>
              <w:rPr>
                <w:rFonts w:ascii="Lato" w:hAnsi="Lato" w:cs="Lato"/>
                <w:b/>
                <w:i w:val="0"/>
                <w:color w:val="1B7A3D"/>
                <w:sz w:val="19"/>
              </w:rPr>
              <w:t>✓</w:t>
            </w:r>
          </w:p>
        </w:tc>
        <w:tc>
          <w:tcPr>
            <w:tcW w:type="dxa" w:w="6917"/>
            <w:shd w:val="clear" w:color="auto" w:fill="F4F7F9"/>
          </w:tcPr>
          <w:p>
            <w:pPr>
              <w:spacing w:after="20" w:before="0"/>
            </w:pPr>
            <w:r/>
            <w:r>
              <w:rPr>
                <w:rFonts w:ascii="Lato" w:hAnsi="Lato" w:cs="Lato"/>
                <w:b w:val="0"/>
                <w:i w:val="0"/>
                <w:color w:val="2B2F33"/>
                <w:sz w:val="14"/>
              </w:rPr>
              <w:t>Provided by all. Competitors combine Public &amp; Products; TMHCC splits Public (S6) and Products (S7). AXA XL = sub-section 7A.</w:t>
            </w:r>
          </w:p>
        </w:tc>
      </w:tr>
      <w:tr>
        <w:tc>
          <w:tcPr>
            <w:tcW w:type="dxa" w:w="2381"/>
          </w:tcPr>
          <w:p>
            <w:pPr>
              <w:spacing w:after="20" w:before="0"/>
            </w:pPr>
            <w:r/>
            <w:r>
              <w:rPr>
                <w:rFonts w:ascii="Lato" w:hAnsi="Lato" w:cs="Lato"/>
                <w:b/>
                <w:i w:val="0"/>
                <w:color w:val="00648B"/>
                <w:sz w:val="15"/>
              </w:rPr>
              <w:t>S7 · Products Liability</w:t>
            </w:r>
          </w:p>
        </w:tc>
        <w:tc>
          <w:tcPr>
            <w:tcW w:type="dxa" w:w="850"/>
            <w:shd w:val="clear" w:color="auto" w:fill="E3F1E8"/>
          </w:tcPr>
          <w:p>
            <w:pPr>
              <w:spacing w:after="0" w:before="0"/>
              <w:jc w:val="center"/>
            </w:pPr>
            <w:r/>
            <w:r>
              <w:rPr>
                <w:rFonts w:ascii="Lato" w:hAnsi="Lato" w:cs="Lato"/>
                <w:b/>
                <w:i w:val="0"/>
                <w:color w:val="1B7A3D"/>
                <w:sz w:val="19"/>
              </w:rPr>
              <w:t>✓</w:t>
            </w:r>
          </w:p>
        </w:tc>
        <w:tc>
          <w:tcPr>
            <w:tcW w:type="dxa" w:w="850"/>
            <w:shd w:val="clear" w:color="auto" w:fill="E3F1E8"/>
          </w:tcPr>
          <w:p>
            <w:pPr>
              <w:spacing w:after="0" w:before="0"/>
              <w:jc w:val="center"/>
            </w:pPr>
            <w:r/>
            <w:r>
              <w:rPr>
                <w:rFonts w:ascii="Lato" w:hAnsi="Lato" w:cs="Lato"/>
                <w:b/>
                <w:i w:val="0"/>
                <w:color w:val="1B7A3D"/>
                <w:sz w:val="19"/>
              </w:rPr>
              <w:t>✓</w:t>
            </w:r>
          </w:p>
        </w:tc>
        <w:tc>
          <w:tcPr>
            <w:tcW w:type="dxa" w:w="850"/>
            <w:shd w:val="clear" w:color="auto" w:fill="E3F1E8"/>
          </w:tcPr>
          <w:p>
            <w:pPr>
              <w:spacing w:after="0" w:before="0"/>
              <w:jc w:val="center"/>
            </w:pPr>
            <w:r/>
            <w:r>
              <w:rPr>
                <w:rFonts w:ascii="Lato" w:hAnsi="Lato" w:cs="Lato"/>
                <w:b/>
                <w:i w:val="0"/>
                <w:color w:val="1B7A3D"/>
                <w:sz w:val="19"/>
              </w:rPr>
              <w:t>✓</w:t>
            </w:r>
          </w:p>
        </w:tc>
        <w:tc>
          <w:tcPr>
            <w:tcW w:type="dxa" w:w="850"/>
            <w:shd w:val="clear" w:color="auto" w:fill="E3F1E8"/>
          </w:tcPr>
          <w:p>
            <w:pPr>
              <w:spacing w:after="0" w:before="0"/>
              <w:jc w:val="center"/>
            </w:pPr>
            <w:r/>
            <w:r>
              <w:rPr>
                <w:rFonts w:ascii="Lato" w:hAnsi="Lato" w:cs="Lato"/>
                <w:b/>
                <w:i w:val="0"/>
                <w:color w:val="1B7A3D"/>
                <w:sz w:val="19"/>
              </w:rPr>
              <w:t>✓</w:t>
            </w:r>
          </w:p>
        </w:tc>
        <w:tc>
          <w:tcPr>
            <w:tcW w:type="dxa" w:w="850"/>
            <w:shd w:val="clear" w:color="auto" w:fill="E3F1E8"/>
          </w:tcPr>
          <w:p>
            <w:pPr>
              <w:spacing w:after="0" w:before="0"/>
              <w:jc w:val="center"/>
            </w:pPr>
            <w:r/>
            <w:r>
              <w:rPr>
                <w:rFonts w:ascii="Lato" w:hAnsi="Lato" w:cs="Lato"/>
                <w:b/>
                <w:i w:val="0"/>
                <w:color w:val="1B7A3D"/>
                <w:sz w:val="19"/>
              </w:rPr>
              <w:t>✓</w:t>
            </w:r>
          </w:p>
        </w:tc>
        <w:tc>
          <w:tcPr>
            <w:tcW w:type="dxa" w:w="850"/>
            <w:shd w:val="clear" w:color="auto" w:fill="E3F1E8"/>
          </w:tcPr>
          <w:p>
            <w:pPr>
              <w:spacing w:after="0" w:before="0"/>
              <w:jc w:val="center"/>
            </w:pPr>
            <w:r/>
            <w:r>
              <w:rPr>
                <w:rFonts w:ascii="Lato" w:hAnsi="Lato" w:cs="Lato"/>
                <w:b/>
                <w:i w:val="0"/>
                <w:color w:val="1B7A3D"/>
                <w:sz w:val="19"/>
              </w:rPr>
              <w:t>✓</w:t>
            </w:r>
          </w:p>
        </w:tc>
        <w:tc>
          <w:tcPr>
            <w:tcW w:type="dxa" w:w="850"/>
            <w:shd w:val="clear" w:color="auto" w:fill="E3F1E8"/>
          </w:tcPr>
          <w:p>
            <w:pPr>
              <w:spacing w:after="0" w:before="0"/>
              <w:jc w:val="center"/>
            </w:pPr>
            <w:r/>
            <w:r>
              <w:rPr>
                <w:rFonts w:ascii="Lato" w:hAnsi="Lato" w:cs="Lato"/>
                <w:b/>
                <w:i w:val="0"/>
                <w:color w:val="1B7A3D"/>
                <w:sz w:val="19"/>
              </w:rPr>
              <w:t>✓</w:t>
            </w:r>
          </w:p>
        </w:tc>
        <w:tc>
          <w:tcPr>
            <w:tcW w:type="dxa" w:w="6917"/>
          </w:tcPr>
          <w:p>
            <w:pPr>
              <w:spacing w:after="20" w:before="0"/>
            </w:pPr>
            <w:r/>
            <w:r>
              <w:rPr>
                <w:rFonts w:ascii="Lato" w:hAnsi="Lato" w:cs="Lato"/>
                <w:b w:val="0"/>
                <w:i w:val="0"/>
                <w:color w:val="2B2F33"/>
                <w:sz w:val="14"/>
              </w:rPr>
              <w:t>Provided by all (combined with Public in the competitor wordings). AXA XL = sub-section 7B.</w:t>
            </w:r>
          </w:p>
        </w:tc>
      </w:tr>
      <w:tr>
        <w:tc>
          <w:tcPr>
            <w:tcW w:type="dxa" w:w="2381"/>
            <w:shd w:val="clear" w:color="auto" w:fill="F4F7F9"/>
          </w:tcPr>
          <w:p>
            <w:pPr>
              <w:spacing w:after="20" w:before="0"/>
            </w:pPr>
            <w:r/>
            <w:r>
              <w:rPr>
                <w:rFonts w:ascii="Lato" w:hAnsi="Lato" w:cs="Lato"/>
                <w:b/>
                <w:i w:val="0"/>
                <w:color w:val="00648B"/>
                <w:sz w:val="15"/>
              </w:rPr>
              <w:t>S8 · Money</w:t>
            </w:r>
          </w:p>
        </w:tc>
        <w:tc>
          <w:tcPr>
            <w:tcW w:type="dxa" w:w="850"/>
            <w:shd w:val="clear" w:color="auto" w:fill="E3F1E8"/>
          </w:tcPr>
          <w:p>
            <w:pPr>
              <w:spacing w:after="0" w:before="0"/>
              <w:jc w:val="center"/>
            </w:pPr>
            <w:r/>
            <w:r>
              <w:rPr>
                <w:rFonts w:ascii="Lato" w:hAnsi="Lato" w:cs="Lato"/>
                <w:b/>
                <w:i w:val="0"/>
                <w:color w:val="1B7A3D"/>
                <w:sz w:val="19"/>
              </w:rPr>
              <w:t>✓</w:t>
            </w:r>
          </w:p>
        </w:tc>
        <w:tc>
          <w:tcPr>
            <w:tcW w:type="dxa" w:w="850"/>
            <w:shd w:val="clear" w:color="auto" w:fill="E3F1E8"/>
          </w:tcPr>
          <w:p>
            <w:pPr>
              <w:spacing w:after="0" w:before="0"/>
              <w:jc w:val="center"/>
            </w:pPr>
            <w:r/>
            <w:r>
              <w:rPr>
                <w:rFonts w:ascii="Lato" w:hAnsi="Lato" w:cs="Lato"/>
                <w:b/>
                <w:i w:val="0"/>
                <w:color w:val="1B7A3D"/>
                <w:sz w:val="19"/>
              </w:rPr>
              <w:t>✓</w:t>
            </w:r>
          </w:p>
        </w:tc>
        <w:tc>
          <w:tcPr>
            <w:tcW w:type="dxa" w:w="850"/>
            <w:shd w:val="clear" w:color="auto" w:fill="E3F1E8"/>
          </w:tcPr>
          <w:p>
            <w:pPr>
              <w:spacing w:after="0" w:before="0"/>
              <w:jc w:val="center"/>
            </w:pPr>
            <w:r/>
            <w:r>
              <w:rPr>
                <w:rFonts w:ascii="Lato" w:hAnsi="Lato" w:cs="Lato"/>
                <w:b/>
                <w:i w:val="0"/>
                <w:color w:val="1B7A3D"/>
                <w:sz w:val="19"/>
              </w:rPr>
              <w:t>✓</w:t>
            </w:r>
          </w:p>
        </w:tc>
        <w:tc>
          <w:tcPr>
            <w:tcW w:type="dxa" w:w="850"/>
            <w:shd w:val="clear" w:color="auto" w:fill="E3F1E8"/>
          </w:tcPr>
          <w:p>
            <w:pPr>
              <w:spacing w:after="0" w:before="0"/>
              <w:jc w:val="center"/>
            </w:pPr>
            <w:r/>
            <w:r>
              <w:rPr>
                <w:rFonts w:ascii="Lato" w:hAnsi="Lato" w:cs="Lato"/>
                <w:b/>
                <w:i w:val="0"/>
                <w:color w:val="1B7A3D"/>
                <w:sz w:val="19"/>
              </w:rPr>
              <w:t>✓</w:t>
            </w:r>
          </w:p>
        </w:tc>
        <w:tc>
          <w:tcPr>
            <w:tcW w:type="dxa" w:w="850"/>
            <w:shd w:val="clear" w:color="auto" w:fill="E3F1E8"/>
          </w:tcPr>
          <w:p>
            <w:pPr>
              <w:spacing w:after="0" w:before="0"/>
              <w:jc w:val="center"/>
            </w:pPr>
            <w:r/>
            <w:r>
              <w:rPr>
                <w:rFonts w:ascii="Lato" w:hAnsi="Lato" w:cs="Lato"/>
                <w:b/>
                <w:i w:val="0"/>
                <w:color w:val="1B7A3D"/>
                <w:sz w:val="19"/>
              </w:rPr>
              <w:t>✓</w:t>
            </w:r>
          </w:p>
        </w:tc>
        <w:tc>
          <w:tcPr>
            <w:tcW w:type="dxa" w:w="850"/>
            <w:shd w:val="clear" w:color="auto" w:fill="FBF1DA"/>
          </w:tcPr>
          <w:p>
            <w:pPr>
              <w:spacing w:after="0" w:before="0"/>
              <w:jc w:val="center"/>
            </w:pPr>
            <w:r/>
            <w:r>
              <w:rPr>
                <w:rFonts w:ascii="Lato" w:hAnsi="Lato" w:cs="Lato"/>
                <w:b/>
                <w:i w:val="0"/>
                <w:color w:val="8A6A1E"/>
                <w:sz w:val="19"/>
              </w:rPr>
              <w:t>◐</w:t>
            </w:r>
          </w:p>
        </w:tc>
        <w:tc>
          <w:tcPr>
            <w:tcW w:type="dxa" w:w="850"/>
            <w:shd w:val="clear" w:color="auto" w:fill="E3F1E8"/>
          </w:tcPr>
          <w:p>
            <w:pPr>
              <w:spacing w:after="0" w:before="0"/>
              <w:jc w:val="center"/>
            </w:pPr>
            <w:r/>
            <w:r>
              <w:rPr>
                <w:rFonts w:ascii="Lato" w:hAnsi="Lato" w:cs="Lato"/>
                <w:b/>
                <w:i w:val="0"/>
                <w:color w:val="1B7A3D"/>
                <w:sz w:val="19"/>
              </w:rPr>
              <w:t>✓</w:t>
            </w:r>
          </w:p>
        </w:tc>
        <w:tc>
          <w:tcPr>
            <w:tcW w:type="dxa" w:w="6917"/>
            <w:shd w:val="clear" w:color="auto" w:fill="F4F7F9"/>
          </w:tcPr>
          <w:p>
            <w:pPr>
              <w:spacing w:after="20" w:before="0"/>
            </w:pPr>
            <w:r/>
            <w:r>
              <w:rPr>
                <w:rFonts w:ascii="Lato" w:hAnsi="Lato" w:cs="Lato"/>
                <w:b w:val="0"/>
                <w:i w:val="0"/>
                <w:color w:val="2B2F33"/>
                <w:sz w:val="14"/>
              </w:rPr>
              <w:t>Money cover provided by all. AXA XL provides Money as a sub-limited ‘Money’ specification WITHIN the Material Damage section (schedule-driven) rather than a standalone section.</w:t>
            </w:r>
          </w:p>
        </w:tc>
      </w:tr>
      <w:tr>
        <w:tc>
          <w:tcPr>
            <w:tcW w:type="dxa" w:w="2381"/>
          </w:tcPr>
          <w:p>
            <w:pPr>
              <w:spacing w:after="20" w:before="0"/>
            </w:pPr>
            <w:r/>
            <w:r>
              <w:rPr>
                <w:rFonts w:ascii="Lato" w:hAnsi="Lato" w:cs="Lato"/>
                <w:b/>
                <w:i w:val="0"/>
                <w:color w:val="00648B"/>
                <w:sz w:val="15"/>
              </w:rPr>
              <w:t>S9 · Goods in Transit</w:t>
            </w:r>
          </w:p>
        </w:tc>
        <w:tc>
          <w:tcPr>
            <w:tcW w:type="dxa" w:w="850"/>
            <w:shd w:val="clear" w:color="auto" w:fill="E3F1E8"/>
          </w:tcPr>
          <w:p>
            <w:pPr>
              <w:spacing w:after="0" w:before="0"/>
              <w:jc w:val="center"/>
            </w:pPr>
            <w:r/>
            <w:r>
              <w:rPr>
                <w:rFonts w:ascii="Lato" w:hAnsi="Lato" w:cs="Lato"/>
                <w:b/>
                <w:i w:val="0"/>
                <w:color w:val="1B7A3D"/>
                <w:sz w:val="19"/>
              </w:rPr>
              <w:t>✓</w:t>
            </w:r>
          </w:p>
        </w:tc>
        <w:tc>
          <w:tcPr>
            <w:tcW w:type="dxa" w:w="850"/>
            <w:shd w:val="clear" w:color="auto" w:fill="FBE6EA"/>
          </w:tcPr>
          <w:p>
            <w:pPr>
              <w:spacing w:after="0" w:before="0"/>
              <w:jc w:val="center"/>
            </w:pPr>
            <w:r/>
            <w:r>
              <w:rPr>
                <w:rFonts w:ascii="Lato" w:hAnsi="Lato" w:cs="Lato"/>
                <w:b/>
                <w:i w:val="0"/>
                <w:color w:val="A4233B"/>
                <w:sz w:val="19"/>
              </w:rPr>
              <w:t>✗</w:t>
            </w:r>
          </w:p>
        </w:tc>
        <w:tc>
          <w:tcPr>
            <w:tcW w:type="dxa" w:w="850"/>
            <w:shd w:val="clear" w:color="auto" w:fill="E3F1E8"/>
          </w:tcPr>
          <w:p>
            <w:pPr>
              <w:spacing w:after="0" w:before="0"/>
              <w:jc w:val="center"/>
            </w:pPr>
            <w:r/>
            <w:r>
              <w:rPr>
                <w:rFonts w:ascii="Lato" w:hAnsi="Lato" w:cs="Lato"/>
                <w:b/>
                <w:i w:val="0"/>
                <w:color w:val="1B7A3D"/>
                <w:sz w:val="19"/>
              </w:rPr>
              <w:t>✓</w:t>
            </w:r>
          </w:p>
        </w:tc>
        <w:tc>
          <w:tcPr>
            <w:tcW w:type="dxa" w:w="850"/>
            <w:shd w:val="clear" w:color="auto" w:fill="FBE6EA"/>
          </w:tcPr>
          <w:p>
            <w:pPr>
              <w:spacing w:after="0" w:before="0"/>
              <w:jc w:val="center"/>
            </w:pPr>
            <w:r/>
            <w:r>
              <w:rPr>
                <w:rFonts w:ascii="Lato" w:hAnsi="Lato" w:cs="Lato"/>
                <w:b/>
                <w:i w:val="0"/>
                <w:color w:val="A4233B"/>
                <w:sz w:val="19"/>
              </w:rPr>
              <w:t>✗</w:t>
            </w:r>
          </w:p>
        </w:tc>
        <w:tc>
          <w:tcPr>
            <w:tcW w:type="dxa" w:w="850"/>
            <w:shd w:val="clear" w:color="auto" w:fill="E3F1E8"/>
          </w:tcPr>
          <w:p>
            <w:pPr>
              <w:spacing w:after="0" w:before="0"/>
              <w:jc w:val="center"/>
            </w:pPr>
            <w:r/>
            <w:r>
              <w:rPr>
                <w:rFonts w:ascii="Lato" w:hAnsi="Lato" w:cs="Lato"/>
                <w:b/>
                <w:i w:val="0"/>
                <w:color w:val="1B7A3D"/>
                <w:sz w:val="19"/>
              </w:rPr>
              <w:t>✓</w:t>
            </w:r>
          </w:p>
        </w:tc>
        <w:tc>
          <w:tcPr>
            <w:tcW w:type="dxa" w:w="850"/>
            <w:shd w:val="clear" w:color="auto" w:fill="FBE6EA"/>
          </w:tcPr>
          <w:p>
            <w:pPr>
              <w:spacing w:after="0" w:before="0"/>
              <w:jc w:val="center"/>
            </w:pPr>
            <w:r/>
            <w:r>
              <w:rPr>
                <w:rFonts w:ascii="Lato" w:hAnsi="Lato" w:cs="Lato"/>
                <w:b/>
                <w:i w:val="0"/>
                <w:color w:val="A4233B"/>
                <w:sz w:val="19"/>
              </w:rPr>
              <w:t>✗</w:t>
            </w:r>
          </w:p>
        </w:tc>
        <w:tc>
          <w:tcPr>
            <w:tcW w:type="dxa" w:w="850"/>
            <w:shd w:val="clear" w:color="auto" w:fill="FBE6EA"/>
          </w:tcPr>
          <w:p>
            <w:pPr>
              <w:spacing w:after="0" w:before="0"/>
              <w:jc w:val="center"/>
            </w:pPr>
            <w:r/>
            <w:r>
              <w:rPr>
                <w:rFonts w:ascii="Lato" w:hAnsi="Lato" w:cs="Lato"/>
                <w:b/>
                <w:i w:val="0"/>
                <w:color w:val="A4233B"/>
                <w:sz w:val="19"/>
              </w:rPr>
              <w:t>✗</w:t>
            </w:r>
          </w:p>
        </w:tc>
        <w:tc>
          <w:tcPr>
            <w:tcW w:type="dxa" w:w="6917"/>
          </w:tcPr>
          <w:p>
            <w:pPr>
              <w:spacing w:after="20" w:before="0"/>
            </w:pPr>
            <w:r/>
            <w:r>
              <w:rPr>
                <w:rFonts w:ascii="Lato" w:hAnsi="Lato" w:cs="Lato"/>
                <w:b w:val="0"/>
                <w:i w:val="0"/>
                <w:color w:val="2B2F33"/>
                <w:sz w:val="14"/>
              </w:rPr>
              <w:t>TMHCC, Yutree (GIT section) and Allianz (Own Goods in Transit) provide GIT. Tysers, Liberty and AXA XL do NOT have a dedicated GIT section.</w:t>
            </w:r>
          </w:p>
        </w:tc>
      </w:tr>
      <w:tr>
        <w:tc>
          <w:tcPr>
            <w:tcW w:type="dxa" w:w="2381"/>
            <w:shd w:val="clear" w:color="auto" w:fill="F4F7F9"/>
          </w:tcPr>
          <w:p>
            <w:pPr>
              <w:spacing w:after="20" w:before="0"/>
            </w:pPr>
            <w:r/>
            <w:r>
              <w:rPr>
                <w:rFonts w:ascii="Lato" w:hAnsi="Lato" w:cs="Lato"/>
                <w:b/>
                <w:i w:val="0"/>
                <w:color w:val="00648B"/>
                <w:sz w:val="15"/>
              </w:rPr>
              <w:t>S10 · Loss of Licence</w:t>
            </w:r>
          </w:p>
        </w:tc>
        <w:tc>
          <w:tcPr>
            <w:tcW w:type="dxa" w:w="850"/>
            <w:shd w:val="clear" w:color="auto" w:fill="E3F1E8"/>
          </w:tcPr>
          <w:p>
            <w:pPr>
              <w:spacing w:after="0" w:before="0"/>
              <w:jc w:val="center"/>
            </w:pPr>
            <w:r/>
            <w:r>
              <w:rPr>
                <w:rFonts w:ascii="Lato" w:hAnsi="Lato" w:cs="Lato"/>
                <w:b/>
                <w:i w:val="0"/>
                <w:color w:val="1B7A3D"/>
                <w:sz w:val="19"/>
              </w:rPr>
              <w:t>✓</w:t>
            </w:r>
          </w:p>
        </w:tc>
        <w:tc>
          <w:tcPr>
            <w:tcW w:type="dxa" w:w="850"/>
            <w:shd w:val="clear" w:color="auto" w:fill="FBE6EA"/>
          </w:tcPr>
          <w:p>
            <w:pPr>
              <w:spacing w:after="0" w:before="0"/>
              <w:jc w:val="center"/>
            </w:pPr>
            <w:r/>
            <w:r>
              <w:rPr>
                <w:rFonts w:ascii="Lato" w:hAnsi="Lato" w:cs="Lato"/>
                <w:b/>
                <w:i w:val="0"/>
                <w:color w:val="A4233B"/>
                <w:sz w:val="19"/>
              </w:rPr>
              <w:t>✗</w:t>
            </w:r>
          </w:p>
        </w:tc>
        <w:tc>
          <w:tcPr>
            <w:tcW w:type="dxa" w:w="850"/>
            <w:shd w:val="clear" w:color="auto" w:fill="FBE6EA"/>
          </w:tcPr>
          <w:p>
            <w:pPr>
              <w:spacing w:after="0" w:before="0"/>
              <w:jc w:val="center"/>
            </w:pPr>
            <w:r/>
            <w:r>
              <w:rPr>
                <w:rFonts w:ascii="Lato" w:hAnsi="Lato" w:cs="Lato"/>
                <w:b/>
                <w:i w:val="0"/>
                <w:color w:val="A4233B"/>
                <w:sz w:val="19"/>
              </w:rPr>
              <w:t>✗</w:t>
            </w:r>
          </w:p>
        </w:tc>
        <w:tc>
          <w:tcPr>
            <w:tcW w:type="dxa" w:w="850"/>
            <w:shd w:val="clear" w:color="auto" w:fill="FBE6EA"/>
          </w:tcPr>
          <w:p>
            <w:pPr>
              <w:spacing w:after="0" w:before="0"/>
              <w:jc w:val="center"/>
            </w:pPr>
            <w:r/>
            <w:r>
              <w:rPr>
                <w:rFonts w:ascii="Lato" w:hAnsi="Lato" w:cs="Lato"/>
                <w:b/>
                <w:i w:val="0"/>
                <w:color w:val="A4233B"/>
                <w:sz w:val="19"/>
              </w:rPr>
              <w:t>✗</w:t>
            </w:r>
          </w:p>
        </w:tc>
        <w:tc>
          <w:tcPr>
            <w:tcW w:type="dxa" w:w="850"/>
            <w:shd w:val="clear" w:color="auto" w:fill="FBE6EA"/>
          </w:tcPr>
          <w:p>
            <w:pPr>
              <w:spacing w:after="0" w:before="0"/>
              <w:jc w:val="center"/>
            </w:pPr>
            <w:r/>
            <w:r>
              <w:rPr>
                <w:rFonts w:ascii="Lato" w:hAnsi="Lato" w:cs="Lato"/>
                <w:b/>
                <w:i w:val="0"/>
                <w:color w:val="A4233B"/>
                <w:sz w:val="19"/>
              </w:rPr>
              <w:t>✗</w:t>
            </w:r>
          </w:p>
        </w:tc>
        <w:tc>
          <w:tcPr>
            <w:tcW w:type="dxa" w:w="850"/>
            <w:shd w:val="clear" w:color="auto" w:fill="FBE6EA"/>
          </w:tcPr>
          <w:p>
            <w:pPr>
              <w:spacing w:after="0" w:before="0"/>
              <w:jc w:val="center"/>
            </w:pPr>
            <w:r/>
            <w:r>
              <w:rPr>
                <w:rFonts w:ascii="Lato" w:hAnsi="Lato" w:cs="Lato"/>
                <w:b/>
                <w:i w:val="0"/>
                <w:color w:val="A4233B"/>
                <w:sz w:val="19"/>
              </w:rPr>
              <w:t>✗</w:t>
            </w:r>
          </w:p>
        </w:tc>
        <w:tc>
          <w:tcPr>
            <w:tcW w:type="dxa" w:w="850"/>
            <w:shd w:val="clear" w:color="auto" w:fill="FBE6EA"/>
          </w:tcPr>
          <w:p>
            <w:pPr>
              <w:spacing w:after="0" w:before="0"/>
              <w:jc w:val="center"/>
            </w:pPr>
            <w:r/>
            <w:r>
              <w:rPr>
                <w:rFonts w:ascii="Lato" w:hAnsi="Lato" w:cs="Lato"/>
                <w:b/>
                <w:i w:val="0"/>
                <w:color w:val="A4233B"/>
                <w:sz w:val="19"/>
              </w:rPr>
              <w:t>✗</w:t>
            </w:r>
          </w:p>
        </w:tc>
        <w:tc>
          <w:tcPr>
            <w:tcW w:type="dxa" w:w="6917"/>
            <w:shd w:val="clear" w:color="auto" w:fill="F4F7F9"/>
          </w:tcPr>
          <w:p>
            <w:pPr>
              <w:spacing w:after="20" w:before="0"/>
            </w:pPr>
            <w:r/>
            <w:r>
              <w:rPr>
                <w:rFonts w:ascii="Lato" w:hAnsi="Lato" w:cs="Lato"/>
                <w:b w:val="0"/>
                <w:i w:val="0"/>
                <w:color w:val="2B2F33"/>
                <w:sz w:val="14"/>
              </w:rPr>
              <w:t>UNIQUE to TMHCC across all six competitors. Premises-licence loss cover under the Licensing Act 2003 — highly relevant for venues/festivals.</w:t>
            </w:r>
          </w:p>
        </w:tc>
      </w:tr>
      <w:tr>
        <w:tc>
          <w:tcPr>
            <w:tcW w:type="dxa" w:w="2381"/>
          </w:tcPr>
          <w:p>
            <w:pPr>
              <w:spacing w:after="20" w:before="0"/>
            </w:pPr>
            <w:r/>
            <w:r>
              <w:rPr>
                <w:rFonts w:ascii="Lato" w:hAnsi="Lato" w:cs="Lato"/>
                <w:b/>
                <w:i w:val="0"/>
                <w:color w:val="00648B"/>
                <w:sz w:val="15"/>
              </w:rPr>
              <w:t>S11 · Production Indemnity “All Risks”</w:t>
            </w:r>
          </w:p>
        </w:tc>
        <w:tc>
          <w:tcPr>
            <w:tcW w:type="dxa" w:w="850"/>
            <w:shd w:val="clear" w:color="auto" w:fill="E3F1E8"/>
          </w:tcPr>
          <w:p>
            <w:pPr>
              <w:spacing w:after="0" w:before="0"/>
              <w:jc w:val="center"/>
            </w:pPr>
            <w:r/>
            <w:r>
              <w:rPr>
                <w:rFonts w:ascii="Lato" w:hAnsi="Lato" w:cs="Lato"/>
                <w:b/>
                <w:i w:val="0"/>
                <w:color w:val="1B7A3D"/>
                <w:sz w:val="19"/>
              </w:rPr>
              <w:t>✓</w:t>
            </w:r>
          </w:p>
        </w:tc>
        <w:tc>
          <w:tcPr>
            <w:tcW w:type="dxa" w:w="850"/>
            <w:shd w:val="clear" w:color="auto" w:fill="E3F1E8"/>
          </w:tcPr>
          <w:p>
            <w:pPr>
              <w:spacing w:after="0" w:before="0"/>
              <w:jc w:val="center"/>
            </w:pPr>
            <w:r/>
            <w:r>
              <w:rPr>
                <w:rFonts w:ascii="Lato" w:hAnsi="Lato" w:cs="Lato"/>
                <w:b/>
                <w:i w:val="0"/>
                <w:color w:val="1B7A3D"/>
                <w:sz w:val="19"/>
              </w:rPr>
              <w:t>✓</w:t>
            </w:r>
          </w:p>
        </w:tc>
        <w:tc>
          <w:tcPr>
            <w:tcW w:type="dxa" w:w="850"/>
            <w:shd w:val="clear" w:color="auto" w:fill="E3F1E8"/>
          </w:tcPr>
          <w:p>
            <w:pPr>
              <w:spacing w:after="0" w:before="0"/>
              <w:jc w:val="center"/>
            </w:pPr>
            <w:r/>
            <w:r>
              <w:rPr>
                <w:rFonts w:ascii="Lato" w:hAnsi="Lato" w:cs="Lato"/>
                <w:b/>
                <w:i w:val="0"/>
                <w:color w:val="1B7A3D"/>
                <w:sz w:val="19"/>
              </w:rPr>
              <w:t>✓</w:t>
            </w:r>
          </w:p>
        </w:tc>
        <w:tc>
          <w:tcPr>
            <w:tcW w:type="dxa" w:w="850"/>
            <w:shd w:val="clear" w:color="auto" w:fill="FBE6EA"/>
          </w:tcPr>
          <w:p>
            <w:pPr>
              <w:spacing w:after="0" w:before="0"/>
              <w:jc w:val="center"/>
            </w:pPr>
            <w:r/>
            <w:r>
              <w:rPr>
                <w:rFonts w:ascii="Lato" w:hAnsi="Lato" w:cs="Lato"/>
                <w:b/>
                <w:i w:val="0"/>
                <w:color w:val="A4233B"/>
                <w:sz w:val="19"/>
              </w:rPr>
              <w:t>✗</w:t>
            </w:r>
          </w:p>
        </w:tc>
        <w:tc>
          <w:tcPr>
            <w:tcW w:type="dxa" w:w="850"/>
            <w:shd w:val="clear" w:color="auto" w:fill="FBE6EA"/>
          </w:tcPr>
          <w:p>
            <w:pPr>
              <w:spacing w:after="0" w:before="0"/>
              <w:jc w:val="center"/>
            </w:pPr>
            <w:r/>
            <w:r>
              <w:rPr>
                <w:rFonts w:ascii="Lato" w:hAnsi="Lato" w:cs="Lato"/>
                <w:b/>
                <w:i w:val="0"/>
                <w:color w:val="A4233B"/>
                <w:sz w:val="19"/>
              </w:rPr>
              <w:t>✗</w:t>
            </w:r>
          </w:p>
        </w:tc>
        <w:tc>
          <w:tcPr>
            <w:tcW w:type="dxa" w:w="850"/>
            <w:shd w:val="clear" w:color="auto" w:fill="FBE6EA"/>
          </w:tcPr>
          <w:p>
            <w:pPr>
              <w:spacing w:after="0" w:before="0"/>
              <w:jc w:val="center"/>
            </w:pPr>
            <w:r/>
            <w:r>
              <w:rPr>
                <w:rFonts w:ascii="Lato" w:hAnsi="Lato" w:cs="Lato"/>
                <w:b/>
                <w:i w:val="0"/>
                <w:color w:val="A4233B"/>
                <w:sz w:val="19"/>
              </w:rPr>
              <w:t>✗</w:t>
            </w:r>
          </w:p>
        </w:tc>
        <w:tc>
          <w:tcPr>
            <w:tcW w:type="dxa" w:w="850"/>
            <w:shd w:val="clear" w:color="auto" w:fill="FBE6EA"/>
          </w:tcPr>
          <w:p>
            <w:pPr>
              <w:spacing w:after="0" w:before="0"/>
              <w:jc w:val="center"/>
            </w:pPr>
            <w:r/>
            <w:r>
              <w:rPr>
                <w:rFonts w:ascii="Lato" w:hAnsi="Lato" w:cs="Lato"/>
                <w:b/>
                <w:i w:val="0"/>
                <w:color w:val="A4233B"/>
                <w:sz w:val="19"/>
              </w:rPr>
              <w:t>✗</w:t>
            </w:r>
          </w:p>
        </w:tc>
        <w:tc>
          <w:tcPr>
            <w:tcW w:type="dxa" w:w="6917"/>
          </w:tcPr>
          <w:p>
            <w:pPr>
              <w:spacing w:after="20" w:before="0"/>
            </w:pPr>
            <w:r/>
            <w:r>
              <w:rPr>
                <w:rFonts w:ascii="Lato" w:hAnsi="Lato" w:cs="Lato"/>
                <w:b w:val="0"/>
                <w:i w:val="0"/>
                <w:color w:val="2B2F33"/>
                <w:sz w:val="14"/>
              </w:rPr>
              <w:t>TMHCC, Tysers (Multimedia &amp; Producers Indemnity) and Yutree (Production Indemnity) cover production costs / cast / negatives. Liberty, Allianz and AXA XL do NOT offer production indemnity.</w:t>
            </w:r>
          </w:p>
        </w:tc>
      </w:tr>
      <w:tr>
        <w:tc>
          <w:tcPr>
            <w:tcW w:type="dxa" w:w="2381"/>
            <w:shd w:val="clear" w:color="auto" w:fill="F4F7F9"/>
          </w:tcPr>
          <w:p>
            <w:pPr>
              <w:spacing w:after="20" w:before="0"/>
            </w:pPr>
            <w:r/>
            <w:r>
              <w:rPr>
                <w:rFonts w:ascii="Lato" w:hAnsi="Lato" w:cs="Lato"/>
                <w:b/>
                <w:i w:val="0"/>
                <w:color w:val="00648B"/>
                <w:sz w:val="15"/>
              </w:rPr>
              <w:t>S12 · Media Liability / Professional Indemnity (E&amp;O)</w:t>
            </w:r>
          </w:p>
        </w:tc>
        <w:tc>
          <w:tcPr>
            <w:tcW w:type="dxa" w:w="850"/>
            <w:shd w:val="clear" w:color="auto" w:fill="E3F1E8"/>
          </w:tcPr>
          <w:p>
            <w:pPr>
              <w:spacing w:after="0" w:before="0"/>
              <w:jc w:val="center"/>
            </w:pPr>
            <w:r/>
            <w:r>
              <w:rPr>
                <w:rFonts w:ascii="Lato" w:hAnsi="Lato" w:cs="Lato"/>
                <w:b/>
                <w:i w:val="0"/>
                <w:color w:val="1B7A3D"/>
                <w:sz w:val="19"/>
              </w:rPr>
              <w:t>✓</w:t>
            </w:r>
          </w:p>
        </w:tc>
        <w:tc>
          <w:tcPr>
            <w:tcW w:type="dxa" w:w="850"/>
            <w:shd w:val="clear" w:color="auto" w:fill="E3F1E8"/>
          </w:tcPr>
          <w:p>
            <w:pPr>
              <w:spacing w:after="0" w:before="0"/>
              <w:jc w:val="center"/>
            </w:pPr>
            <w:r/>
            <w:r>
              <w:rPr>
                <w:rFonts w:ascii="Lato" w:hAnsi="Lato" w:cs="Lato"/>
                <w:b/>
                <w:i w:val="0"/>
                <w:color w:val="1B7A3D"/>
                <w:sz w:val="19"/>
              </w:rPr>
              <w:t>✓</w:t>
            </w:r>
          </w:p>
        </w:tc>
        <w:tc>
          <w:tcPr>
            <w:tcW w:type="dxa" w:w="850"/>
            <w:shd w:val="clear" w:color="auto" w:fill="E3F1E8"/>
          </w:tcPr>
          <w:p>
            <w:pPr>
              <w:spacing w:after="0" w:before="0"/>
              <w:jc w:val="center"/>
            </w:pPr>
            <w:r/>
            <w:r>
              <w:rPr>
                <w:rFonts w:ascii="Lato" w:hAnsi="Lato" w:cs="Lato"/>
                <w:b/>
                <w:i w:val="0"/>
                <w:color w:val="1B7A3D"/>
                <w:sz w:val="19"/>
              </w:rPr>
              <w:t>✓</w:t>
            </w:r>
          </w:p>
        </w:tc>
        <w:tc>
          <w:tcPr>
            <w:tcW w:type="dxa" w:w="850"/>
            <w:shd w:val="clear" w:color="auto" w:fill="FBE6EA"/>
          </w:tcPr>
          <w:p>
            <w:pPr>
              <w:spacing w:after="0" w:before="0"/>
              <w:jc w:val="center"/>
            </w:pPr>
            <w:r/>
            <w:r>
              <w:rPr>
                <w:rFonts w:ascii="Lato" w:hAnsi="Lato" w:cs="Lato"/>
                <w:b/>
                <w:i w:val="0"/>
                <w:color w:val="A4233B"/>
                <w:sz w:val="19"/>
              </w:rPr>
              <w:t>✗</w:t>
            </w:r>
          </w:p>
        </w:tc>
        <w:tc>
          <w:tcPr>
            <w:tcW w:type="dxa" w:w="850"/>
            <w:shd w:val="clear" w:color="auto" w:fill="FBE6EA"/>
          </w:tcPr>
          <w:p>
            <w:pPr>
              <w:spacing w:after="0" w:before="0"/>
              <w:jc w:val="center"/>
            </w:pPr>
            <w:r/>
            <w:r>
              <w:rPr>
                <w:rFonts w:ascii="Lato" w:hAnsi="Lato" w:cs="Lato"/>
                <w:b/>
                <w:i w:val="0"/>
                <w:color w:val="A4233B"/>
                <w:sz w:val="19"/>
              </w:rPr>
              <w:t>✗</w:t>
            </w:r>
          </w:p>
        </w:tc>
        <w:tc>
          <w:tcPr>
            <w:tcW w:type="dxa" w:w="850"/>
            <w:shd w:val="clear" w:color="auto" w:fill="FBE6EA"/>
          </w:tcPr>
          <w:p>
            <w:pPr>
              <w:spacing w:after="0" w:before="0"/>
              <w:jc w:val="center"/>
            </w:pPr>
            <w:r/>
            <w:r>
              <w:rPr>
                <w:rFonts w:ascii="Lato" w:hAnsi="Lato" w:cs="Lato"/>
                <w:b/>
                <w:i w:val="0"/>
                <w:color w:val="A4233B"/>
                <w:sz w:val="19"/>
              </w:rPr>
              <w:t>✗</w:t>
            </w:r>
          </w:p>
        </w:tc>
        <w:tc>
          <w:tcPr>
            <w:tcW w:type="dxa" w:w="850"/>
            <w:shd w:val="clear" w:color="auto" w:fill="FBE6EA"/>
          </w:tcPr>
          <w:p>
            <w:pPr>
              <w:spacing w:after="0" w:before="0"/>
              <w:jc w:val="center"/>
            </w:pPr>
            <w:r/>
            <w:r>
              <w:rPr>
                <w:rFonts w:ascii="Lato" w:hAnsi="Lato" w:cs="Lato"/>
                <w:b/>
                <w:i w:val="0"/>
                <w:color w:val="A4233B"/>
                <w:sz w:val="19"/>
              </w:rPr>
              <w:t>✗</w:t>
            </w:r>
          </w:p>
        </w:tc>
        <w:tc>
          <w:tcPr>
            <w:tcW w:type="dxa" w:w="6917"/>
            <w:shd w:val="clear" w:color="auto" w:fill="F4F7F9"/>
          </w:tcPr>
          <w:p>
            <w:pPr>
              <w:spacing w:after="20" w:before="0"/>
            </w:pPr>
            <w:r/>
            <w:r>
              <w:rPr>
                <w:rFonts w:ascii="Lato" w:hAnsi="Lato" w:cs="Lato"/>
                <w:b w:val="0"/>
                <w:i w:val="0"/>
                <w:color w:val="2B2F33"/>
                <w:sz w:val="14"/>
              </w:rPr>
              <w:t>The heart of a media wording. TMHCC (S12), Tysers (PI/E&amp;O) and Yutree (PI-Media + PI-Events) provide it. Liberty, Allianz and AXA XL provide NO media/PI/E&amp;O cover — despite AXA XL’s ‘Media &amp; Entertainment’ branding.</w:t>
            </w:r>
          </w:p>
        </w:tc>
      </w:tr>
      <w:tr>
        <w:tc>
          <w:tcPr>
            <w:tcW w:type="dxa" w:w="2381"/>
          </w:tcPr>
          <w:p>
            <w:pPr>
              <w:spacing w:after="20" w:before="0"/>
            </w:pPr>
            <w:r/>
            <w:r>
              <w:rPr>
                <w:rFonts w:ascii="Lato" w:hAnsi="Lato" w:cs="Lato"/>
                <w:b/>
                <w:i w:val="0"/>
                <w:color w:val="00648B"/>
                <w:sz w:val="15"/>
              </w:rPr>
              <w:t>S13 · Commercial Legal Expenses</w:t>
            </w:r>
          </w:p>
        </w:tc>
        <w:tc>
          <w:tcPr>
            <w:tcW w:type="dxa" w:w="850"/>
            <w:shd w:val="clear" w:color="auto" w:fill="E3F1E8"/>
          </w:tcPr>
          <w:p>
            <w:pPr>
              <w:spacing w:after="0" w:before="0"/>
              <w:jc w:val="center"/>
            </w:pPr>
            <w:r/>
            <w:r>
              <w:rPr>
                <w:rFonts w:ascii="Lato" w:hAnsi="Lato" w:cs="Lato"/>
                <w:b/>
                <w:i w:val="0"/>
                <w:color w:val="1B7A3D"/>
                <w:sz w:val="19"/>
              </w:rPr>
              <w:t>✓</w:t>
            </w:r>
          </w:p>
        </w:tc>
        <w:tc>
          <w:tcPr>
            <w:tcW w:type="dxa" w:w="850"/>
            <w:shd w:val="clear" w:color="auto" w:fill="FBE6EA"/>
          </w:tcPr>
          <w:p>
            <w:pPr>
              <w:spacing w:after="0" w:before="0"/>
              <w:jc w:val="center"/>
            </w:pPr>
            <w:r/>
            <w:r>
              <w:rPr>
                <w:rFonts w:ascii="Lato" w:hAnsi="Lato" w:cs="Lato"/>
                <w:b/>
                <w:i w:val="0"/>
                <w:color w:val="A4233B"/>
                <w:sz w:val="19"/>
              </w:rPr>
              <w:t>✗</w:t>
            </w:r>
          </w:p>
        </w:tc>
        <w:tc>
          <w:tcPr>
            <w:tcW w:type="dxa" w:w="850"/>
            <w:shd w:val="clear" w:color="auto" w:fill="FBE6EA"/>
          </w:tcPr>
          <w:p>
            <w:pPr>
              <w:spacing w:after="0" w:before="0"/>
              <w:jc w:val="center"/>
            </w:pPr>
            <w:r/>
            <w:r>
              <w:rPr>
                <w:rFonts w:ascii="Lato" w:hAnsi="Lato" w:cs="Lato"/>
                <w:b/>
                <w:i w:val="0"/>
                <w:color w:val="A4233B"/>
                <w:sz w:val="19"/>
              </w:rPr>
              <w:t>✗</w:t>
            </w:r>
          </w:p>
        </w:tc>
        <w:tc>
          <w:tcPr>
            <w:tcW w:type="dxa" w:w="850"/>
            <w:shd w:val="clear" w:color="auto" w:fill="FBE6EA"/>
          </w:tcPr>
          <w:p>
            <w:pPr>
              <w:spacing w:after="0" w:before="0"/>
              <w:jc w:val="center"/>
            </w:pPr>
            <w:r/>
            <w:r>
              <w:rPr>
                <w:rFonts w:ascii="Lato" w:hAnsi="Lato" w:cs="Lato"/>
                <w:b/>
                <w:i w:val="0"/>
                <w:color w:val="A4233B"/>
                <w:sz w:val="19"/>
              </w:rPr>
              <w:t>✗</w:t>
            </w:r>
          </w:p>
        </w:tc>
        <w:tc>
          <w:tcPr>
            <w:tcW w:type="dxa" w:w="850"/>
            <w:shd w:val="clear" w:color="auto" w:fill="FBE6EA"/>
          </w:tcPr>
          <w:p>
            <w:pPr>
              <w:spacing w:after="0" w:before="0"/>
              <w:jc w:val="center"/>
            </w:pPr>
            <w:r/>
            <w:r>
              <w:rPr>
                <w:rFonts w:ascii="Lato" w:hAnsi="Lato" w:cs="Lato"/>
                <w:b/>
                <w:i w:val="0"/>
                <w:color w:val="A4233B"/>
                <w:sz w:val="19"/>
              </w:rPr>
              <w:t>✗</w:t>
            </w:r>
          </w:p>
        </w:tc>
        <w:tc>
          <w:tcPr>
            <w:tcW w:type="dxa" w:w="850"/>
            <w:shd w:val="clear" w:color="auto" w:fill="FBE6EA"/>
          </w:tcPr>
          <w:p>
            <w:pPr>
              <w:spacing w:after="0" w:before="0"/>
              <w:jc w:val="center"/>
            </w:pPr>
            <w:r/>
            <w:r>
              <w:rPr>
                <w:rFonts w:ascii="Lato" w:hAnsi="Lato" w:cs="Lato"/>
                <w:b/>
                <w:i w:val="0"/>
                <w:color w:val="A4233B"/>
                <w:sz w:val="19"/>
              </w:rPr>
              <w:t>✗</w:t>
            </w:r>
          </w:p>
        </w:tc>
        <w:tc>
          <w:tcPr>
            <w:tcW w:type="dxa" w:w="850"/>
            <w:shd w:val="clear" w:color="auto" w:fill="FBE6EA"/>
          </w:tcPr>
          <w:p>
            <w:pPr>
              <w:spacing w:after="0" w:before="0"/>
              <w:jc w:val="center"/>
            </w:pPr>
            <w:r/>
            <w:r>
              <w:rPr>
                <w:rFonts w:ascii="Lato" w:hAnsi="Lato" w:cs="Lato"/>
                <w:b/>
                <w:i w:val="0"/>
                <w:color w:val="A4233B"/>
                <w:sz w:val="19"/>
              </w:rPr>
              <w:t>✗</w:t>
            </w:r>
          </w:p>
        </w:tc>
        <w:tc>
          <w:tcPr>
            <w:tcW w:type="dxa" w:w="6917"/>
          </w:tcPr>
          <w:p>
            <w:pPr>
              <w:spacing w:after="20" w:before="0"/>
            </w:pPr>
            <w:r/>
            <w:r>
              <w:rPr>
                <w:rFonts w:ascii="Lato" w:hAnsi="Lato" w:cs="Lato"/>
                <w:b w:val="0"/>
                <w:i w:val="0"/>
                <w:color w:val="2B2F33"/>
                <w:sz w:val="14"/>
              </w:rPr>
              <w:t>UNIQUE to TMHCC (ARAG-style legal expenses). No competitor wording includes a legal-expenses section.</w:t>
            </w:r>
          </w:p>
        </w:tc>
      </w:tr>
      <w:tr>
        <w:tc>
          <w:tcPr>
            <w:tcW w:type="dxa" w:w="2381"/>
            <w:shd w:val="clear" w:color="auto" w:fill="F4F7F9"/>
          </w:tcPr>
          <w:p>
            <w:pPr>
              <w:spacing w:after="20" w:before="0"/>
            </w:pPr>
            <w:r/>
            <w:r>
              <w:rPr>
                <w:rFonts w:ascii="Lato" w:hAnsi="Lato" w:cs="Lato"/>
                <w:b/>
                <w:i w:val="0"/>
                <w:color w:val="00648B"/>
                <w:sz w:val="15"/>
              </w:rPr>
              <w:t>S14 · Management Liability (D&amp;O / EPL etc.)</w:t>
            </w:r>
          </w:p>
        </w:tc>
        <w:tc>
          <w:tcPr>
            <w:tcW w:type="dxa" w:w="850"/>
            <w:shd w:val="clear" w:color="auto" w:fill="E3F1E8"/>
          </w:tcPr>
          <w:p>
            <w:pPr>
              <w:spacing w:after="0" w:before="0"/>
              <w:jc w:val="center"/>
            </w:pPr>
            <w:r/>
            <w:r>
              <w:rPr>
                <w:rFonts w:ascii="Lato" w:hAnsi="Lato" w:cs="Lato"/>
                <w:b/>
                <w:i w:val="0"/>
                <w:color w:val="1B7A3D"/>
                <w:sz w:val="19"/>
              </w:rPr>
              <w:t>✓</w:t>
            </w:r>
          </w:p>
        </w:tc>
        <w:tc>
          <w:tcPr>
            <w:tcW w:type="dxa" w:w="850"/>
            <w:shd w:val="clear" w:color="auto" w:fill="FBE6EA"/>
          </w:tcPr>
          <w:p>
            <w:pPr>
              <w:spacing w:after="0" w:before="0"/>
              <w:jc w:val="center"/>
            </w:pPr>
            <w:r/>
            <w:r>
              <w:rPr>
                <w:rFonts w:ascii="Lato" w:hAnsi="Lato" w:cs="Lato"/>
                <w:b/>
                <w:i w:val="0"/>
                <w:color w:val="A4233B"/>
                <w:sz w:val="19"/>
              </w:rPr>
              <w:t>✗</w:t>
            </w:r>
          </w:p>
        </w:tc>
        <w:tc>
          <w:tcPr>
            <w:tcW w:type="dxa" w:w="850"/>
            <w:shd w:val="clear" w:color="auto" w:fill="FBE6EA"/>
          </w:tcPr>
          <w:p>
            <w:pPr>
              <w:spacing w:after="0" w:before="0"/>
              <w:jc w:val="center"/>
            </w:pPr>
            <w:r/>
            <w:r>
              <w:rPr>
                <w:rFonts w:ascii="Lato" w:hAnsi="Lato" w:cs="Lato"/>
                <w:b/>
                <w:i w:val="0"/>
                <w:color w:val="A4233B"/>
                <w:sz w:val="19"/>
              </w:rPr>
              <w:t>✗</w:t>
            </w:r>
          </w:p>
        </w:tc>
        <w:tc>
          <w:tcPr>
            <w:tcW w:type="dxa" w:w="850"/>
            <w:shd w:val="clear" w:color="auto" w:fill="FBE6EA"/>
          </w:tcPr>
          <w:p>
            <w:pPr>
              <w:spacing w:after="0" w:before="0"/>
              <w:jc w:val="center"/>
            </w:pPr>
            <w:r/>
            <w:r>
              <w:rPr>
                <w:rFonts w:ascii="Lato" w:hAnsi="Lato" w:cs="Lato"/>
                <w:b/>
                <w:i w:val="0"/>
                <w:color w:val="A4233B"/>
                <w:sz w:val="19"/>
              </w:rPr>
              <w:t>✗</w:t>
            </w:r>
          </w:p>
        </w:tc>
        <w:tc>
          <w:tcPr>
            <w:tcW w:type="dxa" w:w="850"/>
            <w:shd w:val="clear" w:color="auto" w:fill="FBE6EA"/>
          </w:tcPr>
          <w:p>
            <w:pPr>
              <w:spacing w:after="0" w:before="0"/>
              <w:jc w:val="center"/>
            </w:pPr>
            <w:r/>
            <w:r>
              <w:rPr>
                <w:rFonts w:ascii="Lato" w:hAnsi="Lato" w:cs="Lato"/>
                <w:b/>
                <w:i w:val="0"/>
                <w:color w:val="A4233B"/>
                <w:sz w:val="19"/>
              </w:rPr>
              <w:t>✗</w:t>
            </w:r>
          </w:p>
        </w:tc>
        <w:tc>
          <w:tcPr>
            <w:tcW w:type="dxa" w:w="850"/>
            <w:shd w:val="clear" w:color="auto" w:fill="FBE6EA"/>
          </w:tcPr>
          <w:p>
            <w:pPr>
              <w:spacing w:after="0" w:before="0"/>
              <w:jc w:val="center"/>
            </w:pPr>
            <w:r/>
            <w:r>
              <w:rPr>
                <w:rFonts w:ascii="Lato" w:hAnsi="Lato" w:cs="Lato"/>
                <w:b/>
                <w:i w:val="0"/>
                <w:color w:val="A4233B"/>
                <w:sz w:val="19"/>
              </w:rPr>
              <w:t>✗</w:t>
            </w:r>
          </w:p>
        </w:tc>
        <w:tc>
          <w:tcPr>
            <w:tcW w:type="dxa" w:w="850"/>
            <w:shd w:val="clear" w:color="auto" w:fill="FBE6EA"/>
          </w:tcPr>
          <w:p>
            <w:pPr>
              <w:spacing w:after="0" w:before="0"/>
              <w:jc w:val="center"/>
            </w:pPr>
            <w:r/>
            <w:r>
              <w:rPr>
                <w:rFonts w:ascii="Lato" w:hAnsi="Lato" w:cs="Lato"/>
                <w:b/>
                <w:i w:val="0"/>
                <w:color w:val="A4233B"/>
                <w:sz w:val="19"/>
              </w:rPr>
              <w:t>✗</w:t>
            </w:r>
          </w:p>
        </w:tc>
        <w:tc>
          <w:tcPr>
            <w:tcW w:type="dxa" w:w="6917"/>
            <w:shd w:val="clear" w:color="auto" w:fill="F4F7F9"/>
          </w:tcPr>
          <w:p>
            <w:pPr>
              <w:spacing w:after="20" w:before="0"/>
            </w:pPr>
            <w:r/>
            <w:r>
              <w:rPr>
                <w:rFonts w:ascii="Lato" w:hAnsi="Lato" w:cs="Lato"/>
                <w:b w:val="0"/>
                <w:i w:val="0"/>
                <w:color w:val="2B2F33"/>
                <w:sz w:val="14"/>
              </w:rPr>
              <w:t>UNIQUE to TMHCC. No competitor wording includes management-liability cover.</w:t>
            </w:r>
          </w:p>
        </w:tc>
      </w:tr>
      <w:tr>
        <w:tc>
          <w:tcPr>
            <w:tcW w:type="dxa" w:w="2381"/>
          </w:tcPr>
          <w:p>
            <w:pPr>
              <w:spacing w:after="20" w:before="0"/>
            </w:pPr>
            <w:r/>
            <w:r>
              <w:rPr>
                <w:rFonts w:ascii="Lato" w:hAnsi="Lato" w:cs="Lato"/>
                <w:b/>
                <w:i w:val="0"/>
                <w:color w:val="00648B"/>
                <w:sz w:val="15"/>
              </w:rPr>
              <w:t>S15 · Cyber Liability (standalone)</w:t>
            </w:r>
          </w:p>
        </w:tc>
        <w:tc>
          <w:tcPr>
            <w:tcW w:type="dxa" w:w="850"/>
            <w:shd w:val="clear" w:color="auto" w:fill="E3F1E8"/>
          </w:tcPr>
          <w:p>
            <w:pPr>
              <w:spacing w:after="0" w:before="0"/>
              <w:jc w:val="center"/>
            </w:pPr>
            <w:r/>
            <w:r>
              <w:rPr>
                <w:rFonts w:ascii="Lato" w:hAnsi="Lato" w:cs="Lato"/>
                <w:b/>
                <w:i w:val="0"/>
                <w:color w:val="1B7A3D"/>
                <w:sz w:val="19"/>
              </w:rPr>
              <w:t>✓</w:t>
            </w:r>
          </w:p>
        </w:tc>
        <w:tc>
          <w:tcPr>
            <w:tcW w:type="dxa" w:w="850"/>
            <w:shd w:val="clear" w:color="auto" w:fill="FBE6EA"/>
          </w:tcPr>
          <w:p>
            <w:pPr>
              <w:spacing w:after="0" w:before="0"/>
              <w:jc w:val="center"/>
            </w:pPr>
            <w:r/>
            <w:r>
              <w:rPr>
                <w:rFonts w:ascii="Lato" w:hAnsi="Lato" w:cs="Lato"/>
                <w:b/>
                <w:i w:val="0"/>
                <w:color w:val="A4233B"/>
                <w:sz w:val="19"/>
              </w:rPr>
              <w:t>✗</w:t>
            </w:r>
          </w:p>
        </w:tc>
        <w:tc>
          <w:tcPr>
            <w:tcW w:type="dxa" w:w="850"/>
            <w:shd w:val="clear" w:color="auto" w:fill="FBF1DA"/>
          </w:tcPr>
          <w:p>
            <w:pPr>
              <w:spacing w:after="0" w:before="0"/>
              <w:jc w:val="center"/>
            </w:pPr>
            <w:r/>
            <w:r>
              <w:rPr>
                <w:rFonts w:ascii="Lato" w:hAnsi="Lato" w:cs="Lato"/>
                <w:b/>
                <w:i w:val="0"/>
                <w:color w:val="8A6A1E"/>
                <w:sz w:val="19"/>
              </w:rPr>
              <w:t>◐</w:t>
            </w:r>
          </w:p>
        </w:tc>
        <w:tc>
          <w:tcPr>
            <w:tcW w:type="dxa" w:w="850"/>
            <w:shd w:val="clear" w:color="auto" w:fill="FBE6EA"/>
          </w:tcPr>
          <w:p>
            <w:pPr>
              <w:spacing w:after="0" w:before="0"/>
              <w:jc w:val="center"/>
            </w:pPr>
            <w:r/>
            <w:r>
              <w:rPr>
                <w:rFonts w:ascii="Lato" w:hAnsi="Lato" w:cs="Lato"/>
                <w:b/>
                <w:i w:val="0"/>
                <w:color w:val="A4233B"/>
                <w:sz w:val="19"/>
              </w:rPr>
              <w:t>✗</w:t>
            </w:r>
          </w:p>
        </w:tc>
        <w:tc>
          <w:tcPr>
            <w:tcW w:type="dxa" w:w="850"/>
            <w:shd w:val="clear" w:color="auto" w:fill="FBE6EA"/>
          </w:tcPr>
          <w:p>
            <w:pPr>
              <w:spacing w:after="0" w:before="0"/>
              <w:jc w:val="center"/>
            </w:pPr>
            <w:r/>
            <w:r>
              <w:rPr>
                <w:rFonts w:ascii="Lato" w:hAnsi="Lato" w:cs="Lato"/>
                <w:b/>
                <w:i w:val="0"/>
                <w:color w:val="A4233B"/>
                <w:sz w:val="19"/>
              </w:rPr>
              <w:t>✗</w:t>
            </w:r>
          </w:p>
        </w:tc>
        <w:tc>
          <w:tcPr>
            <w:tcW w:type="dxa" w:w="850"/>
            <w:shd w:val="clear" w:color="auto" w:fill="FBE6EA"/>
          </w:tcPr>
          <w:p>
            <w:pPr>
              <w:spacing w:after="0" w:before="0"/>
              <w:jc w:val="center"/>
            </w:pPr>
            <w:r/>
            <w:r>
              <w:rPr>
                <w:rFonts w:ascii="Lato" w:hAnsi="Lato" w:cs="Lato"/>
                <w:b/>
                <w:i w:val="0"/>
                <w:color w:val="A4233B"/>
                <w:sz w:val="19"/>
              </w:rPr>
              <w:t>✗</w:t>
            </w:r>
          </w:p>
        </w:tc>
        <w:tc>
          <w:tcPr>
            <w:tcW w:type="dxa" w:w="850"/>
            <w:shd w:val="clear" w:color="auto" w:fill="FBE6EA"/>
          </w:tcPr>
          <w:p>
            <w:pPr>
              <w:spacing w:after="0" w:before="0"/>
              <w:jc w:val="center"/>
            </w:pPr>
            <w:r/>
            <w:r>
              <w:rPr>
                <w:rFonts w:ascii="Lato" w:hAnsi="Lato" w:cs="Lato"/>
                <w:b/>
                <w:i w:val="0"/>
                <w:color w:val="A4233B"/>
                <w:sz w:val="19"/>
              </w:rPr>
              <w:t>✗</w:t>
            </w:r>
          </w:p>
        </w:tc>
        <w:tc>
          <w:tcPr>
            <w:tcW w:type="dxa" w:w="6917"/>
          </w:tcPr>
          <w:p>
            <w:pPr>
              <w:spacing w:after="20" w:before="0"/>
            </w:pPr>
            <w:r/>
            <w:r>
              <w:rPr>
                <w:rFonts w:ascii="Lato" w:hAnsi="Lato" w:cs="Lato"/>
                <w:b w:val="0"/>
                <w:i w:val="0"/>
                <w:color w:val="2B2F33"/>
                <w:sz w:val="14"/>
              </w:rPr>
              <w:t>UNIQUE — TMHCC ‘CyberGuard’ is a genuine standalone cyber policy. Yutree offers Computer Breakdown only. AXA XL has NO cyber section and a broad cyber EXCLUSION (only a Data Protection Act 2018 carve-out within Public Liability). Others: none.</w:t>
            </w:r>
          </w:p>
        </w:tc>
      </w:tr>
      <w:tr>
        <w:tc>
          <w:tcPr>
            <w:tcW w:type="dxa" w:w="2381"/>
            <w:shd w:val="clear" w:color="auto" w:fill="F4F7F9"/>
          </w:tcPr>
          <w:p>
            <w:pPr>
              <w:spacing w:after="20" w:before="0"/>
            </w:pPr>
            <w:r/>
            <w:r>
              <w:rPr>
                <w:rFonts w:ascii="Lato" w:hAnsi="Lato" w:cs="Lato"/>
                <w:b/>
                <w:i w:val="0"/>
                <w:color w:val="00648B"/>
                <w:sz w:val="15"/>
              </w:rPr>
              <w:t>(+) Personal Accident &amp; Business Travel</w:t>
            </w:r>
          </w:p>
        </w:tc>
        <w:tc>
          <w:tcPr>
            <w:tcW w:type="dxa" w:w="850"/>
            <w:shd w:val="clear" w:color="auto" w:fill="FBE6EA"/>
          </w:tcPr>
          <w:p>
            <w:pPr>
              <w:spacing w:after="0" w:before="0"/>
              <w:jc w:val="center"/>
            </w:pPr>
            <w:r/>
            <w:r>
              <w:rPr>
                <w:rFonts w:ascii="Lato" w:hAnsi="Lato" w:cs="Lato"/>
                <w:b/>
                <w:i w:val="0"/>
                <w:color w:val="A4233B"/>
                <w:sz w:val="19"/>
              </w:rPr>
              <w:t>✗</w:t>
            </w:r>
          </w:p>
        </w:tc>
        <w:tc>
          <w:tcPr>
            <w:tcW w:type="dxa" w:w="850"/>
            <w:shd w:val="clear" w:color="auto" w:fill="E3F1E8"/>
          </w:tcPr>
          <w:p>
            <w:pPr>
              <w:spacing w:after="0" w:before="0"/>
              <w:jc w:val="center"/>
            </w:pPr>
            <w:r/>
            <w:r>
              <w:rPr>
                <w:rFonts w:ascii="Lato" w:hAnsi="Lato" w:cs="Lato"/>
                <w:b/>
                <w:i w:val="0"/>
                <w:color w:val="1B7A3D"/>
                <w:sz w:val="19"/>
              </w:rPr>
              <w:t>✓</w:t>
            </w:r>
          </w:p>
        </w:tc>
        <w:tc>
          <w:tcPr>
            <w:tcW w:type="dxa" w:w="850"/>
            <w:shd w:val="clear" w:color="auto" w:fill="FBF1DA"/>
          </w:tcPr>
          <w:p>
            <w:pPr>
              <w:spacing w:after="0" w:before="0"/>
              <w:jc w:val="center"/>
            </w:pPr>
            <w:r/>
            <w:r>
              <w:rPr>
                <w:rFonts w:ascii="Lato" w:hAnsi="Lato" w:cs="Lato"/>
                <w:b/>
                <w:i w:val="0"/>
                <w:color w:val="8A6A1E"/>
                <w:sz w:val="19"/>
              </w:rPr>
              <w:t>◐</w:t>
            </w:r>
          </w:p>
        </w:tc>
        <w:tc>
          <w:tcPr>
            <w:tcW w:type="dxa" w:w="850"/>
            <w:shd w:val="clear" w:color="auto" w:fill="FBE6EA"/>
          </w:tcPr>
          <w:p>
            <w:pPr>
              <w:spacing w:after="0" w:before="0"/>
              <w:jc w:val="center"/>
            </w:pPr>
            <w:r/>
            <w:r>
              <w:rPr>
                <w:rFonts w:ascii="Lato" w:hAnsi="Lato" w:cs="Lato"/>
                <w:b/>
                <w:i w:val="0"/>
                <w:color w:val="A4233B"/>
                <w:sz w:val="19"/>
              </w:rPr>
              <w:t>✗</w:t>
            </w:r>
          </w:p>
        </w:tc>
        <w:tc>
          <w:tcPr>
            <w:tcW w:type="dxa" w:w="850"/>
            <w:shd w:val="clear" w:color="auto" w:fill="EEF1F3"/>
          </w:tcPr>
          <w:p>
            <w:pPr>
              <w:spacing w:after="0" w:before="0"/>
              <w:jc w:val="center"/>
            </w:pPr>
            <w:r/>
            <w:r>
              <w:rPr>
                <w:rFonts w:ascii="Lato" w:hAnsi="Lato" w:cs="Lato"/>
                <w:b/>
                <w:i w:val="0"/>
                <w:color w:val="5B6166"/>
                <w:sz w:val="19"/>
              </w:rPr>
              <w:t>?</w:t>
            </w:r>
          </w:p>
        </w:tc>
        <w:tc>
          <w:tcPr>
            <w:tcW w:type="dxa" w:w="850"/>
            <w:shd w:val="clear" w:color="auto" w:fill="FBE6EA"/>
          </w:tcPr>
          <w:p>
            <w:pPr>
              <w:spacing w:after="0" w:before="0"/>
              <w:jc w:val="center"/>
            </w:pPr>
            <w:r/>
            <w:r>
              <w:rPr>
                <w:rFonts w:ascii="Lato" w:hAnsi="Lato" w:cs="Lato"/>
                <w:b/>
                <w:i w:val="0"/>
                <w:color w:val="A4233B"/>
                <w:sz w:val="19"/>
              </w:rPr>
              <w:t>✗</w:t>
            </w:r>
          </w:p>
        </w:tc>
        <w:tc>
          <w:tcPr>
            <w:tcW w:type="dxa" w:w="850"/>
            <w:shd w:val="clear" w:color="auto" w:fill="FBF1DA"/>
          </w:tcPr>
          <w:p>
            <w:pPr>
              <w:spacing w:after="0" w:before="0"/>
              <w:jc w:val="center"/>
            </w:pPr>
            <w:r/>
            <w:r>
              <w:rPr>
                <w:rFonts w:ascii="Lato" w:hAnsi="Lato" w:cs="Lato"/>
                <w:b/>
                <w:i w:val="0"/>
                <w:color w:val="8A6A1E"/>
                <w:sz w:val="19"/>
              </w:rPr>
              <w:t>◐</w:t>
            </w:r>
          </w:p>
        </w:tc>
        <w:tc>
          <w:tcPr>
            <w:tcW w:type="dxa" w:w="6917"/>
            <w:shd w:val="clear" w:color="auto" w:fill="F4F7F9"/>
          </w:tcPr>
          <w:p>
            <w:pPr>
              <w:spacing w:after="20" w:before="0"/>
            </w:pPr>
            <w:r/>
            <w:r>
              <w:rPr>
                <w:rFonts w:ascii="Lato" w:hAnsi="Lato" w:cs="Lato"/>
                <w:b w:val="0"/>
                <w:i w:val="0"/>
                <w:color w:val="2B2F33"/>
                <w:sz w:val="14"/>
              </w:rPr>
              <w:t>GAP for TMHCC: no standalone PA/business-travel section. Tysers (PA &amp; Business Travel) is extensive; Yutree covers PA assault. Allianz references a ‘Personal Accident’ section in its exclusions (not in the cover list – review). AXA XL has NO personal-accident cover.</w:t>
            </w:r>
          </w:p>
        </w:tc>
      </w:tr>
    </w:tbl>
    <w:p>
      <w:pPr>
        <w:spacing w:after="80"/>
      </w:pPr>
    </w:p>
    <w:p>
      <w:r>
        <w:br w:type="page"/>
      </w:r>
    </w:p>
    <w:p>
      <w:pPr>
        <w:keepNext/>
        <w:spacing w:before="280" w:after="40"/>
        <w:pBdr>
          <w:bottom w:val="single" w:sz="8" w:space="2" w:color="B88A3C"/>
        </w:pBdr>
      </w:pPr>
      <w:r>
        <w:rPr>
          <w:rFonts w:ascii="Lato" w:hAnsi="Lato" w:cs="Lato"/>
          <w:b/>
          <w:i w:val="0"/>
          <w:color w:val="00648B"/>
          <w:sz w:val="30"/>
        </w:rPr>
        <w:t>E. Conditions, conditions precedent, warranties &amp; claims obligations</w:t>
      </w:r>
    </w:p>
    <w:tbl>
      <w:tblPr>
        <w:tblW w:type="dxa" w:w="15116"/>
        <w:jc w:val="center"/>
        <w:tblBorders>
          <w:top w:val="single" w:sz="4" w:space="0" w:color="D6DCE0"/>
          <w:left w:val="single" w:sz="4" w:space="0" w:color="D6DCE0"/>
          <w:bottom w:val="single" w:sz="4" w:space="0" w:color="D6DCE0"/>
          <w:right w:val="single" w:sz="4" w:space="0" w:color="D6DCE0"/>
          <w:insideH w:val="single" w:sz="4" w:space="0" w:color="D6DCE0"/>
          <w:insideV w:val="single" w:sz="4" w:space="0" w:color="D6DCE0"/>
        </w:tblBorders>
        <w:tblLayout w:type="fixed"/>
        <w:tblLook w:firstColumn="1" w:firstRow="1" w:lastColumn="0" w:lastRow="0" w:noHBand="0" w:noVBand="1" w:val="04A0"/>
      </w:tblPr>
      <w:tblGrid>
        <w:gridCol w:w="2495"/>
        <w:gridCol w:w="1803"/>
        <w:gridCol w:w="1803"/>
        <w:gridCol w:w="1803"/>
        <w:gridCol w:w="1803"/>
        <w:gridCol w:w="1803"/>
        <w:gridCol w:w="1803"/>
        <w:gridCol w:w="1803"/>
      </w:tblGrid>
      <w:tr>
        <w:tc>
          <w:tcPr>
            <w:tcW w:type="dxa" w:w="2494"/>
            <w:shd w:val="clear" w:color="auto" w:fill="00648B"/>
          </w:tcPr>
          <w:p>
            <w:pPr>
              <w:spacing w:after="20" w:before="0"/>
              <w:jc w:val="center"/>
            </w:pPr>
            <w:r/>
            <w:r>
              <w:rPr>
                <w:rFonts w:ascii="Lato" w:hAnsi="Lato" w:cs="Lato"/>
                <w:b/>
                <w:i w:val="0"/>
                <w:color w:val="FFFFFF"/>
                <w:sz w:val="17"/>
              </w:rPr>
              <w:t>Condition / obligation</w:t>
            </w:r>
          </w:p>
        </w:tc>
        <w:tc>
          <w:tcPr>
            <w:tcW w:type="dxa" w:w="1803"/>
            <w:shd w:val="clear" w:color="auto" w:fill="00648B"/>
          </w:tcPr>
          <w:p>
            <w:pPr>
              <w:spacing w:after="20" w:before="0"/>
              <w:jc w:val="center"/>
            </w:pPr>
            <w:r/>
            <w:r>
              <w:rPr>
                <w:rFonts w:ascii="Lato" w:hAnsi="Lato" w:cs="Lato"/>
                <w:b/>
                <w:i w:val="0"/>
                <w:color w:val="FFFFFF"/>
                <w:sz w:val="17"/>
              </w:rPr>
              <w:t>TMHCC</w:t>
            </w:r>
          </w:p>
        </w:tc>
        <w:tc>
          <w:tcPr>
            <w:tcW w:type="dxa" w:w="1803"/>
            <w:shd w:val="clear" w:color="auto" w:fill="00648B"/>
          </w:tcPr>
          <w:p>
            <w:pPr>
              <w:spacing w:after="20" w:before="0"/>
              <w:jc w:val="center"/>
            </w:pPr>
            <w:r/>
            <w:r>
              <w:rPr>
                <w:rFonts w:ascii="Lato" w:hAnsi="Lato" w:cs="Lato"/>
                <w:b/>
                <w:i w:val="0"/>
                <w:color w:val="FFFFFF"/>
                <w:sz w:val="17"/>
              </w:rPr>
              <w:t>Tysers</w:t>
            </w:r>
          </w:p>
        </w:tc>
        <w:tc>
          <w:tcPr>
            <w:tcW w:type="dxa" w:w="1803"/>
            <w:shd w:val="clear" w:color="auto" w:fill="00648B"/>
          </w:tcPr>
          <w:p>
            <w:pPr>
              <w:spacing w:after="20" w:before="0"/>
              <w:jc w:val="center"/>
            </w:pPr>
            <w:r/>
            <w:r>
              <w:rPr>
                <w:rFonts w:ascii="Lato" w:hAnsi="Lato" w:cs="Lato"/>
                <w:b/>
                <w:i w:val="0"/>
                <w:color w:val="FFFFFF"/>
                <w:sz w:val="17"/>
              </w:rPr>
              <w:t>Yutree</w:t>
            </w:r>
          </w:p>
        </w:tc>
        <w:tc>
          <w:tcPr>
            <w:tcW w:type="dxa" w:w="1803"/>
            <w:shd w:val="clear" w:color="auto" w:fill="00648B"/>
          </w:tcPr>
          <w:p>
            <w:pPr>
              <w:spacing w:after="20" w:before="0"/>
              <w:jc w:val="center"/>
            </w:pPr>
            <w:r/>
            <w:r>
              <w:rPr>
                <w:rFonts w:ascii="Lato" w:hAnsi="Lato" w:cs="Lato"/>
                <w:b/>
                <w:i w:val="0"/>
                <w:color w:val="FFFFFF"/>
                <w:sz w:val="17"/>
              </w:rPr>
              <w:t>Liberty</w:t>
            </w:r>
          </w:p>
        </w:tc>
        <w:tc>
          <w:tcPr>
            <w:tcW w:type="dxa" w:w="1803"/>
            <w:shd w:val="clear" w:color="auto" w:fill="00648B"/>
          </w:tcPr>
          <w:p>
            <w:pPr>
              <w:spacing w:after="20" w:before="0"/>
              <w:jc w:val="center"/>
            </w:pPr>
            <w:r/>
            <w:r>
              <w:rPr>
                <w:rFonts w:ascii="Lato" w:hAnsi="Lato" w:cs="Lato"/>
                <w:b/>
                <w:i w:val="0"/>
                <w:color w:val="FFFFFF"/>
                <w:sz w:val="17"/>
              </w:rPr>
              <w:t>Allianz</w:t>
            </w:r>
          </w:p>
        </w:tc>
        <w:tc>
          <w:tcPr>
            <w:tcW w:type="dxa" w:w="1803"/>
            <w:shd w:val="clear" w:color="auto" w:fill="00648B"/>
          </w:tcPr>
          <w:p>
            <w:pPr>
              <w:spacing w:after="20" w:before="0"/>
              <w:jc w:val="center"/>
            </w:pPr>
            <w:r/>
            <w:r>
              <w:rPr>
                <w:rFonts w:ascii="Lato" w:hAnsi="Lato" w:cs="Lato"/>
                <w:b/>
                <w:i w:val="0"/>
                <w:color w:val="FFFFFF"/>
                <w:sz w:val="17"/>
              </w:rPr>
              <w:t>AXA XL</w:t>
            </w:r>
          </w:p>
        </w:tc>
        <w:tc>
          <w:tcPr>
            <w:tcW w:type="dxa" w:w="1803"/>
            <w:shd w:val="clear" w:color="auto" w:fill="00648B"/>
          </w:tcPr>
          <w:p>
            <w:pPr>
              <w:spacing w:after="20" w:before="0"/>
              <w:jc w:val="center"/>
            </w:pPr>
            <w:r/>
            <w:r>
              <w:rPr>
                <w:rFonts w:ascii="Lato" w:hAnsi="Lato" w:cs="Lato"/>
                <w:b/>
                <w:i w:val="0"/>
                <w:color w:val="FFFFFF"/>
                <w:sz w:val="17"/>
              </w:rPr>
              <w:t>Ent.Elite</w:t>
            </w:r>
          </w:p>
        </w:tc>
      </w:tr>
      <w:tr>
        <w:tc>
          <w:tcPr>
            <w:tcW w:type="dxa" w:w="2495"/>
          </w:tcPr>
          <w:p>
            <w:pPr>
              <w:spacing w:after="20" w:before="0"/>
            </w:pPr>
            <w:r/>
            <w:r>
              <w:rPr>
                <w:rFonts w:ascii="Lato" w:hAnsi="Lato" w:cs="Lato"/>
                <w:b/>
                <w:i w:val="0"/>
                <w:color w:val="00648B"/>
                <w:sz w:val="14"/>
              </w:rPr>
              <w:t>Claim notification</w:t>
            </w:r>
          </w:p>
        </w:tc>
        <w:tc>
          <w:tcPr>
            <w:tcW w:type="dxa" w:w="1803"/>
          </w:tcPr>
          <w:p>
            <w:pPr>
              <w:spacing w:after="20" w:before="0"/>
            </w:pPr>
            <w:r/>
            <w:r>
              <w:rPr>
                <w:rFonts w:ascii="Lato" w:hAnsi="Lato" w:cs="Lato"/>
                <w:b w:val="0"/>
                <w:i w:val="0"/>
                <w:color w:val="2B2F33"/>
                <w:sz w:val="13"/>
              </w:rPr>
              <w:t>Express CONDITION PRECEDENT to liability — notify as soon as practicable (S1–11); S13 within 28 days; S12 claims-made notification during the period. Among the most protective drafting.</w:t>
            </w:r>
          </w:p>
        </w:tc>
        <w:tc>
          <w:tcPr>
            <w:tcW w:type="dxa" w:w="1803"/>
          </w:tcPr>
          <w:p>
            <w:pPr>
              <w:spacing w:after="20" w:before="0"/>
            </w:pPr>
            <w:r/>
            <w:r>
              <w:rPr>
                <w:rFonts w:ascii="Lato" w:hAnsi="Lato" w:cs="Lato"/>
                <w:b w:val="0"/>
                <w:i w:val="0"/>
                <w:color w:val="2B2F33"/>
                <w:sz w:val="13"/>
              </w:rPr>
              <w:t>Notification under Special Condition 1; S8 PI is claims-made.</w:t>
            </w:r>
          </w:p>
        </w:tc>
        <w:tc>
          <w:tcPr>
            <w:tcW w:type="dxa" w:w="1803"/>
          </w:tcPr>
          <w:p>
            <w:pPr>
              <w:spacing w:after="20" w:before="0"/>
            </w:pPr>
            <w:r/>
            <w:r>
              <w:rPr>
                <w:rFonts w:ascii="Lato" w:hAnsi="Lato" w:cs="Lato"/>
                <w:b w:val="0"/>
                <w:i w:val="0"/>
                <w:color w:val="2B2F33"/>
                <w:sz w:val="13"/>
              </w:rPr>
              <w:t>Claims-made; defined notification conditions for claims and claim circumstances.</w:t>
            </w:r>
          </w:p>
        </w:tc>
        <w:tc>
          <w:tcPr>
            <w:tcW w:type="dxa" w:w="1803"/>
          </w:tcPr>
          <w:p>
            <w:pPr>
              <w:spacing w:after="20" w:before="0"/>
            </w:pPr>
            <w:r/>
            <w:r>
              <w:rPr>
                <w:rFonts w:ascii="Lato" w:hAnsi="Lato" w:cs="Lato"/>
                <w:b w:val="0"/>
                <w:i w:val="0"/>
                <w:color w:val="2B2F33"/>
                <w:sz w:val="13"/>
              </w:rPr>
              <w:t>Forward every claim document immediately on receipt.</w:t>
            </w:r>
          </w:p>
        </w:tc>
        <w:tc>
          <w:tcPr>
            <w:tcW w:type="dxa" w:w="1803"/>
          </w:tcPr>
          <w:p>
            <w:pPr>
              <w:spacing w:after="20" w:before="0"/>
            </w:pPr>
            <w:r/>
            <w:r>
              <w:rPr>
                <w:rFonts w:ascii="Lato" w:hAnsi="Lato" w:cs="Lato"/>
                <w:b w:val="0"/>
                <w:i w:val="0"/>
                <w:color w:val="2B2F33"/>
                <w:sz w:val="13"/>
              </w:rPr>
              <w:t>Forward claim/notify per claims condition; potential proportionate remedy.</w:t>
            </w:r>
          </w:p>
        </w:tc>
        <w:tc>
          <w:tcPr>
            <w:tcW w:type="dxa" w:w="1803"/>
          </w:tcPr>
          <w:p>
            <w:pPr>
              <w:spacing w:after="20" w:before="0"/>
            </w:pPr>
            <w:r/>
            <w:r>
              <w:rPr>
                <w:rFonts w:ascii="Lato" w:hAnsi="Lato" w:cs="Lato"/>
                <w:b w:val="0"/>
                <w:i w:val="0"/>
                <w:color w:val="2B2F33"/>
                <w:sz w:val="13"/>
              </w:rPr>
              <w:t>Written notice to Insurer per Policy Conditions; claims co-operation conditions.</w:t>
            </w:r>
          </w:p>
        </w:tc>
        <w:tc>
          <w:tcPr>
            <w:tcW w:type="dxa" w:w="1803"/>
          </w:tcPr>
          <w:p>
            <w:pPr>
              <w:spacing w:after="20" w:before="0"/>
            </w:pPr>
            <w:r/>
            <w:r>
              <w:rPr>
                <w:rFonts w:ascii="Lato" w:hAnsi="Lato" w:cs="Lato"/>
                <w:b w:val="0"/>
                <w:i w:val="0"/>
                <w:color w:val="2B2F33"/>
                <w:sz w:val="13"/>
              </w:rPr>
              <w:t>Written notice to the Insurer as soon as reasonably practicable per the General/Claims Conditions; claim documents forwarded.</w:t>
            </w:r>
          </w:p>
        </w:tc>
      </w:tr>
      <w:tr>
        <w:tc>
          <w:tcPr>
            <w:tcW w:type="dxa" w:w="2495"/>
            <w:shd w:val="clear" w:color="auto" w:fill="F4F7F9"/>
          </w:tcPr>
          <w:p>
            <w:pPr>
              <w:spacing w:after="20" w:before="0"/>
            </w:pPr>
            <w:r/>
            <w:r>
              <w:rPr>
                <w:rFonts w:ascii="Lato" w:hAnsi="Lato" w:cs="Lato"/>
                <w:b/>
                <w:i w:val="0"/>
                <w:color w:val="00648B"/>
                <w:sz w:val="14"/>
              </w:rPr>
              <w:t>Basis of cover (PI/Media)</w:t>
            </w:r>
          </w:p>
        </w:tc>
        <w:tc>
          <w:tcPr>
            <w:tcW w:type="dxa" w:w="1803"/>
            <w:shd w:val="clear" w:color="auto" w:fill="F4F7F9"/>
          </w:tcPr>
          <w:p>
            <w:pPr>
              <w:spacing w:after="20" w:before="0"/>
            </w:pPr>
            <w:r/>
            <w:r>
              <w:rPr>
                <w:rFonts w:ascii="Lato" w:hAnsi="Lato" w:cs="Lato"/>
                <w:b w:val="0"/>
                <w:i w:val="0"/>
                <w:color w:val="2B2F33"/>
                <w:sz w:val="13"/>
              </w:rPr>
              <w:t>S12 Media Liability is claims-made with Retroactive Date; defence-costs in addition.</w:t>
            </w:r>
          </w:p>
        </w:tc>
        <w:tc>
          <w:tcPr>
            <w:tcW w:type="dxa" w:w="1803"/>
            <w:shd w:val="clear" w:color="auto" w:fill="F4F7F9"/>
          </w:tcPr>
          <w:p>
            <w:pPr>
              <w:spacing w:after="20" w:before="0"/>
            </w:pPr>
            <w:r/>
            <w:r>
              <w:rPr>
                <w:rFonts w:ascii="Lato" w:hAnsi="Lato" w:cs="Lato"/>
                <w:b w:val="0"/>
                <w:i w:val="0"/>
                <w:color w:val="2B2F33"/>
                <w:sz w:val="13"/>
              </w:rPr>
              <w:t>S8 PI/E&amp;O claims-made; defence costs in addition; Excess does not apply to defence costs.</w:t>
            </w:r>
          </w:p>
        </w:tc>
        <w:tc>
          <w:tcPr>
            <w:tcW w:type="dxa" w:w="1803"/>
            <w:shd w:val="clear" w:color="auto" w:fill="F4F7F9"/>
          </w:tcPr>
          <w:p>
            <w:pPr>
              <w:spacing w:after="20" w:before="0"/>
            </w:pPr>
            <w:r/>
            <w:r>
              <w:rPr>
                <w:rFonts w:ascii="Lato" w:hAnsi="Lato" w:cs="Lato"/>
                <w:b w:val="0"/>
                <w:i w:val="0"/>
                <w:color w:val="2B2F33"/>
                <w:sz w:val="13"/>
              </w:rPr>
              <w:t>PI-Media claims-made; retroactive date; defence costs in addition.</w:t>
            </w:r>
          </w:p>
        </w:tc>
        <w:tc>
          <w:tcPr>
            <w:tcW w:type="dxa" w:w="1803"/>
            <w:shd w:val="clear" w:color="auto" w:fill="F4F7F9"/>
          </w:tcPr>
          <w:p>
            <w:pPr>
              <w:spacing w:after="20" w:before="0"/>
            </w:pPr>
            <w:r/>
            <w:r>
              <w:rPr>
                <w:rFonts w:ascii="Lato" w:hAnsi="Lato" w:cs="Lato"/>
                <w:b w:val="0"/>
                <w:i w:val="0"/>
                <w:color w:val="2B2F33"/>
                <w:sz w:val="13"/>
              </w:rPr>
              <w:t>n/a — no PI/media section.</w:t>
            </w:r>
          </w:p>
        </w:tc>
        <w:tc>
          <w:tcPr>
            <w:tcW w:type="dxa" w:w="1803"/>
            <w:shd w:val="clear" w:color="auto" w:fill="F4F7F9"/>
          </w:tcPr>
          <w:p>
            <w:pPr>
              <w:spacing w:after="20" w:before="0"/>
            </w:pPr>
            <w:r/>
            <w:r>
              <w:rPr>
                <w:rFonts w:ascii="Lato" w:hAnsi="Lato" w:cs="Lato"/>
                <w:b w:val="0"/>
                <w:i w:val="0"/>
                <w:color w:val="2B2F33"/>
                <w:sz w:val="13"/>
              </w:rPr>
              <w:t>n/a — no PI/media section.</w:t>
            </w:r>
          </w:p>
        </w:tc>
        <w:tc>
          <w:tcPr>
            <w:tcW w:type="dxa" w:w="1803"/>
            <w:shd w:val="clear" w:color="auto" w:fill="F4F7F9"/>
          </w:tcPr>
          <w:p>
            <w:pPr>
              <w:spacing w:after="20" w:before="0"/>
            </w:pPr>
            <w:r/>
            <w:r>
              <w:rPr>
                <w:rFonts w:ascii="Lato" w:hAnsi="Lato" w:cs="Lato"/>
                <w:b w:val="0"/>
                <w:i w:val="0"/>
                <w:color w:val="2B2F33"/>
                <w:sz w:val="13"/>
              </w:rPr>
              <w:t>n/a — no PI/media section.</w:t>
            </w:r>
          </w:p>
        </w:tc>
        <w:tc>
          <w:tcPr>
            <w:tcW w:type="dxa" w:w="1803"/>
            <w:shd w:val="clear" w:color="auto" w:fill="F4F7F9"/>
          </w:tcPr>
          <w:p>
            <w:pPr>
              <w:spacing w:after="20" w:before="0"/>
            </w:pPr>
            <w:r/>
            <w:r>
              <w:rPr>
                <w:rFonts w:ascii="Lato" w:hAnsi="Lato" w:cs="Lato"/>
                <w:b w:val="0"/>
                <w:i w:val="0"/>
                <w:color w:val="2B2F33"/>
                <w:sz w:val="13"/>
              </w:rPr>
              <w:t>n/a — no PI/media section.</w:t>
            </w:r>
          </w:p>
        </w:tc>
      </w:tr>
      <w:tr>
        <w:tc>
          <w:tcPr>
            <w:tcW w:type="dxa" w:w="2495"/>
          </w:tcPr>
          <w:p>
            <w:pPr>
              <w:spacing w:after="20" w:before="0"/>
            </w:pPr>
            <w:r/>
            <w:r>
              <w:rPr>
                <w:rFonts w:ascii="Lato" w:hAnsi="Lato" w:cs="Lato"/>
                <w:b/>
                <w:i w:val="0"/>
                <w:color w:val="00648B"/>
                <w:sz w:val="14"/>
              </w:rPr>
              <w:t>Reasonable precautions / cyber-security</w:t>
            </w:r>
          </w:p>
        </w:tc>
        <w:tc>
          <w:tcPr>
            <w:tcW w:type="dxa" w:w="1803"/>
          </w:tcPr>
          <w:p>
            <w:pPr>
              <w:spacing w:after="20" w:before="0"/>
            </w:pPr>
            <w:r/>
            <w:r>
              <w:rPr>
                <w:rFonts w:ascii="Lato" w:hAnsi="Lato" w:cs="Lato"/>
                <w:b w:val="0"/>
                <w:i w:val="0"/>
                <w:color w:val="2B2F33"/>
                <w:sz w:val="13"/>
              </w:rPr>
              <w:t>S12 imposes detailed computer-security conditions (firewall, AV, password change/60 days, encryption, logging, back-ups) and ‘reasonable steps to avoid loss’.</w:t>
            </w:r>
          </w:p>
        </w:tc>
        <w:tc>
          <w:tcPr>
            <w:tcW w:type="dxa" w:w="1803"/>
          </w:tcPr>
          <w:p>
            <w:pPr>
              <w:spacing w:after="20" w:before="0"/>
            </w:pPr>
            <w:r/>
            <w:r>
              <w:rPr>
                <w:rFonts w:ascii="Lato" w:hAnsi="Lato" w:cs="Lato"/>
                <w:b w:val="0"/>
                <w:i w:val="0"/>
                <w:color w:val="2B2F33"/>
                <w:sz w:val="13"/>
              </w:rPr>
              <w:t>Loss-of-documents condition requires back-ups at least every 7 days off-site.</w:t>
            </w:r>
          </w:p>
        </w:tc>
        <w:tc>
          <w:tcPr>
            <w:tcW w:type="dxa" w:w="1803"/>
          </w:tcPr>
          <w:p>
            <w:pPr>
              <w:spacing w:after="20" w:before="0"/>
            </w:pPr>
            <w:r/>
            <w:r>
              <w:rPr>
                <w:rFonts w:ascii="Lato" w:hAnsi="Lato" w:cs="Lato"/>
                <w:b w:val="0"/>
                <w:i w:val="0"/>
                <w:color w:val="2B2F33"/>
                <w:sz w:val="13"/>
              </w:rPr>
              <w:t>Reasonable-precautions and security expectations apply.</w:t>
            </w:r>
          </w:p>
        </w:tc>
        <w:tc>
          <w:tcPr>
            <w:tcW w:type="dxa" w:w="1803"/>
          </w:tcPr>
          <w:p>
            <w:pPr>
              <w:spacing w:after="20" w:before="0"/>
            </w:pPr>
            <w:r/>
            <w:r>
              <w:rPr>
                <w:rFonts w:ascii="Lato" w:hAnsi="Lato" w:cs="Lato"/>
                <w:b w:val="0"/>
                <w:i w:val="0"/>
                <w:color w:val="2B2F33"/>
                <w:sz w:val="13"/>
              </w:rPr>
              <w:t>General ‘your duties’ / reasonable precautions section.</w:t>
            </w:r>
          </w:p>
        </w:tc>
        <w:tc>
          <w:tcPr>
            <w:tcW w:type="dxa" w:w="1803"/>
          </w:tcPr>
          <w:p>
            <w:pPr>
              <w:spacing w:after="20" w:before="0"/>
            </w:pPr>
            <w:r/>
            <w:r>
              <w:rPr>
                <w:rFonts w:ascii="Lato" w:hAnsi="Lato" w:cs="Lato"/>
                <w:b w:val="0"/>
                <w:i w:val="0"/>
                <w:color w:val="2B2F33"/>
                <w:sz w:val="13"/>
              </w:rPr>
              <w:t>Reasonable-precautions and maintenance conditions.</w:t>
            </w:r>
          </w:p>
        </w:tc>
        <w:tc>
          <w:tcPr>
            <w:tcW w:type="dxa" w:w="1803"/>
          </w:tcPr>
          <w:p>
            <w:pPr>
              <w:spacing w:after="20" w:before="0"/>
            </w:pPr>
            <w:r/>
            <w:r>
              <w:rPr>
                <w:rFonts w:ascii="Lato" w:hAnsi="Lato" w:cs="Lato"/>
                <w:b w:val="0"/>
                <w:i w:val="0"/>
                <w:color w:val="2B2F33"/>
                <w:sz w:val="13"/>
              </w:rPr>
              <w:t>Reasonable-precautions / maintenance and duty-of-care conditions.</w:t>
            </w:r>
          </w:p>
        </w:tc>
        <w:tc>
          <w:tcPr>
            <w:tcW w:type="dxa" w:w="1803"/>
          </w:tcPr>
          <w:p>
            <w:pPr>
              <w:spacing w:after="20" w:before="0"/>
            </w:pPr>
            <w:r/>
            <w:r>
              <w:rPr>
                <w:rFonts w:ascii="Lato" w:hAnsi="Lato" w:cs="Lato"/>
                <w:b w:val="0"/>
                <w:i w:val="0"/>
                <w:color w:val="2B2F33"/>
                <w:sz w:val="13"/>
              </w:rPr>
              <w:t>Reasonable-precautions and risk-improvement conditions; specific Money security, carryings and key conditions.</w:t>
            </w:r>
          </w:p>
        </w:tc>
      </w:tr>
      <w:tr>
        <w:tc>
          <w:tcPr>
            <w:tcW w:type="dxa" w:w="2495"/>
            <w:shd w:val="clear" w:color="auto" w:fill="F4F7F9"/>
          </w:tcPr>
          <w:p>
            <w:pPr>
              <w:spacing w:after="20" w:before="0"/>
            </w:pPr>
            <w:r/>
            <w:r>
              <w:rPr>
                <w:rFonts w:ascii="Lato" w:hAnsi="Lato" w:cs="Lato"/>
                <w:b/>
                <w:i w:val="0"/>
                <w:color w:val="00648B"/>
                <w:sz w:val="14"/>
              </w:rPr>
              <w:t>Change of control</w:t>
            </w:r>
          </w:p>
        </w:tc>
        <w:tc>
          <w:tcPr>
            <w:tcW w:type="dxa" w:w="1803"/>
            <w:shd w:val="clear" w:color="auto" w:fill="F4F7F9"/>
          </w:tcPr>
          <w:p>
            <w:pPr>
              <w:spacing w:after="20" w:before="0"/>
            </w:pPr>
            <w:r/>
            <w:r>
              <w:rPr>
                <w:rFonts w:ascii="Lato" w:hAnsi="Lato" w:cs="Lato"/>
                <w:b w:val="0"/>
                <w:i w:val="0"/>
                <w:color w:val="2B2F33"/>
                <w:sz w:val="13"/>
              </w:rPr>
              <w:t>S12 cover ceases on a change of control unless notified and agreed by endorsement.</w:t>
            </w:r>
          </w:p>
        </w:tc>
        <w:tc>
          <w:tcPr>
            <w:tcW w:type="dxa" w:w="1803"/>
            <w:shd w:val="clear" w:color="auto" w:fill="F4F7F9"/>
          </w:tcPr>
          <w:p>
            <w:pPr>
              <w:spacing w:after="20" w:before="0"/>
            </w:pPr>
            <w:r/>
            <w:r>
              <w:rPr>
                <w:rFonts w:ascii="Lato" w:hAnsi="Lato" w:cs="Lato"/>
                <w:b w:val="0"/>
                <w:i w:val="0"/>
                <w:color w:val="2B2F33"/>
                <w:sz w:val="13"/>
              </w:rPr>
              <w:t>Requires review.</w:t>
            </w:r>
          </w:p>
        </w:tc>
        <w:tc>
          <w:tcPr>
            <w:tcW w:type="dxa" w:w="1803"/>
            <w:shd w:val="clear" w:color="auto" w:fill="F4F7F9"/>
          </w:tcPr>
          <w:p>
            <w:pPr>
              <w:spacing w:after="20" w:before="0"/>
            </w:pPr>
            <w:r/>
            <w:r>
              <w:rPr>
                <w:rFonts w:ascii="Lato" w:hAnsi="Lato" w:cs="Lato"/>
                <w:b w:val="0"/>
                <w:i w:val="0"/>
                <w:color w:val="2B2F33"/>
                <w:sz w:val="13"/>
              </w:rPr>
              <w:t>Addressed via subsidiary creation/acquisition cover.</w:t>
            </w:r>
          </w:p>
        </w:tc>
        <w:tc>
          <w:tcPr>
            <w:tcW w:type="dxa" w:w="1803"/>
            <w:shd w:val="clear" w:color="auto" w:fill="F4F7F9"/>
          </w:tcPr>
          <w:p>
            <w:pPr>
              <w:spacing w:after="20" w:before="0"/>
            </w:pPr>
            <w:r/>
            <w:r>
              <w:rPr>
                <w:rFonts w:ascii="Lato" w:hAnsi="Lato" w:cs="Lato"/>
                <w:b w:val="0"/>
                <w:i w:val="0"/>
                <w:color w:val="2B2F33"/>
                <w:sz w:val="13"/>
              </w:rPr>
              <w:t>n/a (no PI).</w:t>
            </w:r>
          </w:p>
        </w:tc>
        <w:tc>
          <w:tcPr>
            <w:tcW w:type="dxa" w:w="1803"/>
            <w:shd w:val="clear" w:color="auto" w:fill="F4F7F9"/>
          </w:tcPr>
          <w:p>
            <w:pPr>
              <w:spacing w:after="20" w:before="0"/>
            </w:pPr>
            <w:r/>
            <w:r>
              <w:rPr>
                <w:rFonts w:ascii="Lato" w:hAnsi="Lato" w:cs="Lato"/>
                <w:b w:val="0"/>
                <w:i w:val="0"/>
                <w:color w:val="2B2F33"/>
                <w:sz w:val="13"/>
              </w:rPr>
              <w:t>n/a (no PI).</w:t>
            </w:r>
          </w:p>
        </w:tc>
        <w:tc>
          <w:tcPr>
            <w:tcW w:type="dxa" w:w="1803"/>
            <w:shd w:val="clear" w:color="auto" w:fill="F4F7F9"/>
          </w:tcPr>
          <w:p>
            <w:pPr>
              <w:spacing w:after="20" w:before="0"/>
            </w:pPr>
            <w:r/>
            <w:r>
              <w:rPr>
                <w:rFonts w:ascii="Lato" w:hAnsi="Lato" w:cs="Lato"/>
                <w:b w:val="0"/>
                <w:i w:val="0"/>
                <w:color w:val="2B2F33"/>
                <w:sz w:val="13"/>
              </w:rPr>
              <w:t>n/a (no PI).</w:t>
            </w:r>
          </w:p>
        </w:tc>
        <w:tc>
          <w:tcPr>
            <w:tcW w:type="dxa" w:w="1803"/>
            <w:shd w:val="clear" w:color="auto" w:fill="F4F7F9"/>
          </w:tcPr>
          <w:p>
            <w:pPr>
              <w:spacing w:after="20" w:before="0"/>
            </w:pPr>
            <w:r/>
            <w:r>
              <w:rPr>
                <w:rFonts w:ascii="Lato" w:hAnsi="Lato" w:cs="Lato"/>
                <w:b w:val="0"/>
                <w:i w:val="0"/>
                <w:color w:val="2B2F33"/>
                <w:sz w:val="13"/>
              </w:rPr>
              <w:t>n/a (no PI).</w:t>
            </w:r>
          </w:p>
        </w:tc>
      </w:tr>
      <w:tr>
        <w:tc>
          <w:tcPr>
            <w:tcW w:type="dxa" w:w="2495"/>
          </w:tcPr>
          <w:p>
            <w:pPr>
              <w:spacing w:after="20" w:before="0"/>
            </w:pPr>
            <w:r/>
            <w:r>
              <w:rPr>
                <w:rFonts w:ascii="Lato" w:hAnsi="Lato" w:cs="Lato"/>
                <w:b/>
                <w:i w:val="0"/>
                <w:color w:val="00648B"/>
                <w:sz w:val="14"/>
              </w:rPr>
              <w:t>Premium payment</w:t>
            </w:r>
          </w:p>
        </w:tc>
        <w:tc>
          <w:tcPr>
            <w:tcW w:type="dxa" w:w="1803"/>
          </w:tcPr>
          <w:p>
            <w:pPr>
              <w:spacing w:after="20" w:before="0"/>
            </w:pPr>
            <w:r/>
            <w:r>
              <w:rPr>
                <w:rFonts w:ascii="Lato" w:hAnsi="Lato" w:cs="Lato"/>
                <w:b w:val="0"/>
                <w:i w:val="0"/>
                <w:color w:val="2B2F33"/>
                <w:sz w:val="13"/>
              </w:rPr>
              <w:t>S12 premium payment clause — 60 days, with 15-day cancellation notice.</w:t>
            </w:r>
          </w:p>
        </w:tc>
        <w:tc>
          <w:tcPr>
            <w:tcW w:type="dxa" w:w="1803"/>
          </w:tcPr>
          <w:p>
            <w:pPr>
              <w:spacing w:after="20" w:before="0"/>
            </w:pPr>
            <w:r/>
            <w:r>
              <w:rPr>
                <w:rFonts w:ascii="Lato" w:hAnsi="Lato" w:cs="Lato"/>
                <w:b w:val="0"/>
                <w:i w:val="0"/>
                <w:color w:val="2B2F33"/>
                <w:sz w:val="13"/>
              </w:rPr>
              <w:t>Per policy/General Conditions.</w:t>
            </w:r>
          </w:p>
        </w:tc>
        <w:tc>
          <w:tcPr>
            <w:tcW w:type="dxa" w:w="1803"/>
          </w:tcPr>
          <w:p>
            <w:pPr>
              <w:spacing w:after="20" w:before="0"/>
            </w:pPr>
            <w:r/>
            <w:r>
              <w:rPr>
                <w:rFonts w:ascii="Lato" w:hAnsi="Lato" w:cs="Lato"/>
                <w:b w:val="0"/>
                <w:i w:val="0"/>
                <w:color w:val="2B2F33"/>
                <w:sz w:val="13"/>
              </w:rPr>
              <w:t>Premium-adjustment condition with cancellation rights.</w:t>
            </w:r>
          </w:p>
        </w:tc>
        <w:tc>
          <w:tcPr>
            <w:tcW w:type="dxa" w:w="1803"/>
          </w:tcPr>
          <w:p>
            <w:pPr>
              <w:spacing w:after="20" w:before="0"/>
            </w:pPr>
            <w:r/>
            <w:r>
              <w:rPr>
                <w:rFonts w:ascii="Lato" w:hAnsi="Lato" w:cs="Lato"/>
                <w:b w:val="0"/>
                <w:i w:val="0"/>
                <w:color w:val="2B2F33"/>
                <w:sz w:val="13"/>
              </w:rPr>
              <w:t>Standard cancellation section.</w:t>
            </w:r>
          </w:p>
        </w:tc>
        <w:tc>
          <w:tcPr>
            <w:tcW w:type="dxa" w:w="1803"/>
          </w:tcPr>
          <w:p>
            <w:pPr>
              <w:spacing w:after="20" w:before="0"/>
            </w:pPr>
            <w:r/>
            <w:r>
              <w:rPr>
                <w:rFonts w:ascii="Lato" w:hAnsi="Lato" w:cs="Lato"/>
                <w:b w:val="0"/>
                <w:i w:val="0"/>
                <w:color w:val="2B2F33"/>
                <w:sz w:val="13"/>
              </w:rPr>
              <w:t>Standard cancellation provisions.</w:t>
            </w:r>
          </w:p>
        </w:tc>
        <w:tc>
          <w:tcPr>
            <w:tcW w:type="dxa" w:w="1803"/>
          </w:tcPr>
          <w:p>
            <w:pPr>
              <w:spacing w:after="20" w:before="0"/>
            </w:pPr>
            <w:r/>
            <w:r>
              <w:rPr>
                <w:rFonts w:ascii="Lato" w:hAnsi="Lato" w:cs="Lato"/>
                <w:b w:val="0"/>
                <w:i w:val="0"/>
                <w:color w:val="2B2F33"/>
                <w:sz w:val="13"/>
              </w:rPr>
              <w:t>Standard premium / cancellation provisions (Policy Conditions).</w:t>
            </w:r>
          </w:p>
        </w:tc>
        <w:tc>
          <w:tcPr>
            <w:tcW w:type="dxa" w:w="1803"/>
          </w:tcPr>
          <w:p>
            <w:pPr>
              <w:spacing w:after="20" w:before="0"/>
            </w:pPr>
            <w:r/>
            <w:r>
              <w:rPr>
                <w:rFonts w:ascii="Lato" w:hAnsi="Lato" w:cs="Lato"/>
                <w:b w:val="0"/>
                <w:i w:val="0"/>
                <w:color w:val="2B2F33"/>
                <w:sz w:val="13"/>
              </w:rPr>
              <w:t>Premium-instalment and cancellation provisions.</w:t>
            </w:r>
          </w:p>
        </w:tc>
      </w:tr>
      <w:tr>
        <w:tc>
          <w:tcPr>
            <w:tcW w:type="dxa" w:w="2495"/>
            <w:shd w:val="clear" w:color="auto" w:fill="F4F7F9"/>
          </w:tcPr>
          <w:p>
            <w:pPr>
              <w:spacing w:after="20" w:before="0"/>
            </w:pPr>
            <w:r/>
            <w:r>
              <w:rPr>
                <w:rFonts w:ascii="Lato" w:hAnsi="Lato" w:cs="Lato"/>
                <w:b/>
                <w:i w:val="0"/>
                <w:color w:val="00648B"/>
                <w:sz w:val="14"/>
              </w:rPr>
              <w:t>Fair presentation (Insurance Act 2015)</w:t>
            </w:r>
          </w:p>
        </w:tc>
        <w:tc>
          <w:tcPr>
            <w:tcW w:type="dxa" w:w="1803"/>
            <w:shd w:val="clear" w:color="auto" w:fill="F4F7F9"/>
          </w:tcPr>
          <w:p>
            <w:pPr>
              <w:spacing w:after="20" w:before="0"/>
            </w:pPr>
            <w:r/>
            <w:r>
              <w:rPr>
                <w:rFonts w:ascii="Lato" w:hAnsi="Lato" w:cs="Lato"/>
                <w:b w:val="0"/>
                <w:i w:val="0"/>
                <w:color w:val="2B2F33"/>
                <w:sz w:val="13"/>
              </w:rPr>
              <w:t>Duty of fair presentation applies (UK).</w:t>
            </w:r>
          </w:p>
        </w:tc>
        <w:tc>
          <w:tcPr>
            <w:tcW w:type="dxa" w:w="1803"/>
            <w:shd w:val="clear" w:color="auto" w:fill="F4F7F9"/>
          </w:tcPr>
          <w:p>
            <w:pPr>
              <w:spacing w:after="20" w:before="0"/>
            </w:pPr>
            <w:r/>
            <w:r>
              <w:rPr>
                <w:rFonts w:ascii="Lato" w:hAnsi="Lato" w:cs="Lato"/>
                <w:b w:val="0"/>
                <w:i w:val="0"/>
                <w:color w:val="2B2F33"/>
                <w:sz w:val="13"/>
              </w:rPr>
              <w:t>Duty of fair presentation; Zurich data terms.</w:t>
            </w:r>
          </w:p>
        </w:tc>
        <w:tc>
          <w:tcPr>
            <w:tcW w:type="dxa" w:w="1803"/>
            <w:shd w:val="clear" w:color="auto" w:fill="F4F7F9"/>
          </w:tcPr>
          <w:p>
            <w:pPr>
              <w:spacing w:after="20" w:before="0"/>
            </w:pPr>
            <w:r/>
            <w:r>
              <w:rPr>
                <w:rFonts w:ascii="Lato" w:hAnsi="Lato" w:cs="Lato"/>
                <w:b w:val="0"/>
                <w:i w:val="0"/>
                <w:color w:val="2B2F33"/>
                <w:sz w:val="13"/>
              </w:rPr>
              <w:t>Express duty of fair presentation.</w:t>
            </w:r>
          </w:p>
        </w:tc>
        <w:tc>
          <w:tcPr>
            <w:tcW w:type="dxa" w:w="1803"/>
            <w:shd w:val="clear" w:color="auto" w:fill="F4F7F9"/>
          </w:tcPr>
          <w:p>
            <w:pPr>
              <w:spacing w:after="20" w:before="0"/>
            </w:pPr>
            <w:r/>
            <w:r>
              <w:rPr>
                <w:rFonts w:ascii="Lato" w:hAnsi="Lato" w:cs="Lato"/>
                <w:b w:val="0"/>
                <w:i w:val="0"/>
                <w:color w:val="2B2F33"/>
                <w:sz w:val="13"/>
              </w:rPr>
              <w:t>‘Your duties’ — fair presentation.</w:t>
            </w:r>
          </w:p>
        </w:tc>
        <w:tc>
          <w:tcPr>
            <w:tcW w:type="dxa" w:w="1803"/>
            <w:shd w:val="clear" w:color="auto" w:fill="F4F7F9"/>
          </w:tcPr>
          <w:p>
            <w:pPr>
              <w:spacing w:after="20" w:before="0"/>
            </w:pPr>
            <w:r/>
            <w:r>
              <w:rPr>
                <w:rFonts w:ascii="Lato" w:hAnsi="Lato" w:cs="Lato"/>
                <w:b w:val="0"/>
                <w:i w:val="0"/>
                <w:color w:val="2B2F33"/>
                <w:sz w:val="13"/>
              </w:rPr>
              <w:t>Fair-presentation conditions.</w:t>
            </w:r>
          </w:p>
        </w:tc>
        <w:tc>
          <w:tcPr>
            <w:tcW w:type="dxa" w:w="1803"/>
            <w:shd w:val="clear" w:color="auto" w:fill="F4F7F9"/>
          </w:tcPr>
          <w:p>
            <w:pPr>
              <w:spacing w:after="20" w:before="0"/>
            </w:pPr>
            <w:r/>
            <w:r>
              <w:rPr>
                <w:rFonts w:ascii="Lato" w:hAnsi="Lato" w:cs="Lato"/>
                <w:b w:val="0"/>
                <w:i w:val="0"/>
                <w:color w:val="2B2F33"/>
                <w:sz w:val="13"/>
              </w:rPr>
              <w:t>Insurer relies on information provided; fair-presentation basis.</w:t>
            </w:r>
          </w:p>
        </w:tc>
        <w:tc>
          <w:tcPr>
            <w:tcW w:type="dxa" w:w="1803"/>
            <w:shd w:val="clear" w:color="auto" w:fill="F4F7F9"/>
          </w:tcPr>
          <w:p>
            <w:pPr>
              <w:spacing w:after="20" w:before="0"/>
            </w:pPr>
            <w:r/>
            <w:r>
              <w:rPr>
                <w:rFonts w:ascii="Lato" w:hAnsi="Lato" w:cs="Lato"/>
                <w:b w:val="0"/>
                <w:i w:val="0"/>
                <w:color w:val="2B2F33"/>
                <w:sz w:val="13"/>
              </w:rPr>
              <w:t>Duty of fair presentation.</w:t>
            </w:r>
          </w:p>
        </w:tc>
      </w:tr>
      <w:tr>
        <w:tc>
          <w:tcPr>
            <w:tcW w:type="dxa" w:w="2495"/>
          </w:tcPr>
          <w:p>
            <w:pPr>
              <w:spacing w:after="20" w:before="0"/>
            </w:pPr>
            <w:r/>
            <w:r>
              <w:rPr>
                <w:rFonts w:ascii="Lato" w:hAnsi="Lato" w:cs="Lato"/>
                <w:b/>
                <w:i w:val="0"/>
                <w:color w:val="00648B"/>
                <w:sz w:val="14"/>
              </w:rPr>
              <w:t>Defence / dispute resolution</w:t>
            </w:r>
          </w:p>
        </w:tc>
        <w:tc>
          <w:tcPr>
            <w:tcW w:type="dxa" w:w="1803"/>
          </w:tcPr>
          <w:p>
            <w:pPr>
              <w:spacing w:after="20" w:before="0"/>
            </w:pPr>
            <w:r/>
            <w:r>
              <w:rPr>
                <w:rFonts w:ascii="Lato" w:hAnsi="Lato" w:cs="Lato"/>
                <w:b w:val="0"/>
                <w:i w:val="0"/>
                <w:color w:val="2B2F33"/>
                <w:sz w:val="13"/>
              </w:rPr>
              <w:t>Insurer consent required (CP); general mediation/dispute condition (England &amp; Wales).</w:t>
            </w:r>
          </w:p>
        </w:tc>
        <w:tc>
          <w:tcPr>
            <w:tcW w:type="dxa" w:w="1803"/>
          </w:tcPr>
          <w:p>
            <w:pPr>
              <w:spacing w:after="20" w:before="0"/>
            </w:pPr>
            <w:r/>
            <w:r>
              <w:rPr>
                <w:rFonts w:ascii="Lato" w:hAnsi="Lato" w:cs="Lato"/>
                <w:b w:val="0"/>
                <w:i w:val="0"/>
                <w:color w:val="2B2F33"/>
                <w:sz w:val="13"/>
              </w:rPr>
              <w:t>Insurer controls defence; consent to settle.</w:t>
            </w:r>
          </w:p>
        </w:tc>
        <w:tc>
          <w:tcPr>
            <w:tcW w:type="dxa" w:w="1803"/>
          </w:tcPr>
          <w:p>
            <w:pPr>
              <w:spacing w:after="20" w:before="0"/>
            </w:pPr>
            <w:r/>
            <w:r>
              <w:rPr>
                <w:rFonts w:ascii="Lato" w:hAnsi="Lato" w:cs="Lato"/>
                <w:b w:val="0"/>
                <w:i w:val="0"/>
                <w:color w:val="2B2F33"/>
                <w:sz w:val="13"/>
              </w:rPr>
              <w:t>Clear King’s Counsel arbitration clause for defence/settlement disputes — strong drafting.</w:t>
            </w:r>
          </w:p>
        </w:tc>
        <w:tc>
          <w:tcPr>
            <w:tcW w:type="dxa" w:w="1803"/>
          </w:tcPr>
          <w:p>
            <w:pPr>
              <w:spacing w:after="20" w:before="0"/>
            </w:pPr>
            <w:r/>
            <w:r>
              <w:rPr>
                <w:rFonts w:ascii="Lato" w:hAnsi="Lato" w:cs="Lato"/>
                <w:b w:val="0"/>
                <w:i w:val="0"/>
                <w:color w:val="2B2F33"/>
                <w:sz w:val="13"/>
              </w:rPr>
              <w:t>Insurer conduct-of-claims rights.</w:t>
            </w:r>
          </w:p>
        </w:tc>
        <w:tc>
          <w:tcPr>
            <w:tcW w:type="dxa" w:w="1803"/>
          </w:tcPr>
          <w:p>
            <w:pPr>
              <w:spacing w:after="20" w:before="0"/>
            </w:pPr>
            <w:r/>
            <w:r>
              <w:rPr>
                <w:rFonts w:ascii="Lato" w:hAnsi="Lato" w:cs="Lato"/>
                <w:b w:val="0"/>
                <w:i w:val="0"/>
                <w:color w:val="2B2F33"/>
                <w:sz w:val="13"/>
              </w:rPr>
              <w:t>Insurer conduct-of-claims rights.</w:t>
            </w:r>
          </w:p>
        </w:tc>
        <w:tc>
          <w:tcPr>
            <w:tcW w:type="dxa" w:w="1803"/>
          </w:tcPr>
          <w:p>
            <w:pPr>
              <w:spacing w:after="20" w:before="0"/>
            </w:pPr>
            <w:r/>
            <w:r>
              <w:rPr>
                <w:rFonts w:ascii="Lato" w:hAnsi="Lato" w:cs="Lato"/>
                <w:b w:val="0"/>
                <w:i w:val="0"/>
                <w:color w:val="2B2F33"/>
                <w:sz w:val="13"/>
              </w:rPr>
              <w:t>Insurer conduct-of-claims rights.</w:t>
            </w:r>
          </w:p>
        </w:tc>
        <w:tc>
          <w:tcPr>
            <w:tcW w:type="dxa" w:w="1803"/>
          </w:tcPr>
          <w:p>
            <w:pPr>
              <w:spacing w:after="20" w:before="0"/>
            </w:pPr>
            <w:r/>
            <w:r>
              <w:rPr>
                <w:rFonts w:ascii="Lato" w:hAnsi="Lato" w:cs="Lato"/>
                <w:b w:val="0"/>
                <w:i w:val="0"/>
                <w:color w:val="2B2F33"/>
                <w:sz w:val="13"/>
              </w:rPr>
              <w:t>Insurer conduct-of-claims rights.</w:t>
            </w:r>
          </w:p>
        </w:tc>
      </w:tr>
    </w:tbl>
    <w:p>
      <w:pPr>
        <w:spacing w:after="80"/>
      </w:pPr>
    </w:p>
    <w:p>
      <w:pPr>
        <w:pStyle w:val="ListBullet"/>
        <w:spacing w:after="40"/>
        <w:ind w:left="340"/>
      </w:pPr>
      <w:r>
        <w:rPr>
          <w:rFonts w:ascii="Lato" w:hAnsi="Lato" w:cs="Lato"/>
          <w:b w:val="0"/>
          <w:i w:val="0"/>
          <w:color w:val="2B2F33"/>
          <w:sz w:val="17"/>
        </w:rPr>
        <w:t>Claim notification: TMHCC S1–11 is an ordinary obligation ('as soon as practicable'); S12–S15 notification operates as a CONDITION PRECEDENT. Among the most clearly-drafted notification architectures in the peer group.</w:t>
      </w:r>
    </w:p>
    <w:p>
      <w:pPr>
        <w:pStyle w:val="ListBullet"/>
        <w:spacing w:after="40"/>
        <w:ind w:left="340"/>
      </w:pPr>
      <w:r>
        <w:rPr>
          <w:rFonts w:ascii="Lato" w:hAnsi="Lato" w:cs="Lato"/>
          <w:b w:val="0"/>
          <w:i w:val="0"/>
          <w:color w:val="2B2F33"/>
          <w:sz w:val="17"/>
        </w:rPr>
        <w:t>Conditions precedent / warranties: TMHCC uses condition-precedent drafting for security, storage, risk-improvement and section-level notification; competitors rely on ordinary conditions with proportionate remedies (Insurance Act 2015).</w:t>
      </w:r>
    </w:p>
    <w:p>
      <w:pPr>
        <w:pStyle w:val="ListBullet"/>
        <w:spacing w:after="40"/>
        <w:ind w:left="340"/>
      </w:pPr>
      <w:r>
        <w:rPr>
          <w:rFonts w:ascii="Lato" w:hAnsi="Lato" w:cs="Lato"/>
          <w:b w:val="0"/>
          <w:i w:val="0"/>
          <w:color w:val="2B2F33"/>
          <w:sz w:val="17"/>
        </w:rPr>
        <w:t>Theft / security / proof of ownership: TMHCC adds a Proof of Ownership and Value claims condition (S1–11); Tysers and Entertainment Elite carry detailed Money security/carrying/key conditions — broadly comparable.</w:t>
      </w:r>
    </w:p>
    <w:p>
      <w:pPr>
        <w:pStyle w:val="ListBullet"/>
        <w:spacing w:after="40"/>
        <w:ind w:left="340"/>
      </w:pPr>
      <w:r>
        <w:rPr>
          <w:rFonts w:ascii="Lato" w:hAnsi="Lato" w:cs="Lato"/>
          <w:b w:val="0"/>
          <w:i w:val="0"/>
          <w:color w:val="2B2F33"/>
          <w:sz w:val="17"/>
        </w:rPr>
        <w:t>Breakdown: Yutree offers a dedicated Computer Breakdown section; TMHCC consolidates IT/computer breakdown within S1/S2 — confirm it is explicit (presentational, not a true gap).</w:t>
      </w:r>
    </w:p>
    <w:p>
      <w:r>
        <w:br w:type="page"/>
      </w:r>
    </w:p>
    <w:p>
      <w:pPr>
        <w:keepNext/>
        <w:spacing w:before="280" w:after="40"/>
        <w:pBdr>
          <w:bottom w:val="single" w:sz="8" w:space="2" w:color="B88A3C"/>
        </w:pBdr>
      </w:pPr>
      <w:r>
        <w:rPr>
          <w:rFonts w:ascii="Lato" w:hAnsi="Lato" w:cs="Lato"/>
          <w:b/>
          <w:i w:val="0"/>
          <w:color w:val="00648B"/>
          <w:sz w:val="30"/>
        </w:rPr>
        <w:t>F. Key limits &amp; sub-limits (Media / PI)</w:t>
      </w:r>
    </w:p>
    <w:tbl>
      <w:tblPr>
        <w:tblW w:type="dxa" w:w="15116"/>
        <w:jc w:val="center"/>
        <w:tblBorders>
          <w:top w:val="single" w:sz="4" w:space="0" w:color="D6DCE0"/>
          <w:left w:val="single" w:sz="4" w:space="0" w:color="D6DCE0"/>
          <w:bottom w:val="single" w:sz="4" w:space="0" w:color="D6DCE0"/>
          <w:right w:val="single" w:sz="4" w:space="0" w:color="D6DCE0"/>
          <w:insideH w:val="single" w:sz="4" w:space="0" w:color="D6DCE0"/>
          <w:insideV w:val="single" w:sz="4" w:space="0" w:color="D6DCE0"/>
        </w:tblBorders>
        <w:tblLayout w:type="fixed"/>
        <w:tblLook w:firstColumn="1" w:firstRow="1" w:lastColumn="0" w:lastRow="0" w:noHBand="0" w:noVBand="1" w:val="04A0"/>
      </w:tblPr>
      <w:tblGrid>
        <w:gridCol w:w="2495"/>
        <w:gridCol w:w="1803"/>
        <w:gridCol w:w="1803"/>
        <w:gridCol w:w="1803"/>
        <w:gridCol w:w="1803"/>
        <w:gridCol w:w="1803"/>
        <w:gridCol w:w="1803"/>
        <w:gridCol w:w="1803"/>
      </w:tblGrid>
      <w:tr>
        <w:tc>
          <w:tcPr>
            <w:tcW w:type="dxa" w:w="2494"/>
            <w:shd w:val="clear" w:color="auto" w:fill="00648B"/>
          </w:tcPr>
          <w:p>
            <w:pPr>
              <w:spacing w:after="20" w:before="0"/>
              <w:jc w:val="center"/>
            </w:pPr>
            <w:r/>
            <w:r>
              <w:rPr>
                <w:rFonts w:ascii="Lato" w:hAnsi="Lato" w:cs="Lato"/>
                <w:b/>
                <w:i w:val="0"/>
                <w:color w:val="FFFFFF"/>
                <w:sz w:val="17"/>
              </w:rPr>
              <w:t>Sub-limit</w:t>
            </w:r>
          </w:p>
        </w:tc>
        <w:tc>
          <w:tcPr>
            <w:tcW w:type="dxa" w:w="1803"/>
            <w:shd w:val="clear" w:color="auto" w:fill="00648B"/>
          </w:tcPr>
          <w:p>
            <w:pPr>
              <w:spacing w:after="20" w:before="0"/>
              <w:jc w:val="center"/>
            </w:pPr>
            <w:r/>
            <w:r>
              <w:rPr>
                <w:rFonts w:ascii="Lato" w:hAnsi="Lato" w:cs="Lato"/>
                <w:b/>
                <w:i w:val="0"/>
                <w:color w:val="FFFFFF"/>
                <w:sz w:val="17"/>
              </w:rPr>
              <w:t>TMHCC</w:t>
            </w:r>
          </w:p>
        </w:tc>
        <w:tc>
          <w:tcPr>
            <w:tcW w:type="dxa" w:w="1803"/>
            <w:shd w:val="clear" w:color="auto" w:fill="00648B"/>
          </w:tcPr>
          <w:p>
            <w:pPr>
              <w:spacing w:after="20" w:before="0"/>
              <w:jc w:val="center"/>
            </w:pPr>
            <w:r/>
            <w:r>
              <w:rPr>
                <w:rFonts w:ascii="Lato" w:hAnsi="Lato" w:cs="Lato"/>
                <w:b/>
                <w:i w:val="0"/>
                <w:color w:val="FFFFFF"/>
                <w:sz w:val="17"/>
              </w:rPr>
              <w:t>Tysers</w:t>
            </w:r>
          </w:p>
        </w:tc>
        <w:tc>
          <w:tcPr>
            <w:tcW w:type="dxa" w:w="1803"/>
            <w:shd w:val="clear" w:color="auto" w:fill="00648B"/>
          </w:tcPr>
          <w:p>
            <w:pPr>
              <w:spacing w:after="20" w:before="0"/>
              <w:jc w:val="center"/>
            </w:pPr>
            <w:r/>
            <w:r>
              <w:rPr>
                <w:rFonts w:ascii="Lato" w:hAnsi="Lato" w:cs="Lato"/>
                <w:b/>
                <w:i w:val="0"/>
                <w:color w:val="FFFFFF"/>
                <w:sz w:val="17"/>
              </w:rPr>
              <w:t>Yutree</w:t>
            </w:r>
          </w:p>
        </w:tc>
        <w:tc>
          <w:tcPr>
            <w:tcW w:type="dxa" w:w="1803"/>
            <w:shd w:val="clear" w:color="auto" w:fill="00648B"/>
          </w:tcPr>
          <w:p>
            <w:pPr>
              <w:spacing w:after="20" w:before="0"/>
              <w:jc w:val="center"/>
            </w:pPr>
            <w:r/>
            <w:r>
              <w:rPr>
                <w:rFonts w:ascii="Lato" w:hAnsi="Lato" w:cs="Lato"/>
                <w:b/>
                <w:i w:val="0"/>
                <w:color w:val="FFFFFF"/>
                <w:sz w:val="17"/>
              </w:rPr>
              <w:t>Liberty</w:t>
            </w:r>
          </w:p>
        </w:tc>
        <w:tc>
          <w:tcPr>
            <w:tcW w:type="dxa" w:w="1803"/>
            <w:shd w:val="clear" w:color="auto" w:fill="00648B"/>
          </w:tcPr>
          <w:p>
            <w:pPr>
              <w:spacing w:after="20" w:before="0"/>
              <w:jc w:val="center"/>
            </w:pPr>
            <w:r/>
            <w:r>
              <w:rPr>
                <w:rFonts w:ascii="Lato" w:hAnsi="Lato" w:cs="Lato"/>
                <w:b/>
                <w:i w:val="0"/>
                <w:color w:val="FFFFFF"/>
                <w:sz w:val="17"/>
              </w:rPr>
              <w:t>Allianz</w:t>
            </w:r>
          </w:p>
        </w:tc>
        <w:tc>
          <w:tcPr>
            <w:tcW w:type="dxa" w:w="1803"/>
            <w:shd w:val="clear" w:color="auto" w:fill="00648B"/>
          </w:tcPr>
          <w:p>
            <w:pPr>
              <w:spacing w:after="20" w:before="0"/>
              <w:jc w:val="center"/>
            </w:pPr>
            <w:r/>
            <w:r>
              <w:rPr>
                <w:rFonts w:ascii="Lato" w:hAnsi="Lato" w:cs="Lato"/>
                <w:b/>
                <w:i w:val="0"/>
                <w:color w:val="FFFFFF"/>
                <w:sz w:val="17"/>
              </w:rPr>
              <w:t>AXA XL</w:t>
            </w:r>
          </w:p>
        </w:tc>
        <w:tc>
          <w:tcPr>
            <w:tcW w:type="dxa" w:w="1803"/>
            <w:shd w:val="clear" w:color="auto" w:fill="00648B"/>
          </w:tcPr>
          <w:p>
            <w:pPr>
              <w:spacing w:after="20" w:before="0"/>
              <w:jc w:val="center"/>
            </w:pPr>
            <w:r/>
            <w:r>
              <w:rPr>
                <w:rFonts w:ascii="Lato" w:hAnsi="Lato" w:cs="Lato"/>
                <w:b/>
                <w:i w:val="0"/>
                <w:color w:val="FFFFFF"/>
                <w:sz w:val="17"/>
              </w:rPr>
              <w:t>Ent.Elite</w:t>
            </w:r>
          </w:p>
        </w:tc>
      </w:tr>
      <w:tr>
        <w:tc>
          <w:tcPr>
            <w:tcW w:type="dxa" w:w="2495"/>
          </w:tcPr>
          <w:p>
            <w:pPr>
              <w:spacing w:after="20" w:before="0"/>
            </w:pPr>
            <w:r/>
            <w:r>
              <w:rPr>
                <w:rFonts w:ascii="Lato" w:hAnsi="Lato" w:cs="Lato"/>
                <w:b/>
                <w:i w:val="0"/>
                <w:color w:val="00648B"/>
                <w:sz w:val="15"/>
              </w:rPr>
              <w:t>Primary limit of indemnity</w:t>
            </w:r>
          </w:p>
        </w:tc>
        <w:tc>
          <w:tcPr>
            <w:tcW w:type="dxa" w:w="1803"/>
          </w:tcPr>
          <w:p>
            <w:pPr>
              <w:spacing w:after="20" w:before="0"/>
              <w:jc w:val="center"/>
            </w:pPr>
            <w:r/>
            <w:r>
              <w:rPr>
                <w:rFonts w:ascii="Lato" w:hAnsi="Lato" w:cs="Lato"/>
                <w:b w:val="0"/>
                <w:i w:val="0"/>
                <w:color w:val="2B2F33"/>
                <w:sz w:val="14"/>
              </w:rPr>
              <w:t>Per Schedule</w:t>
            </w:r>
          </w:p>
        </w:tc>
        <w:tc>
          <w:tcPr>
            <w:tcW w:type="dxa" w:w="1803"/>
          </w:tcPr>
          <w:p>
            <w:pPr>
              <w:spacing w:after="20" w:before="0"/>
              <w:jc w:val="center"/>
            </w:pPr>
            <w:r/>
            <w:r>
              <w:rPr>
                <w:rFonts w:ascii="Lato" w:hAnsi="Lato" w:cs="Lato"/>
                <w:b w:val="0"/>
                <w:i w:val="0"/>
                <w:color w:val="2B2F33"/>
                <w:sz w:val="14"/>
              </w:rPr>
              <w:t>Per Schedule</w:t>
            </w:r>
          </w:p>
        </w:tc>
        <w:tc>
          <w:tcPr>
            <w:tcW w:type="dxa" w:w="1803"/>
          </w:tcPr>
          <w:p>
            <w:pPr>
              <w:spacing w:after="20" w:before="0"/>
              <w:jc w:val="center"/>
            </w:pPr>
            <w:r/>
            <w:r>
              <w:rPr>
                <w:rFonts w:ascii="Lato" w:hAnsi="Lato" w:cs="Lato"/>
                <w:b w:val="0"/>
                <w:i w:val="0"/>
                <w:color w:val="2B2F33"/>
                <w:sz w:val="14"/>
              </w:rPr>
              <w:t>Per Schedule</w:t>
            </w:r>
          </w:p>
        </w:tc>
        <w:tc>
          <w:tcPr>
            <w:tcW w:type="dxa" w:w="1803"/>
          </w:tcPr>
          <w:p>
            <w:pPr>
              <w:spacing w:after="20" w:before="0"/>
              <w:jc w:val="center"/>
            </w:pPr>
            <w:r/>
            <w:r>
              <w:rPr>
                <w:rFonts w:ascii="Lato" w:hAnsi="Lato" w:cs="Lato"/>
                <w:b w:val="0"/>
                <w:i w:val="0"/>
                <w:color w:val="2B2F33"/>
                <w:sz w:val="14"/>
              </w:rPr>
              <w:t>n/a</w:t>
            </w:r>
          </w:p>
        </w:tc>
        <w:tc>
          <w:tcPr>
            <w:tcW w:type="dxa" w:w="1803"/>
          </w:tcPr>
          <w:p>
            <w:pPr>
              <w:spacing w:after="20" w:before="0"/>
              <w:jc w:val="center"/>
            </w:pPr>
            <w:r/>
            <w:r>
              <w:rPr>
                <w:rFonts w:ascii="Lato" w:hAnsi="Lato" w:cs="Lato"/>
                <w:b w:val="0"/>
                <w:i w:val="0"/>
                <w:color w:val="2B2F33"/>
                <w:sz w:val="14"/>
              </w:rPr>
              <w:t>n/a</w:t>
            </w:r>
          </w:p>
        </w:tc>
        <w:tc>
          <w:tcPr>
            <w:tcW w:type="dxa" w:w="1803"/>
          </w:tcPr>
          <w:p>
            <w:pPr>
              <w:spacing w:after="20" w:before="0"/>
              <w:jc w:val="center"/>
            </w:pPr>
            <w:r/>
            <w:r>
              <w:rPr>
                <w:rFonts w:ascii="Lato" w:hAnsi="Lato" w:cs="Lato"/>
                <w:b w:val="0"/>
                <w:i w:val="0"/>
                <w:color w:val="2B2F33"/>
                <w:sz w:val="14"/>
              </w:rPr>
              <w:t>n/a</w:t>
            </w:r>
          </w:p>
        </w:tc>
        <w:tc>
          <w:tcPr>
            <w:tcW w:type="dxa" w:w="1803"/>
          </w:tcPr>
          <w:p>
            <w:pPr>
              <w:spacing w:after="20" w:before="0"/>
              <w:jc w:val="center"/>
            </w:pPr>
            <w:r/>
            <w:r>
              <w:rPr>
                <w:rFonts w:ascii="Lato" w:hAnsi="Lato" w:cs="Lato"/>
                <w:b w:val="0"/>
                <w:i w:val="0"/>
                <w:color w:val="2B2F33"/>
                <w:sz w:val="14"/>
              </w:rPr>
              <w:t>n/a</w:t>
            </w:r>
          </w:p>
        </w:tc>
      </w:tr>
      <w:tr>
        <w:tc>
          <w:tcPr>
            <w:tcW w:type="dxa" w:w="2495"/>
            <w:shd w:val="clear" w:color="auto" w:fill="F4F7F9"/>
          </w:tcPr>
          <w:p>
            <w:pPr>
              <w:spacing w:after="20" w:before="0"/>
            </w:pPr>
            <w:r/>
            <w:r>
              <w:rPr>
                <w:rFonts w:ascii="Lato" w:hAnsi="Lato" w:cs="Lato"/>
                <w:b/>
                <w:i w:val="0"/>
                <w:color w:val="00648B"/>
                <w:sz w:val="15"/>
              </w:rPr>
              <w:t>Virus transmission</w:t>
            </w:r>
          </w:p>
        </w:tc>
        <w:tc>
          <w:tcPr>
            <w:tcW w:type="dxa" w:w="1803"/>
            <w:shd w:val="clear" w:color="auto" w:fill="F4F7F9"/>
          </w:tcPr>
          <w:p>
            <w:pPr>
              <w:spacing w:after="20" w:before="0"/>
              <w:jc w:val="center"/>
            </w:pPr>
            <w:r/>
            <w:r>
              <w:rPr>
                <w:rFonts w:ascii="Lato" w:hAnsi="Lato" w:cs="Lato"/>
                <w:b w:val="0"/>
                <w:i w:val="0"/>
                <w:color w:val="2B2F33"/>
                <w:sz w:val="14"/>
              </w:rPr>
              <w:t>GBP 500,000</w:t>
            </w:r>
          </w:p>
        </w:tc>
        <w:tc>
          <w:tcPr>
            <w:tcW w:type="dxa" w:w="1803"/>
            <w:shd w:val="clear" w:color="auto" w:fill="F4F7F9"/>
          </w:tcPr>
          <w:p>
            <w:pPr>
              <w:spacing w:after="20" w:before="0"/>
              <w:jc w:val="center"/>
            </w:pPr>
            <w:r/>
            <w:r>
              <w:rPr>
                <w:rFonts w:ascii="Lato" w:hAnsi="Lato" w:cs="Lato"/>
                <w:b w:val="0"/>
                <w:i w:val="0"/>
                <w:color w:val="2B2F33"/>
                <w:sz w:val="14"/>
              </w:rPr>
              <w:t>GBP 250,000</w:t>
            </w:r>
          </w:p>
        </w:tc>
        <w:tc>
          <w:tcPr>
            <w:tcW w:type="dxa" w:w="1803"/>
            <w:shd w:val="clear" w:color="auto" w:fill="F4F7F9"/>
          </w:tcPr>
          <w:p>
            <w:pPr>
              <w:spacing w:after="20" w:before="0"/>
              <w:jc w:val="center"/>
            </w:pPr>
            <w:r/>
            <w:r>
              <w:rPr>
                <w:rFonts w:ascii="Lato" w:hAnsi="Lato" w:cs="Lato"/>
                <w:b w:val="0"/>
                <w:i w:val="0"/>
                <w:color w:val="2B2F33"/>
                <w:sz w:val="14"/>
              </w:rPr>
              <w:t>Within cyber excl.</w:t>
            </w:r>
          </w:p>
        </w:tc>
        <w:tc>
          <w:tcPr>
            <w:tcW w:type="dxa" w:w="1803"/>
            <w:shd w:val="clear" w:color="auto" w:fill="F4F7F9"/>
          </w:tcPr>
          <w:p>
            <w:pPr>
              <w:spacing w:after="20" w:before="0"/>
              <w:jc w:val="center"/>
            </w:pPr>
            <w:r/>
            <w:r>
              <w:rPr>
                <w:rFonts w:ascii="Lato" w:hAnsi="Lato" w:cs="Lato"/>
                <w:b w:val="0"/>
                <w:i w:val="0"/>
                <w:color w:val="2B2F33"/>
                <w:sz w:val="14"/>
              </w:rPr>
              <w:t>n/a</w:t>
            </w:r>
          </w:p>
        </w:tc>
        <w:tc>
          <w:tcPr>
            <w:tcW w:type="dxa" w:w="1803"/>
            <w:shd w:val="clear" w:color="auto" w:fill="F4F7F9"/>
          </w:tcPr>
          <w:p>
            <w:pPr>
              <w:spacing w:after="20" w:before="0"/>
              <w:jc w:val="center"/>
            </w:pPr>
            <w:r/>
            <w:r>
              <w:rPr>
                <w:rFonts w:ascii="Lato" w:hAnsi="Lato" w:cs="Lato"/>
                <w:b w:val="0"/>
                <w:i w:val="0"/>
                <w:color w:val="2B2F33"/>
                <w:sz w:val="14"/>
              </w:rPr>
              <w:t>n/a</w:t>
            </w:r>
          </w:p>
        </w:tc>
        <w:tc>
          <w:tcPr>
            <w:tcW w:type="dxa" w:w="1803"/>
            <w:shd w:val="clear" w:color="auto" w:fill="F4F7F9"/>
          </w:tcPr>
          <w:p>
            <w:pPr>
              <w:spacing w:after="20" w:before="0"/>
              <w:jc w:val="center"/>
            </w:pPr>
            <w:r/>
            <w:r>
              <w:rPr>
                <w:rFonts w:ascii="Lato" w:hAnsi="Lato" w:cs="Lato"/>
                <w:b w:val="0"/>
                <w:i w:val="0"/>
                <w:color w:val="2B2F33"/>
                <w:sz w:val="14"/>
              </w:rPr>
              <w:t>n/a</w:t>
            </w:r>
          </w:p>
        </w:tc>
        <w:tc>
          <w:tcPr>
            <w:tcW w:type="dxa" w:w="1803"/>
            <w:shd w:val="clear" w:color="auto" w:fill="F4F7F9"/>
          </w:tcPr>
          <w:p>
            <w:pPr>
              <w:spacing w:after="20" w:before="0"/>
              <w:jc w:val="center"/>
            </w:pPr>
            <w:r/>
            <w:r>
              <w:rPr>
                <w:rFonts w:ascii="Lato" w:hAnsi="Lato" w:cs="Lato"/>
                <w:b w:val="0"/>
                <w:i w:val="0"/>
                <w:color w:val="2B2F33"/>
                <w:sz w:val="14"/>
              </w:rPr>
              <w:t>n/a</w:t>
            </w:r>
          </w:p>
        </w:tc>
      </w:tr>
      <w:tr>
        <w:tc>
          <w:tcPr>
            <w:tcW w:type="dxa" w:w="2495"/>
          </w:tcPr>
          <w:p>
            <w:pPr>
              <w:spacing w:after="20" w:before="0"/>
            </w:pPr>
            <w:r/>
            <w:r>
              <w:rPr>
                <w:rFonts w:ascii="Lato" w:hAnsi="Lato" w:cs="Lato"/>
                <w:b/>
                <w:i w:val="0"/>
                <w:color w:val="00648B"/>
                <w:sz w:val="15"/>
              </w:rPr>
              <w:t>Data-protection defence costs</w:t>
            </w:r>
          </w:p>
        </w:tc>
        <w:tc>
          <w:tcPr>
            <w:tcW w:type="dxa" w:w="1803"/>
          </w:tcPr>
          <w:p>
            <w:pPr>
              <w:spacing w:after="20" w:before="0"/>
              <w:jc w:val="center"/>
            </w:pPr>
            <w:r/>
            <w:r>
              <w:rPr>
                <w:rFonts w:ascii="Lato" w:hAnsi="Lato" w:cs="Lato"/>
                <w:b w:val="0"/>
                <w:i w:val="0"/>
                <w:color w:val="2B2F33"/>
                <w:sz w:val="14"/>
              </w:rPr>
              <w:t>GBP 250,000</w:t>
            </w:r>
          </w:p>
        </w:tc>
        <w:tc>
          <w:tcPr>
            <w:tcW w:type="dxa" w:w="1803"/>
          </w:tcPr>
          <w:p>
            <w:pPr>
              <w:spacing w:after="20" w:before="0"/>
              <w:jc w:val="center"/>
            </w:pPr>
            <w:r/>
            <w:r>
              <w:rPr>
                <w:rFonts w:ascii="Lato" w:hAnsi="Lato" w:cs="Lato"/>
                <w:b w:val="0"/>
                <w:i w:val="0"/>
                <w:color w:val="2B2F33"/>
                <w:sz w:val="14"/>
              </w:rPr>
              <w:t>—</w:t>
            </w:r>
          </w:p>
        </w:tc>
        <w:tc>
          <w:tcPr>
            <w:tcW w:type="dxa" w:w="1803"/>
          </w:tcPr>
          <w:p>
            <w:pPr>
              <w:spacing w:after="20" w:before="0"/>
              <w:jc w:val="center"/>
            </w:pPr>
            <w:r/>
            <w:r>
              <w:rPr>
                <w:rFonts w:ascii="Lato" w:hAnsi="Lato" w:cs="Lato"/>
                <w:b w:val="0"/>
                <w:i w:val="0"/>
                <w:color w:val="2B2F33"/>
                <w:sz w:val="14"/>
              </w:rPr>
              <w:t>Excluded</w:t>
            </w:r>
          </w:p>
        </w:tc>
        <w:tc>
          <w:tcPr>
            <w:tcW w:type="dxa" w:w="1803"/>
          </w:tcPr>
          <w:p>
            <w:pPr>
              <w:spacing w:after="20" w:before="0"/>
              <w:jc w:val="center"/>
            </w:pPr>
            <w:r/>
            <w:r>
              <w:rPr>
                <w:rFonts w:ascii="Lato" w:hAnsi="Lato" w:cs="Lato"/>
                <w:b w:val="0"/>
                <w:i w:val="0"/>
                <w:color w:val="2B2F33"/>
                <w:sz w:val="14"/>
              </w:rPr>
              <w:t>n/a</w:t>
            </w:r>
          </w:p>
        </w:tc>
        <w:tc>
          <w:tcPr>
            <w:tcW w:type="dxa" w:w="1803"/>
          </w:tcPr>
          <w:p>
            <w:pPr>
              <w:spacing w:after="20" w:before="0"/>
              <w:jc w:val="center"/>
            </w:pPr>
            <w:r/>
            <w:r>
              <w:rPr>
                <w:rFonts w:ascii="Lato" w:hAnsi="Lato" w:cs="Lato"/>
                <w:b w:val="0"/>
                <w:i w:val="0"/>
                <w:color w:val="2B2F33"/>
                <w:sz w:val="14"/>
              </w:rPr>
              <w:t>n/a</w:t>
            </w:r>
          </w:p>
        </w:tc>
        <w:tc>
          <w:tcPr>
            <w:tcW w:type="dxa" w:w="1803"/>
          </w:tcPr>
          <w:p>
            <w:pPr>
              <w:spacing w:after="20" w:before="0"/>
              <w:jc w:val="center"/>
            </w:pPr>
            <w:r/>
            <w:r>
              <w:rPr>
                <w:rFonts w:ascii="Lato" w:hAnsi="Lato" w:cs="Lato"/>
                <w:b w:val="0"/>
                <w:i w:val="0"/>
                <w:color w:val="2B2F33"/>
                <w:sz w:val="14"/>
              </w:rPr>
              <w:t>PL: DP Act 2018 ext.</w:t>
            </w:r>
          </w:p>
        </w:tc>
        <w:tc>
          <w:tcPr>
            <w:tcW w:type="dxa" w:w="1803"/>
          </w:tcPr>
          <w:p>
            <w:pPr>
              <w:spacing w:after="20" w:before="0"/>
              <w:jc w:val="center"/>
            </w:pPr>
            <w:r/>
            <w:r>
              <w:rPr>
                <w:rFonts w:ascii="Lato" w:hAnsi="Lato" w:cs="Lato"/>
                <w:b w:val="0"/>
                <w:i w:val="0"/>
                <w:color w:val="2B2F33"/>
                <w:sz w:val="14"/>
              </w:rPr>
              <w:t>n/a</w:t>
            </w:r>
          </w:p>
        </w:tc>
      </w:tr>
      <w:tr>
        <w:tc>
          <w:tcPr>
            <w:tcW w:type="dxa" w:w="2495"/>
            <w:shd w:val="clear" w:color="auto" w:fill="F4F7F9"/>
          </w:tcPr>
          <w:p>
            <w:pPr>
              <w:spacing w:after="20" w:before="0"/>
            </w:pPr>
            <w:r/>
            <w:r>
              <w:rPr>
                <w:rFonts w:ascii="Lato" w:hAnsi="Lato" w:cs="Lato"/>
                <w:b/>
                <w:i w:val="0"/>
                <w:color w:val="00648B"/>
                <w:sz w:val="15"/>
              </w:rPr>
              <w:t>Criminal / statutory defence</w:t>
            </w:r>
          </w:p>
        </w:tc>
        <w:tc>
          <w:tcPr>
            <w:tcW w:type="dxa" w:w="1803"/>
            <w:shd w:val="clear" w:color="auto" w:fill="F4F7F9"/>
          </w:tcPr>
          <w:p>
            <w:pPr>
              <w:spacing w:after="20" w:before="0"/>
              <w:jc w:val="center"/>
            </w:pPr>
            <w:r/>
            <w:r>
              <w:rPr>
                <w:rFonts w:ascii="Lato" w:hAnsi="Lato" w:cs="Lato"/>
                <w:b w:val="0"/>
                <w:i w:val="0"/>
                <w:color w:val="2B2F33"/>
                <w:sz w:val="14"/>
              </w:rPr>
              <w:t>— (DP only)</w:t>
            </w:r>
          </w:p>
        </w:tc>
        <w:tc>
          <w:tcPr>
            <w:tcW w:type="dxa" w:w="1803"/>
            <w:shd w:val="clear" w:color="auto" w:fill="F4F7F9"/>
          </w:tcPr>
          <w:p>
            <w:pPr>
              <w:spacing w:after="20" w:before="0"/>
              <w:jc w:val="center"/>
            </w:pPr>
            <w:r/>
            <w:r>
              <w:rPr>
                <w:rFonts w:ascii="Lato" w:hAnsi="Lato" w:cs="Lato"/>
                <w:b w:val="0"/>
                <w:i w:val="0"/>
                <w:color w:val="2B2F33"/>
                <w:sz w:val="14"/>
              </w:rPr>
              <w:t>GBP 1,000,000</w:t>
            </w:r>
          </w:p>
        </w:tc>
        <w:tc>
          <w:tcPr>
            <w:tcW w:type="dxa" w:w="1803"/>
            <w:shd w:val="clear" w:color="auto" w:fill="F4F7F9"/>
          </w:tcPr>
          <w:p>
            <w:pPr>
              <w:spacing w:after="20" w:before="0"/>
              <w:jc w:val="center"/>
            </w:pPr>
            <w:r/>
            <w:r>
              <w:rPr>
                <w:rFonts w:ascii="Lato" w:hAnsi="Lato" w:cs="Lato"/>
                <w:b w:val="0"/>
                <w:i w:val="0"/>
                <w:color w:val="2B2F33"/>
                <w:sz w:val="14"/>
              </w:rPr>
              <w:t>GBP 250,000</w:t>
            </w:r>
          </w:p>
        </w:tc>
        <w:tc>
          <w:tcPr>
            <w:tcW w:type="dxa" w:w="1803"/>
            <w:shd w:val="clear" w:color="auto" w:fill="F4F7F9"/>
          </w:tcPr>
          <w:p>
            <w:pPr>
              <w:spacing w:after="20" w:before="0"/>
              <w:jc w:val="center"/>
            </w:pPr>
            <w:r/>
            <w:r>
              <w:rPr>
                <w:rFonts w:ascii="Lato" w:hAnsi="Lato" w:cs="Lato"/>
                <w:b w:val="0"/>
                <w:i w:val="0"/>
                <w:color w:val="2B2F33"/>
                <w:sz w:val="14"/>
              </w:rPr>
              <w:t>n/a</w:t>
            </w:r>
          </w:p>
        </w:tc>
        <w:tc>
          <w:tcPr>
            <w:tcW w:type="dxa" w:w="1803"/>
            <w:shd w:val="clear" w:color="auto" w:fill="F4F7F9"/>
          </w:tcPr>
          <w:p>
            <w:pPr>
              <w:spacing w:after="20" w:before="0"/>
              <w:jc w:val="center"/>
            </w:pPr>
            <w:r/>
            <w:r>
              <w:rPr>
                <w:rFonts w:ascii="Lato" w:hAnsi="Lato" w:cs="Lato"/>
                <w:b w:val="0"/>
                <w:i w:val="0"/>
                <w:color w:val="2B2F33"/>
                <w:sz w:val="14"/>
              </w:rPr>
              <w:t>n/a</w:t>
            </w:r>
          </w:p>
        </w:tc>
        <w:tc>
          <w:tcPr>
            <w:tcW w:type="dxa" w:w="1803"/>
            <w:shd w:val="clear" w:color="auto" w:fill="F4F7F9"/>
          </w:tcPr>
          <w:p>
            <w:pPr>
              <w:spacing w:after="20" w:before="0"/>
              <w:jc w:val="center"/>
            </w:pPr>
            <w:r/>
            <w:r>
              <w:rPr>
                <w:rFonts w:ascii="Lato" w:hAnsi="Lato" w:cs="Lato"/>
                <w:b w:val="0"/>
                <w:i w:val="0"/>
                <w:color w:val="2B2F33"/>
                <w:sz w:val="14"/>
              </w:rPr>
              <w:t>n/a</w:t>
            </w:r>
          </w:p>
        </w:tc>
        <w:tc>
          <w:tcPr>
            <w:tcW w:type="dxa" w:w="1803"/>
            <w:shd w:val="clear" w:color="auto" w:fill="F4F7F9"/>
          </w:tcPr>
          <w:p>
            <w:pPr>
              <w:spacing w:after="20" w:before="0"/>
              <w:jc w:val="center"/>
            </w:pPr>
            <w:r/>
            <w:r>
              <w:rPr>
                <w:rFonts w:ascii="Lato" w:hAnsi="Lato" w:cs="Lato"/>
                <w:b w:val="0"/>
                <w:i w:val="0"/>
                <w:color w:val="2B2F33"/>
                <w:sz w:val="14"/>
              </w:rPr>
              <w:t>n/a</w:t>
            </w:r>
          </w:p>
        </w:tc>
      </w:tr>
      <w:tr>
        <w:tc>
          <w:tcPr>
            <w:tcW w:type="dxa" w:w="2495"/>
          </w:tcPr>
          <w:p>
            <w:pPr>
              <w:spacing w:after="20" w:before="0"/>
            </w:pPr>
            <w:r/>
            <w:r>
              <w:rPr>
                <w:rFonts w:ascii="Lato" w:hAnsi="Lato" w:cs="Lato"/>
                <w:b/>
                <w:i w:val="0"/>
                <w:color w:val="00648B"/>
                <w:sz w:val="15"/>
              </w:rPr>
              <w:t>Reputation management</w:t>
            </w:r>
          </w:p>
        </w:tc>
        <w:tc>
          <w:tcPr>
            <w:tcW w:type="dxa" w:w="1803"/>
          </w:tcPr>
          <w:p>
            <w:pPr>
              <w:spacing w:after="20" w:before="0"/>
              <w:jc w:val="center"/>
            </w:pPr>
            <w:r/>
            <w:r>
              <w:rPr>
                <w:rFonts w:ascii="Lato" w:hAnsi="Lato" w:cs="Lato"/>
                <w:b w:val="0"/>
                <w:i w:val="0"/>
                <w:color w:val="2B2F33"/>
                <w:sz w:val="14"/>
              </w:rPr>
              <w:t>GBP 250,000</w:t>
            </w:r>
          </w:p>
        </w:tc>
        <w:tc>
          <w:tcPr>
            <w:tcW w:type="dxa" w:w="1803"/>
          </w:tcPr>
          <w:p>
            <w:pPr>
              <w:spacing w:after="20" w:before="0"/>
              <w:jc w:val="center"/>
            </w:pPr>
            <w:r/>
            <w:r>
              <w:rPr>
                <w:rFonts w:ascii="Lato" w:hAnsi="Lato" w:cs="Lato"/>
                <w:b w:val="0"/>
                <w:i w:val="0"/>
                <w:color w:val="2B2F33"/>
                <w:sz w:val="14"/>
              </w:rPr>
              <w:t>—</w:t>
            </w:r>
          </w:p>
        </w:tc>
        <w:tc>
          <w:tcPr>
            <w:tcW w:type="dxa" w:w="1803"/>
          </w:tcPr>
          <w:p>
            <w:pPr>
              <w:spacing w:after="20" w:before="0"/>
              <w:jc w:val="center"/>
            </w:pPr>
            <w:r/>
            <w:r>
              <w:rPr>
                <w:rFonts w:ascii="Lato" w:hAnsi="Lato" w:cs="Lato"/>
                <w:b w:val="0"/>
                <w:i w:val="0"/>
                <w:color w:val="2B2F33"/>
                <w:sz w:val="14"/>
              </w:rPr>
              <w:t>GBP 250,000</w:t>
            </w:r>
          </w:p>
        </w:tc>
        <w:tc>
          <w:tcPr>
            <w:tcW w:type="dxa" w:w="1803"/>
          </w:tcPr>
          <w:p>
            <w:pPr>
              <w:spacing w:after="20" w:before="0"/>
              <w:jc w:val="center"/>
            </w:pPr>
            <w:r/>
            <w:r>
              <w:rPr>
                <w:rFonts w:ascii="Lato" w:hAnsi="Lato" w:cs="Lato"/>
                <w:b w:val="0"/>
                <w:i w:val="0"/>
                <w:color w:val="2B2F33"/>
                <w:sz w:val="14"/>
              </w:rPr>
              <w:t>n/a</w:t>
            </w:r>
          </w:p>
        </w:tc>
        <w:tc>
          <w:tcPr>
            <w:tcW w:type="dxa" w:w="1803"/>
          </w:tcPr>
          <w:p>
            <w:pPr>
              <w:spacing w:after="20" w:before="0"/>
              <w:jc w:val="center"/>
            </w:pPr>
            <w:r/>
            <w:r>
              <w:rPr>
                <w:rFonts w:ascii="Lato" w:hAnsi="Lato" w:cs="Lato"/>
                <w:b w:val="0"/>
                <w:i w:val="0"/>
                <w:color w:val="2B2F33"/>
                <w:sz w:val="14"/>
              </w:rPr>
              <w:t>n/a</w:t>
            </w:r>
          </w:p>
        </w:tc>
        <w:tc>
          <w:tcPr>
            <w:tcW w:type="dxa" w:w="1803"/>
          </w:tcPr>
          <w:p>
            <w:pPr>
              <w:spacing w:after="20" w:before="0"/>
              <w:jc w:val="center"/>
            </w:pPr>
            <w:r/>
            <w:r>
              <w:rPr>
                <w:rFonts w:ascii="Lato" w:hAnsi="Lato" w:cs="Lato"/>
                <w:b w:val="0"/>
                <w:i w:val="0"/>
                <w:color w:val="2B2F33"/>
                <w:sz w:val="14"/>
              </w:rPr>
              <w:t>n/a</w:t>
            </w:r>
          </w:p>
        </w:tc>
        <w:tc>
          <w:tcPr>
            <w:tcW w:type="dxa" w:w="1803"/>
          </w:tcPr>
          <w:p>
            <w:pPr>
              <w:spacing w:after="20" w:before="0"/>
              <w:jc w:val="center"/>
            </w:pPr>
            <w:r/>
            <w:r>
              <w:rPr>
                <w:rFonts w:ascii="Lato" w:hAnsi="Lato" w:cs="Lato"/>
                <w:b w:val="0"/>
                <w:i w:val="0"/>
                <w:color w:val="2B2F33"/>
                <w:sz w:val="14"/>
              </w:rPr>
              <w:t>n/a</w:t>
            </w:r>
          </w:p>
        </w:tc>
      </w:tr>
      <w:tr>
        <w:tc>
          <w:tcPr>
            <w:tcW w:type="dxa" w:w="2495"/>
            <w:shd w:val="clear" w:color="auto" w:fill="F4F7F9"/>
          </w:tcPr>
          <w:p>
            <w:pPr>
              <w:spacing w:after="20" w:before="0"/>
            </w:pPr>
            <w:r/>
            <w:r>
              <w:rPr>
                <w:rFonts w:ascii="Lato" w:hAnsi="Lato" w:cs="Lato"/>
                <w:b/>
                <w:i w:val="0"/>
                <w:color w:val="00648B"/>
                <w:sz w:val="15"/>
              </w:rPr>
              <w:t>Withdrawal of content</w:t>
            </w:r>
          </w:p>
        </w:tc>
        <w:tc>
          <w:tcPr>
            <w:tcW w:type="dxa" w:w="1803"/>
            <w:shd w:val="clear" w:color="auto" w:fill="F4F7F9"/>
          </w:tcPr>
          <w:p>
            <w:pPr>
              <w:spacing w:after="20" w:before="0"/>
              <w:jc w:val="center"/>
            </w:pPr>
            <w:r/>
            <w:r>
              <w:rPr>
                <w:rFonts w:ascii="Lato" w:hAnsi="Lato" w:cs="Lato"/>
                <w:b w:val="0"/>
                <w:i w:val="0"/>
                <w:color w:val="2B2F33"/>
                <w:sz w:val="14"/>
              </w:rPr>
              <w:t>GBP 250,000</w:t>
            </w:r>
          </w:p>
        </w:tc>
        <w:tc>
          <w:tcPr>
            <w:tcW w:type="dxa" w:w="1803"/>
            <w:shd w:val="clear" w:color="auto" w:fill="F4F7F9"/>
          </w:tcPr>
          <w:p>
            <w:pPr>
              <w:spacing w:after="20" w:before="0"/>
              <w:jc w:val="center"/>
            </w:pPr>
            <w:r/>
            <w:r>
              <w:rPr>
                <w:rFonts w:ascii="Lato" w:hAnsi="Lato" w:cs="Lato"/>
                <w:b w:val="0"/>
                <w:i w:val="0"/>
                <w:color w:val="2B2F33"/>
                <w:sz w:val="14"/>
              </w:rPr>
              <w:t>—</w:t>
            </w:r>
          </w:p>
        </w:tc>
        <w:tc>
          <w:tcPr>
            <w:tcW w:type="dxa" w:w="1803"/>
            <w:shd w:val="clear" w:color="auto" w:fill="F4F7F9"/>
          </w:tcPr>
          <w:p>
            <w:pPr>
              <w:spacing w:after="20" w:before="0"/>
              <w:jc w:val="center"/>
            </w:pPr>
            <w:r/>
            <w:r>
              <w:rPr>
                <w:rFonts w:ascii="Lato" w:hAnsi="Lato" w:cs="Lato"/>
                <w:b w:val="0"/>
                <w:i w:val="0"/>
                <w:color w:val="2B2F33"/>
                <w:sz w:val="14"/>
              </w:rPr>
              <w:t>GBP 250,000</w:t>
            </w:r>
          </w:p>
        </w:tc>
        <w:tc>
          <w:tcPr>
            <w:tcW w:type="dxa" w:w="1803"/>
            <w:shd w:val="clear" w:color="auto" w:fill="F4F7F9"/>
          </w:tcPr>
          <w:p>
            <w:pPr>
              <w:spacing w:after="20" w:before="0"/>
              <w:jc w:val="center"/>
            </w:pPr>
            <w:r/>
            <w:r>
              <w:rPr>
                <w:rFonts w:ascii="Lato" w:hAnsi="Lato" w:cs="Lato"/>
                <w:b w:val="0"/>
                <w:i w:val="0"/>
                <w:color w:val="2B2F33"/>
                <w:sz w:val="14"/>
              </w:rPr>
              <w:t>n/a</w:t>
            </w:r>
          </w:p>
        </w:tc>
        <w:tc>
          <w:tcPr>
            <w:tcW w:type="dxa" w:w="1803"/>
            <w:shd w:val="clear" w:color="auto" w:fill="F4F7F9"/>
          </w:tcPr>
          <w:p>
            <w:pPr>
              <w:spacing w:after="20" w:before="0"/>
              <w:jc w:val="center"/>
            </w:pPr>
            <w:r/>
            <w:r>
              <w:rPr>
                <w:rFonts w:ascii="Lato" w:hAnsi="Lato" w:cs="Lato"/>
                <w:b w:val="0"/>
                <w:i w:val="0"/>
                <w:color w:val="2B2F33"/>
                <w:sz w:val="14"/>
              </w:rPr>
              <w:t>n/a</w:t>
            </w:r>
          </w:p>
        </w:tc>
        <w:tc>
          <w:tcPr>
            <w:tcW w:type="dxa" w:w="1803"/>
            <w:shd w:val="clear" w:color="auto" w:fill="F4F7F9"/>
          </w:tcPr>
          <w:p>
            <w:pPr>
              <w:spacing w:after="20" w:before="0"/>
              <w:jc w:val="center"/>
            </w:pPr>
            <w:r/>
            <w:r>
              <w:rPr>
                <w:rFonts w:ascii="Lato" w:hAnsi="Lato" w:cs="Lato"/>
                <w:b w:val="0"/>
                <w:i w:val="0"/>
                <w:color w:val="2B2F33"/>
                <w:sz w:val="14"/>
              </w:rPr>
              <w:t>n/a</w:t>
            </w:r>
          </w:p>
        </w:tc>
        <w:tc>
          <w:tcPr>
            <w:tcW w:type="dxa" w:w="1803"/>
            <w:shd w:val="clear" w:color="auto" w:fill="F4F7F9"/>
          </w:tcPr>
          <w:p>
            <w:pPr>
              <w:spacing w:after="20" w:before="0"/>
              <w:jc w:val="center"/>
            </w:pPr>
            <w:r/>
            <w:r>
              <w:rPr>
                <w:rFonts w:ascii="Lato" w:hAnsi="Lato" w:cs="Lato"/>
                <w:b w:val="0"/>
                <w:i w:val="0"/>
                <w:color w:val="2B2F33"/>
                <w:sz w:val="14"/>
              </w:rPr>
              <w:t>n/a</w:t>
            </w:r>
          </w:p>
        </w:tc>
      </w:tr>
      <w:tr>
        <w:tc>
          <w:tcPr>
            <w:tcW w:type="dxa" w:w="2495"/>
          </w:tcPr>
          <w:p>
            <w:pPr>
              <w:spacing w:after="20" w:before="0"/>
            </w:pPr>
            <w:r/>
            <w:r>
              <w:rPr>
                <w:rFonts w:ascii="Lato" w:hAnsi="Lato" w:cs="Lato"/>
                <w:b/>
                <w:i w:val="0"/>
                <w:color w:val="00648B"/>
                <w:sz w:val="15"/>
              </w:rPr>
              <w:t>Pursue insured’s own IP</w:t>
            </w:r>
          </w:p>
        </w:tc>
        <w:tc>
          <w:tcPr>
            <w:tcW w:type="dxa" w:w="1803"/>
          </w:tcPr>
          <w:p>
            <w:pPr>
              <w:spacing w:after="20" w:before="0"/>
              <w:jc w:val="center"/>
            </w:pPr>
            <w:r/>
            <w:r>
              <w:rPr>
                <w:rFonts w:ascii="Lato" w:hAnsi="Lato" w:cs="Lato"/>
                <w:b w:val="0"/>
                <w:i w:val="0"/>
                <w:color w:val="2B2F33"/>
                <w:sz w:val="14"/>
              </w:rPr>
              <w:t>GBP 25,000</w:t>
            </w:r>
          </w:p>
        </w:tc>
        <w:tc>
          <w:tcPr>
            <w:tcW w:type="dxa" w:w="1803"/>
          </w:tcPr>
          <w:p>
            <w:pPr>
              <w:spacing w:after="20" w:before="0"/>
              <w:jc w:val="center"/>
            </w:pPr>
            <w:r/>
            <w:r>
              <w:rPr>
                <w:rFonts w:ascii="Lato" w:hAnsi="Lato" w:cs="Lato"/>
                <w:b w:val="0"/>
                <w:i w:val="0"/>
                <w:color w:val="2B2F33"/>
                <w:sz w:val="14"/>
              </w:rPr>
              <w:t>—</w:t>
            </w:r>
          </w:p>
        </w:tc>
        <w:tc>
          <w:tcPr>
            <w:tcW w:type="dxa" w:w="1803"/>
          </w:tcPr>
          <w:p>
            <w:pPr>
              <w:spacing w:after="20" w:before="0"/>
              <w:jc w:val="center"/>
            </w:pPr>
            <w:r/>
            <w:r>
              <w:rPr>
                <w:rFonts w:ascii="Lato" w:hAnsi="Lato" w:cs="Lato"/>
                <w:b w:val="0"/>
                <w:i w:val="0"/>
                <w:color w:val="2B2F33"/>
                <w:sz w:val="14"/>
              </w:rPr>
              <w:t>Limit</w:t>
            </w:r>
          </w:p>
        </w:tc>
        <w:tc>
          <w:tcPr>
            <w:tcW w:type="dxa" w:w="1803"/>
          </w:tcPr>
          <w:p>
            <w:pPr>
              <w:spacing w:after="20" w:before="0"/>
              <w:jc w:val="center"/>
            </w:pPr>
            <w:r/>
            <w:r>
              <w:rPr>
                <w:rFonts w:ascii="Lato" w:hAnsi="Lato" w:cs="Lato"/>
                <w:b w:val="0"/>
                <w:i w:val="0"/>
                <w:color w:val="2B2F33"/>
                <w:sz w:val="14"/>
              </w:rPr>
              <w:t>n/a</w:t>
            </w:r>
          </w:p>
        </w:tc>
        <w:tc>
          <w:tcPr>
            <w:tcW w:type="dxa" w:w="1803"/>
          </w:tcPr>
          <w:p>
            <w:pPr>
              <w:spacing w:after="20" w:before="0"/>
              <w:jc w:val="center"/>
            </w:pPr>
            <w:r/>
            <w:r>
              <w:rPr>
                <w:rFonts w:ascii="Lato" w:hAnsi="Lato" w:cs="Lato"/>
                <w:b w:val="0"/>
                <w:i w:val="0"/>
                <w:color w:val="2B2F33"/>
                <w:sz w:val="14"/>
              </w:rPr>
              <w:t>n/a</w:t>
            </w:r>
          </w:p>
        </w:tc>
        <w:tc>
          <w:tcPr>
            <w:tcW w:type="dxa" w:w="1803"/>
          </w:tcPr>
          <w:p>
            <w:pPr>
              <w:spacing w:after="20" w:before="0"/>
              <w:jc w:val="center"/>
            </w:pPr>
            <w:r/>
            <w:r>
              <w:rPr>
                <w:rFonts w:ascii="Lato" w:hAnsi="Lato" w:cs="Lato"/>
                <w:b w:val="0"/>
                <w:i w:val="0"/>
                <w:color w:val="2B2F33"/>
                <w:sz w:val="14"/>
              </w:rPr>
              <w:t>n/a</w:t>
            </w:r>
          </w:p>
        </w:tc>
        <w:tc>
          <w:tcPr>
            <w:tcW w:type="dxa" w:w="1803"/>
          </w:tcPr>
          <w:p>
            <w:pPr>
              <w:spacing w:after="20" w:before="0"/>
              <w:jc w:val="center"/>
            </w:pPr>
            <w:r/>
            <w:r>
              <w:rPr>
                <w:rFonts w:ascii="Lato" w:hAnsi="Lato" w:cs="Lato"/>
                <w:b w:val="0"/>
                <w:i w:val="0"/>
                <w:color w:val="2B2F33"/>
                <w:sz w:val="14"/>
              </w:rPr>
              <w:t>n/a</w:t>
            </w:r>
          </w:p>
        </w:tc>
      </w:tr>
      <w:tr>
        <w:tc>
          <w:tcPr>
            <w:tcW w:type="dxa" w:w="2495"/>
            <w:shd w:val="clear" w:color="auto" w:fill="F4F7F9"/>
          </w:tcPr>
          <w:p>
            <w:pPr>
              <w:spacing w:after="20" w:before="0"/>
            </w:pPr>
            <w:r/>
            <w:r>
              <w:rPr>
                <w:rFonts w:ascii="Lato" w:hAnsi="Lato" w:cs="Lato"/>
                <w:b/>
                <w:i w:val="0"/>
                <w:color w:val="00648B"/>
                <w:sz w:val="15"/>
              </w:rPr>
              <w:t>Loss of documents</w:t>
            </w:r>
          </w:p>
        </w:tc>
        <w:tc>
          <w:tcPr>
            <w:tcW w:type="dxa" w:w="1803"/>
            <w:shd w:val="clear" w:color="auto" w:fill="F4F7F9"/>
          </w:tcPr>
          <w:p>
            <w:pPr>
              <w:spacing w:after="20" w:before="0"/>
              <w:jc w:val="center"/>
            </w:pPr>
            <w:r/>
            <w:r>
              <w:rPr>
                <w:rFonts w:ascii="Lato" w:hAnsi="Lato" w:cs="Lato"/>
                <w:b w:val="0"/>
                <w:i w:val="0"/>
                <w:color w:val="2B2F33"/>
                <w:sz w:val="14"/>
              </w:rPr>
              <w:t>Per Schedule</w:t>
            </w:r>
          </w:p>
        </w:tc>
        <w:tc>
          <w:tcPr>
            <w:tcW w:type="dxa" w:w="1803"/>
            <w:shd w:val="clear" w:color="auto" w:fill="F4F7F9"/>
          </w:tcPr>
          <w:p>
            <w:pPr>
              <w:spacing w:after="20" w:before="0"/>
              <w:jc w:val="center"/>
            </w:pPr>
            <w:r/>
            <w:r>
              <w:rPr>
                <w:rFonts w:ascii="Lato" w:hAnsi="Lato" w:cs="Lato"/>
                <w:b w:val="0"/>
                <w:i w:val="0"/>
                <w:color w:val="2B2F33"/>
                <w:sz w:val="14"/>
              </w:rPr>
              <w:t>GBP 1,000,000</w:t>
            </w:r>
          </w:p>
        </w:tc>
        <w:tc>
          <w:tcPr>
            <w:tcW w:type="dxa" w:w="1803"/>
            <w:shd w:val="clear" w:color="auto" w:fill="F4F7F9"/>
          </w:tcPr>
          <w:p>
            <w:pPr>
              <w:spacing w:after="20" w:before="0"/>
              <w:jc w:val="center"/>
            </w:pPr>
            <w:r/>
            <w:r>
              <w:rPr>
                <w:rFonts w:ascii="Lato" w:hAnsi="Lato" w:cs="Lato"/>
                <w:b w:val="0"/>
                <w:i w:val="0"/>
                <w:color w:val="2B2F33"/>
                <w:sz w:val="14"/>
              </w:rPr>
              <w:t>Limit (GBP 500 xs)</w:t>
            </w:r>
          </w:p>
        </w:tc>
        <w:tc>
          <w:tcPr>
            <w:tcW w:type="dxa" w:w="1803"/>
            <w:shd w:val="clear" w:color="auto" w:fill="F4F7F9"/>
          </w:tcPr>
          <w:p>
            <w:pPr>
              <w:spacing w:after="20" w:before="0"/>
              <w:jc w:val="center"/>
            </w:pPr>
            <w:r/>
            <w:r>
              <w:rPr>
                <w:rFonts w:ascii="Lato" w:hAnsi="Lato" w:cs="Lato"/>
                <w:b w:val="0"/>
                <w:i w:val="0"/>
                <w:color w:val="2B2F33"/>
                <w:sz w:val="14"/>
              </w:rPr>
              <w:t>n/a</w:t>
            </w:r>
          </w:p>
        </w:tc>
        <w:tc>
          <w:tcPr>
            <w:tcW w:type="dxa" w:w="1803"/>
            <w:shd w:val="clear" w:color="auto" w:fill="F4F7F9"/>
          </w:tcPr>
          <w:p>
            <w:pPr>
              <w:spacing w:after="20" w:before="0"/>
              <w:jc w:val="center"/>
            </w:pPr>
            <w:r/>
            <w:r>
              <w:rPr>
                <w:rFonts w:ascii="Lato" w:hAnsi="Lato" w:cs="Lato"/>
                <w:b w:val="0"/>
                <w:i w:val="0"/>
                <w:color w:val="2B2F33"/>
                <w:sz w:val="14"/>
              </w:rPr>
              <w:t>n/a</w:t>
            </w:r>
          </w:p>
        </w:tc>
        <w:tc>
          <w:tcPr>
            <w:tcW w:type="dxa" w:w="1803"/>
            <w:shd w:val="clear" w:color="auto" w:fill="F4F7F9"/>
          </w:tcPr>
          <w:p>
            <w:pPr>
              <w:spacing w:after="20" w:before="0"/>
              <w:jc w:val="center"/>
            </w:pPr>
            <w:r/>
            <w:r>
              <w:rPr>
                <w:rFonts w:ascii="Lato" w:hAnsi="Lato" w:cs="Lato"/>
                <w:b w:val="0"/>
                <w:i w:val="0"/>
                <w:color w:val="2B2F33"/>
                <w:sz w:val="14"/>
              </w:rPr>
              <w:t>n/a</w:t>
            </w:r>
          </w:p>
        </w:tc>
        <w:tc>
          <w:tcPr>
            <w:tcW w:type="dxa" w:w="1803"/>
            <w:shd w:val="clear" w:color="auto" w:fill="F4F7F9"/>
          </w:tcPr>
          <w:p>
            <w:pPr>
              <w:spacing w:after="20" w:before="0"/>
              <w:jc w:val="center"/>
            </w:pPr>
            <w:r/>
            <w:r>
              <w:rPr>
                <w:rFonts w:ascii="Lato" w:hAnsi="Lato" w:cs="Lato"/>
                <w:b w:val="0"/>
                <w:i w:val="0"/>
                <w:color w:val="2B2F33"/>
                <w:sz w:val="14"/>
              </w:rPr>
              <w:t>n/a</w:t>
            </w:r>
          </w:p>
        </w:tc>
      </w:tr>
      <w:tr>
        <w:tc>
          <w:tcPr>
            <w:tcW w:type="dxa" w:w="2495"/>
          </w:tcPr>
          <w:p>
            <w:pPr>
              <w:spacing w:after="20" w:before="0"/>
            </w:pPr>
            <w:r/>
            <w:r>
              <w:rPr>
                <w:rFonts w:ascii="Lato" w:hAnsi="Lato" w:cs="Lato"/>
                <w:b/>
                <w:i w:val="0"/>
                <w:color w:val="00648B"/>
                <w:sz w:val="15"/>
              </w:rPr>
              <w:t>Representation costs</w:t>
            </w:r>
          </w:p>
        </w:tc>
        <w:tc>
          <w:tcPr>
            <w:tcW w:type="dxa" w:w="1803"/>
          </w:tcPr>
          <w:p>
            <w:pPr>
              <w:spacing w:after="20" w:before="0"/>
              <w:jc w:val="center"/>
            </w:pPr>
            <w:r/>
            <w:r>
              <w:rPr>
                <w:rFonts w:ascii="Lato" w:hAnsi="Lato" w:cs="Lato"/>
                <w:b w:val="0"/>
                <w:i w:val="0"/>
                <w:color w:val="2B2F33"/>
                <w:sz w:val="14"/>
              </w:rPr>
              <w:t>DP only</w:t>
            </w:r>
          </w:p>
        </w:tc>
        <w:tc>
          <w:tcPr>
            <w:tcW w:type="dxa" w:w="1803"/>
          </w:tcPr>
          <w:p>
            <w:pPr>
              <w:spacing w:after="20" w:before="0"/>
              <w:jc w:val="center"/>
            </w:pPr>
            <w:r/>
            <w:r>
              <w:rPr>
                <w:rFonts w:ascii="Lato" w:hAnsi="Lato" w:cs="Lato"/>
                <w:b w:val="0"/>
                <w:i w:val="0"/>
                <w:color w:val="2B2F33"/>
                <w:sz w:val="14"/>
              </w:rPr>
              <w:t>GBP 25,000</w:t>
            </w:r>
          </w:p>
        </w:tc>
        <w:tc>
          <w:tcPr>
            <w:tcW w:type="dxa" w:w="1803"/>
          </w:tcPr>
          <w:p>
            <w:pPr>
              <w:spacing w:after="20" w:before="0"/>
              <w:jc w:val="center"/>
            </w:pPr>
            <w:r/>
            <w:r>
              <w:rPr>
                <w:rFonts w:ascii="Lato" w:hAnsi="Lato" w:cs="Lato"/>
                <w:b w:val="0"/>
                <w:i w:val="0"/>
                <w:color w:val="2B2F33"/>
                <w:sz w:val="14"/>
              </w:rPr>
              <w:t>Within crim. defence</w:t>
            </w:r>
          </w:p>
        </w:tc>
        <w:tc>
          <w:tcPr>
            <w:tcW w:type="dxa" w:w="1803"/>
          </w:tcPr>
          <w:p>
            <w:pPr>
              <w:spacing w:after="20" w:before="0"/>
              <w:jc w:val="center"/>
            </w:pPr>
            <w:r/>
            <w:r>
              <w:rPr>
                <w:rFonts w:ascii="Lato" w:hAnsi="Lato" w:cs="Lato"/>
                <w:b w:val="0"/>
                <w:i w:val="0"/>
                <w:color w:val="2B2F33"/>
                <w:sz w:val="14"/>
              </w:rPr>
              <w:t>n/a</w:t>
            </w:r>
          </w:p>
        </w:tc>
        <w:tc>
          <w:tcPr>
            <w:tcW w:type="dxa" w:w="1803"/>
          </w:tcPr>
          <w:p>
            <w:pPr>
              <w:spacing w:after="20" w:before="0"/>
              <w:jc w:val="center"/>
            </w:pPr>
            <w:r/>
            <w:r>
              <w:rPr>
                <w:rFonts w:ascii="Lato" w:hAnsi="Lato" w:cs="Lato"/>
                <w:b w:val="0"/>
                <w:i w:val="0"/>
                <w:color w:val="2B2F33"/>
                <w:sz w:val="14"/>
              </w:rPr>
              <w:t>n/a</w:t>
            </w:r>
          </w:p>
        </w:tc>
        <w:tc>
          <w:tcPr>
            <w:tcW w:type="dxa" w:w="1803"/>
          </w:tcPr>
          <w:p>
            <w:pPr>
              <w:spacing w:after="20" w:before="0"/>
              <w:jc w:val="center"/>
            </w:pPr>
            <w:r/>
            <w:r>
              <w:rPr>
                <w:rFonts w:ascii="Lato" w:hAnsi="Lato" w:cs="Lato"/>
                <w:b w:val="0"/>
                <w:i w:val="0"/>
                <w:color w:val="2B2F33"/>
                <w:sz w:val="14"/>
              </w:rPr>
              <w:t>n/a</w:t>
            </w:r>
          </w:p>
        </w:tc>
        <w:tc>
          <w:tcPr>
            <w:tcW w:type="dxa" w:w="1803"/>
          </w:tcPr>
          <w:p>
            <w:pPr>
              <w:spacing w:after="20" w:before="0"/>
              <w:jc w:val="center"/>
            </w:pPr>
            <w:r/>
            <w:r>
              <w:rPr>
                <w:rFonts w:ascii="Lato" w:hAnsi="Lato" w:cs="Lato"/>
                <w:b w:val="0"/>
                <w:i w:val="0"/>
                <w:color w:val="2B2F33"/>
                <w:sz w:val="14"/>
              </w:rPr>
              <w:t>n/a</w:t>
            </w:r>
          </w:p>
        </w:tc>
      </w:tr>
      <w:tr>
        <w:tc>
          <w:tcPr>
            <w:tcW w:type="dxa" w:w="2495"/>
            <w:shd w:val="clear" w:color="auto" w:fill="F4F7F9"/>
          </w:tcPr>
          <w:p>
            <w:pPr>
              <w:spacing w:after="20" w:before="0"/>
            </w:pPr>
            <w:r/>
            <w:r>
              <w:rPr>
                <w:rFonts w:ascii="Lato" w:hAnsi="Lato" w:cs="Lato"/>
                <w:b/>
                <w:i w:val="0"/>
                <w:color w:val="00648B"/>
                <w:sz w:val="15"/>
              </w:rPr>
              <w:t>Court attendance (per day)</w:t>
            </w:r>
          </w:p>
        </w:tc>
        <w:tc>
          <w:tcPr>
            <w:tcW w:type="dxa" w:w="1803"/>
            <w:shd w:val="clear" w:color="auto" w:fill="F4F7F9"/>
          </w:tcPr>
          <w:p>
            <w:pPr>
              <w:spacing w:after="20" w:before="0"/>
              <w:jc w:val="center"/>
            </w:pPr>
            <w:r/>
            <w:r>
              <w:rPr>
                <w:rFonts w:ascii="Lato" w:hAnsi="Lato" w:cs="Lato"/>
                <w:b w:val="0"/>
                <w:i w:val="0"/>
                <w:color w:val="2B2F33"/>
                <w:sz w:val="14"/>
              </w:rPr>
              <w:t>GBP 500 / 250</w:t>
            </w:r>
          </w:p>
        </w:tc>
        <w:tc>
          <w:tcPr>
            <w:tcW w:type="dxa" w:w="1803"/>
            <w:shd w:val="clear" w:color="auto" w:fill="F4F7F9"/>
          </w:tcPr>
          <w:p>
            <w:pPr>
              <w:spacing w:after="20" w:before="0"/>
              <w:jc w:val="center"/>
            </w:pPr>
            <w:r/>
            <w:r>
              <w:rPr>
                <w:rFonts w:ascii="Lato" w:hAnsi="Lato" w:cs="Lato"/>
                <w:b w:val="0"/>
                <w:i w:val="0"/>
                <w:color w:val="2B2F33"/>
                <w:sz w:val="14"/>
              </w:rPr>
              <w:t>GBP 500 / 250 (25k agg)</w:t>
            </w:r>
          </w:p>
        </w:tc>
        <w:tc>
          <w:tcPr>
            <w:tcW w:type="dxa" w:w="1803"/>
            <w:shd w:val="clear" w:color="auto" w:fill="F4F7F9"/>
          </w:tcPr>
          <w:p>
            <w:pPr>
              <w:spacing w:after="20" w:before="0"/>
              <w:jc w:val="center"/>
            </w:pPr>
            <w:r/>
            <w:r>
              <w:rPr>
                <w:rFonts w:ascii="Lato" w:hAnsi="Lato" w:cs="Lato"/>
                <w:b w:val="0"/>
                <w:i w:val="0"/>
                <w:color w:val="2B2F33"/>
                <w:sz w:val="14"/>
              </w:rPr>
              <w:t>Review</w:t>
            </w:r>
          </w:p>
        </w:tc>
        <w:tc>
          <w:tcPr>
            <w:tcW w:type="dxa" w:w="1803"/>
            <w:shd w:val="clear" w:color="auto" w:fill="F4F7F9"/>
          </w:tcPr>
          <w:p>
            <w:pPr>
              <w:spacing w:after="20" w:before="0"/>
              <w:jc w:val="center"/>
            </w:pPr>
            <w:r/>
            <w:r>
              <w:rPr>
                <w:rFonts w:ascii="Lato" w:hAnsi="Lato" w:cs="Lato"/>
                <w:b w:val="0"/>
                <w:i w:val="0"/>
                <w:color w:val="2B2F33"/>
                <w:sz w:val="14"/>
              </w:rPr>
              <w:t>n/a</w:t>
            </w:r>
          </w:p>
        </w:tc>
        <w:tc>
          <w:tcPr>
            <w:tcW w:type="dxa" w:w="1803"/>
            <w:shd w:val="clear" w:color="auto" w:fill="F4F7F9"/>
          </w:tcPr>
          <w:p>
            <w:pPr>
              <w:spacing w:after="20" w:before="0"/>
              <w:jc w:val="center"/>
            </w:pPr>
            <w:r/>
            <w:r>
              <w:rPr>
                <w:rFonts w:ascii="Lato" w:hAnsi="Lato" w:cs="Lato"/>
                <w:b w:val="0"/>
                <w:i w:val="0"/>
                <w:color w:val="2B2F33"/>
                <w:sz w:val="14"/>
              </w:rPr>
              <w:t>n/a</w:t>
            </w:r>
          </w:p>
        </w:tc>
        <w:tc>
          <w:tcPr>
            <w:tcW w:type="dxa" w:w="1803"/>
            <w:shd w:val="clear" w:color="auto" w:fill="F4F7F9"/>
          </w:tcPr>
          <w:p>
            <w:pPr>
              <w:spacing w:after="20" w:before="0"/>
              <w:jc w:val="center"/>
            </w:pPr>
            <w:r/>
            <w:r>
              <w:rPr>
                <w:rFonts w:ascii="Lato" w:hAnsi="Lato" w:cs="Lato"/>
                <w:b w:val="0"/>
                <w:i w:val="0"/>
                <w:color w:val="2B2F33"/>
                <w:sz w:val="14"/>
              </w:rPr>
              <w:t>n/a</w:t>
            </w:r>
          </w:p>
        </w:tc>
        <w:tc>
          <w:tcPr>
            <w:tcW w:type="dxa" w:w="1803"/>
            <w:shd w:val="clear" w:color="auto" w:fill="F4F7F9"/>
          </w:tcPr>
          <w:p>
            <w:pPr>
              <w:spacing w:after="20" w:before="0"/>
              <w:jc w:val="center"/>
            </w:pPr>
            <w:r/>
            <w:r>
              <w:rPr>
                <w:rFonts w:ascii="Lato" w:hAnsi="Lato" w:cs="Lato"/>
                <w:b w:val="0"/>
                <w:i w:val="0"/>
                <w:color w:val="2B2F33"/>
                <w:sz w:val="14"/>
              </w:rPr>
              <w:t>n/a</w:t>
            </w:r>
          </w:p>
        </w:tc>
      </w:tr>
      <w:tr>
        <w:tc>
          <w:tcPr>
            <w:tcW w:type="dxa" w:w="2495"/>
          </w:tcPr>
          <w:p>
            <w:pPr>
              <w:spacing w:after="20" w:before="0"/>
            </w:pPr>
            <w:r/>
            <w:r>
              <w:rPr>
                <w:rFonts w:ascii="Lato" w:hAnsi="Lato" w:cs="Lato"/>
                <w:b/>
                <w:i w:val="0"/>
                <w:color w:val="00648B"/>
                <w:sz w:val="15"/>
              </w:rPr>
              <w:t>Distributors &amp; purchasers</w:t>
            </w:r>
          </w:p>
        </w:tc>
        <w:tc>
          <w:tcPr>
            <w:tcW w:type="dxa" w:w="1803"/>
          </w:tcPr>
          <w:p>
            <w:pPr>
              <w:spacing w:after="20" w:before="0"/>
              <w:jc w:val="center"/>
            </w:pPr>
            <w:r/>
            <w:r>
              <w:rPr>
                <w:rFonts w:ascii="Lato" w:hAnsi="Lato" w:cs="Lato"/>
                <w:b w:val="0"/>
                <w:i w:val="0"/>
                <w:color w:val="2B2F33"/>
                <w:sz w:val="14"/>
              </w:rPr>
              <w:t>—</w:t>
            </w:r>
          </w:p>
        </w:tc>
        <w:tc>
          <w:tcPr>
            <w:tcW w:type="dxa" w:w="1803"/>
          </w:tcPr>
          <w:p>
            <w:pPr>
              <w:spacing w:after="20" w:before="0"/>
              <w:jc w:val="center"/>
            </w:pPr>
            <w:r/>
            <w:r>
              <w:rPr>
                <w:rFonts w:ascii="Lato" w:hAnsi="Lato" w:cs="Lato"/>
                <w:b w:val="0"/>
                <w:i w:val="0"/>
                <w:color w:val="2B2F33"/>
                <w:sz w:val="14"/>
              </w:rPr>
              <w:t>5x limit</w:t>
            </w:r>
          </w:p>
        </w:tc>
        <w:tc>
          <w:tcPr>
            <w:tcW w:type="dxa" w:w="1803"/>
          </w:tcPr>
          <w:p>
            <w:pPr>
              <w:spacing w:after="20" w:before="0"/>
              <w:jc w:val="center"/>
            </w:pPr>
            <w:r/>
            <w:r>
              <w:rPr>
                <w:rFonts w:ascii="Lato" w:hAnsi="Lato" w:cs="Lato"/>
                <w:b w:val="0"/>
                <w:i w:val="0"/>
                <w:color w:val="2B2F33"/>
                <w:sz w:val="14"/>
              </w:rPr>
              <w:t>—</w:t>
            </w:r>
          </w:p>
        </w:tc>
        <w:tc>
          <w:tcPr>
            <w:tcW w:type="dxa" w:w="1803"/>
          </w:tcPr>
          <w:p>
            <w:pPr>
              <w:spacing w:after="20" w:before="0"/>
              <w:jc w:val="center"/>
            </w:pPr>
            <w:r/>
            <w:r>
              <w:rPr>
                <w:rFonts w:ascii="Lato" w:hAnsi="Lato" w:cs="Lato"/>
                <w:b w:val="0"/>
                <w:i w:val="0"/>
                <w:color w:val="2B2F33"/>
                <w:sz w:val="14"/>
              </w:rPr>
              <w:t>n/a</w:t>
            </w:r>
          </w:p>
        </w:tc>
        <w:tc>
          <w:tcPr>
            <w:tcW w:type="dxa" w:w="1803"/>
          </w:tcPr>
          <w:p>
            <w:pPr>
              <w:spacing w:after="20" w:before="0"/>
              <w:jc w:val="center"/>
            </w:pPr>
            <w:r/>
            <w:r>
              <w:rPr>
                <w:rFonts w:ascii="Lato" w:hAnsi="Lato" w:cs="Lato"/>
                <w:b w:val="0"/>
                <w:i w:val="0"/>
                <w:color w:val="2B2F33"/>
                <w:sz w:val="14"/>
              </w:rPr>
              <w:t>n/a</w:t>
            </w:r>
          </w:p>
        </w:tc>
        <w:tc>
          <w:tcPr>
            <w:tcW w:type="dxa" w:w="1803"/>
          </w:tcPr>
          <w:p>
            <w:pPr>
              <w:spacing w:after="20" w:before="0"/>
              <w:jc w:val="center"/>
            </w:pPr>
            <w:r/>
            <w:r>
              <w:rPr>
                <w:rFonts w:ascii="Lato" w:hAnsi="Lato" w:cs="Lato"/>
                <w:b w:val="0"/>
                <w:i w:val="0"/>
                <w:color w:val="2B2F33"/>
                <w:sz w:val="14"/>
              </w:rPr>
              <w:t>n/a</w:t>
            </w:r>
          </w:p>
        </w:tc>
        <w:tc>
          <w:tcPr>
            <w:tcW w:type="dxa" w:w="1803"/>
          </w:tcPr>
          <w:p>
            <w:pPr>
              <w:spacing w:after="20" w:before="0"/>
              <w:jc w:val="center"/>
            </w:pPr>
            <w:r/>
            <w:r>
              <w:rPr>
                <w:rFonts w:ascii="Lato" w:hAnsi="Lato" w:cs="Lato"/>
                <w:b w:val="0"/>
                <w:i w:val="0"/>
                <w:color w:val="2B2F33"/>
                <w:sz w:val="14"/>
              </w:rPr>
              <w:t>n/a</w:t>
            </w:r>
          </w:p>
        </w:tc>
      </w:tr>
    </w:tbl>
    <w:p>
      <w:pPr>
        <w:spacing w:after="80" w:before="0"/>
      </w:pPr>
      <w:r>
        <w:rPr>
          <w:rFonts w:ascii="Lato" w:hAnsi="Lato" w:cs="Lato"/>
          <w:b w:val="0"/>
          <w:i w:val="0"/>
          <w:color w:val="2B2F33"/>
          <w:sz w:val="17"/>
        </w:rPr>
        <w:t>Honest position: TMHCC meets or exceeds every evidenced competitor numeric sub-limit (e.g. Virus GBP 500k &gt; Tysers GBP 250k; Reputation/Withdrawal GBP 250k = Yutree). Gaps are about NEW heads (representation, distributors, source-protection), not lower numbers.</w:t>
      </w:r>
    </w:p>
    <w:p>
      <w:r>
        <w:br w:type="page"/>
      </w:r>
    </w:p>
    <w:p>
      <w:pPr>
        <w:keepNext/>
        <w:spacing w:before="280" w:after="40"/>
        <w:pBdr>
          <w:bottom w:val="single" w:sz="8" w:space="2" w:color="B88A3C"/>
        </w:pBdr>
      </w:pPr>
      <w:r>
        <w:rPr>
          <w:rFonts w:ascii="Lato" w:hAnsi="Lato" w:cs="Lato"/>
          <w:b/>
          <w:i w:val="0"/>
          <w:color w:val="00648B"/>
          <w:sz w:val="30"/>
        </w:rPr>
        <w:t>G. Optional extensions &amp; exclusion write-backs</w:t>
      </w:r>
    </w:p>
    <w:tbl>
      <w:tblPr>
        <w:tblW w:type="dxa" w:w="14912"/>
        <w:jc w:val="center"/>
        <w:tblBorders>
          <w:top w:val="single" w:sz="4" w:space="0" w:color="D6DCE0"/>
          <w:left w:val="single" w:sz="4" w:space="0" w:color="D6DCE0"/>
          <w:bottom w:val="single" w:sz="4" w:space="0" w:color="D6DCE0"/>
          <w:right w:val="single" w:sz="4" w:space="0" w:color="D6DCE0"/>
          <w:insideH w:val="single" w:sz="4" w:space="0" w:color="D6DCE0"/>
          <w:insideV w:val="single" w:sz="4" w:space="0" w:color="D6DCE0"/>
        </w:tblBorders>
        <w:tblLayout w:type="fixed"/>
        <w:tblLook w:firstColumn="1" w:firstRow="1" w:lastColumn="0" w:lastRow="0" w:noHBand="0" w:noVBand="1" w:val="04A0"/>
      </w:tblPr>
      <w:tblGrid>
        <w:gridCol w:w="1928"/>
        <w:gridCol w:w="1474"/>
        <w:gridCol w:w="3175"/>
        <w:gridCol w:w="2948"/>
        <w:gridCol w:w="3402"/>
        <w:gridCol w:w="1984"/>
      </w:tblGrid>
      <w:tr>
        <w:tc>
          <w:tcPr>
            <w:tcW w:type="dxa" w:w="1928"/>
            <w:shd w:val="clear" w:color="auto" w:fill="00648B"/>
          </w:tcPr>
          <w:p>
            <w:pPr>
              <w:spacing w:after="20" w:before="0"/>
              <w:jc w:val="center"/>
            </w:pPr>
            <w:r/>
            <w:r>
              <w:rPr>
                <w:rFonts w:ascii="Lato" w:hAnsi="Lato" w:cs="Lato"/>
                <w:b/>
                <w:i w:val="0"/>
                <w:color w:val="FFFFFF"/>
                <w:sz w:val="17"/>
              </w:rPr>
              <w:t>Area</w:t>
            </w:r>
          </w:p>
        </w:tc>
        <w:tc>
          <w:tcPr>
            <w:tcW w:type="dxa" w:w="1474"/>
            <w:shd w:val="clear" w:color="auto" w:fill="00648B"/>
          </w:tcPr>
          <w:p>
            <w:pPr>
              <w:spacing w:after="20" w:before="0"/>
              <w:jc w:val="center"/>
            </w:pPr>
            <w:r/>
            <w:r>
              <w:rPr>
                <w:rFonts w:ascii="Lato" w:hAnsi="Lato" w:cs="Lato"/>
                <w:b/>
                <w:i w:val="0"/>
                <w:color w:val="FFFFFF"/>
                <w:sz w:val="17"/>
              </w:rPr>
              <w:t>Competitor</w:t>
            </w:r>
          </w:p>
        </w:tc>
        <w:tc>
          <w:tcPr>
            <w:tcW w:type="dxa" w:w="3175"/>
            <w:shd w:val="clear" w:color="auto" w:fill="00648B"/>
          </w:tcPr>
          <w:p>
            <w:pPr>
              <w:spacing w:after="20" w:before="0"/>
              <w:jc w:val="center"/>
            </w:pPr>
            <w:r/>
            <w:r>
              <w:rPr>
                <w:rFonts w:ascii="Lato" w:hAnsi="Lato" w:cs="Lato"/>
                <w:b/>
                <w:i w:val="0"/>
                <w:color w:val="FFFFFF"/>
                <w:sz w:val="17"/>
              </w:rPr>
              <w:t>Competitor write-back / position</w:t>
            </w:r>
          </w:p>
        </w:tc>
        <w:tc>
          <w:tcPr>
            <w:tcW w:type="dxa" w:w="2948"/>
            <w:shd w:val="clear" w:color="auto" w:fill="00648B"/>
          </w:tcPr>
          <w:p>
            <w:pPr>
              <w:spacing w:after="20" w:before="0"/>
              <w:jc w:val="center"/>
            </w:pPr>
            <w:r/>
            <w:r>
              <w:rPr>
                <w:rFonts w:ascii="Lato" w:hAnsi="Lato" w:cs="Lato"/>
                <w:b/>
                <w:i w:val="0"/>
                <w:color w:val="FFFFFF"/>
                <w:sz w:val="17"/>
              </w:rPr>
              <w:t>TMHCC position</w:t>
            </w:r>
          </w:p>
        </w:tc>
        <w:tc>
          <w:tcPr>
            <w:tcW w:type="dxa" w:w="3402"/>
            <w:shd w:val="clear" w:color="auto" w:fill="00648B"/>
          </w:tcPr>
          <w:p>
            <w:pPr>
              <w:spacing w:after="20" w:before="0"/>
              <w:jc w:val="center"/>
            </w:pPr>
            <w:r/>
            <w:r>
              <w:rPr>
                <w:rFonts w:ascii="Lato" w:hAnsi="Lato" w:cs="Lato"/>
                <w:b/>
                <w:i w:val="0"/>
                <w:color w:val="FFFFFF"/>
                <w:sz w:val="17"/>
              </w:rPr>
              <w:t>Recommended action</w:t>
            </w:r>
          </w:p>
        </w:tc>
        <w:tc>
          <w:tcPr>
            <w:tcW w:type="dxa" w:w="1984"/>
            <w:shd w:val="clear" w:color="auto" w:fill="00648B"/>
          </w:tcPr>
          <w:p>
            <w:pPr>
              <w:spacing w:after="20" w:before="0"/>
              <w:jc w:val="center"/>
            </w:pPr>
            <w:r/>
            <w:r>
              <w:rPr>
                <w:rFonts w:ascii="Lato" w:hAnsi="Lato" w:cs="Lato"/>
                <w:b/>
                <w:i w:val="0"/>
                <w:color w:val="FFFFFF"/>
                <w:sz w:val="17"/>
              </w:rPr>
              <w:t>Priority</w:t>
            </w:r>
          </w:p>
        </w:tc>
      </w:tr>
      <w:tr>
        <w:tc>
          <w:tcPr>
            <w:tcW w:type="dxa" w:w="1928"/>
          </w:tcPr>
          <w:p>
            <w:pPr>
              <w:spacing w:after="20" w:before="0"/>
            </w:pPr>
            <w:r/>
            <w:r>
              <w:rPr>
                <w:rFonts w:ascii="Lato" w:hAnsi="Lato" w:cs="Lato"/>
                <w:b/>
                <w:i w:val="0"/>
                <w:color w:val="00648B"/>
                <w:sz w:val="15"/>
              </w:rPr>
              <w:t>Asbestos (PI)</w:t>
            </w:r>
          </w:p>
        </w:tc>
        <w:tc>
          <w:tcPr>
            <w:tcW w:type="dxa" w:w="1474"/>
          </w:tcPr>
          <w:p>
            <w:pPr>
              <w:spacing w:after="20" w:before="0"/>
            </w:pPr>
            <w:r/>
            <w:r>
              <w:rPr>
                <w:rFonts w:ascii="Lato" w:hAnsi="Lato" w:cs="Lato"/>
                <w:b w:val="0"/>
                <w:i w:val="0"/>
                <w:color w:val="2B2F33"/>
                <w:sz w:val="14"/>
              </w:rPr>
              <w:t>Tysers</w:t>
            </w:r>
          </w:p>
        </w:tc>
        <w:tc>
          <w:tcPr>
            <w:tcW w:type="dxa" w:w="3175"/>
          </w:tcPr>
          <w:p>
            <w:pPr>
              <w:spacing w:after="20" w:before="0"/>
            </w:pPr>
            <w:r/>
            <w:r>
              <w:rPr>
                <w:rFonts w:ascii="Lato" w:hAnsi="Lato" w:cs="Lato"/>
                <w:b w:val="0"/>
                <w:i w:val="0"/>
                <w:color w:val="2B2F33"/>
                <w:sz w:val="14"/>
              </w:rPr>
              <w:t>Professional-duty write-back (GBP 1m, ex-BI)</w:t>
            </w:r>
          </w:p>
        </w:tc>
        <w:tc>
          <w:tcPr>
            <w:tcW w:type="dxa" w:w="2948"/>
          </w:tcPr>
          <w:p>
            <w:pPr>
              <w:spacing w:after="20" w:before="0"/>
            </w:pPr>
            <w:r/>
            <w:r>
              <w:rPr>
                <w:rFonts w:ascii="Lato" w:hAnsi="Lato" w:cs="Lato"/>
                <w:b w:val="0"/>
                <w:i w:val="0"/>
                <w:color w:val="2B2F33"/>
                <w:sz w:val="14"/>
              </w:rPr>
              <w:t>TMHCC excludes asbestos in PI</w:t>
            </w:r>
          </w:p>
        </w:tc>
        <w:tc>
          <w:tcPr>
            <w:tcW w:type="dxa" w:w="3402"/>
          </w:tcPr>
          <w:p>
            <w:pPr>
              <w:spacing w:after="20" w:before="0"/>
            </w:pPr>
            <w:r/>
            <w:r>
              <w:rPr>
                <w:rFonts w:ascii="Lato" w:hAnsi="Lato" w:cs="Lato"/>
                <w:b w:val="0"/>
                <w:i w:val="0"/>
                <w:color w:val="2B2F33"/>
                <w:sz w:val="14"/>
              </w:rPr>
              <w:t>Consider narrow negligent-advice write-back (ex-BI, ex-contamination)</w:t>
            </w:r>
          </w:p>
        </w:tc>
        <w:tc>
          <w:tcPr>
            <w:tcW w:type="dxa" w:w="1984"/>
          </w:tcPr>
          <w:p>
            <w:pPr>
              <w:spacing w:after="20" w:before="0"/>
            </w:pPr>
            <w:r/>
            <w:r>
              <w:rPr>
                <w:rFonts w:ascii="Lato" w:hAnsi="Lato" w:cs="Lato"/>
                <w:b/>
                <w:i w:val="0"/>
                <w:color w:val="2B2F33"/>
                <w:sz w:val="14"/>
              </w:rPr>
              <w:t>Medium</w:t>
            </w:r>
          </w:p>
        </w:tc>
      </w:tr>
      <w:tr>
        <w:tc>
          <w:tcPr>
            <w:tcW w:type="dxa" w:w="1928"/>
            <w:shd w:val="clear" w:color="auto" w:fill="F4F7F9"/>
          </w:tcPr>
          <w:p>
            <w:pPr>
              <w:spacing w:after="20" w:before="0"/>
            </w:pPr>
            <w:r/>
            <w:r>
              <w:rPr>
                <w:rFonts w:ascii="Lato" w:hAnsi="Lato" w:cs="Lato"/>
                <w:b/>
                <w:i w:val="0"/>
                <w:color w:val="00648B"/>
                <w:sz w:val="15"/>
              </w:rPr>
              <w:t>Pollution (PI)</w:t>
            </w:r>
          </w:p>
        </w:tc>
        <w:tc>
          <w:tcPr>
            <w:tcW w:type="dxa" w:w="1474"/>
            <w:shd w:val="clear" w:color="auto" w:fill="F4F7F9"/>
          </w:tcPr>
          <w:p>
            <w:pPr>
              <w:spacing w:after="20" w:before="0"/>
            </w:pPr>
            <w:r/>
            <w:r>
              <w:rPr>
                <w:rFonts w:ascii="Lato" w:hAnsi="Lato" w:cs="Lato"/>
                <w:b w:val="0"/>
                <w:i w:val="0"/>
                <w:color w:val="2B2F33"/>
                <w:sz w:val="14"/>
              </w:rPr>
              <w:t>Yutree</w:t>
            </w:r>
          </w:p>
        </w:tc>
        <w:tc>
          <w:tcPr>
            <w:tcW w:type="dxa" w:w="3175"/>
            <w:shd w:val="clear" w:color="auto" w:fill="F4F7F9"/>
          </w:tcPr>
          <w:p>
            <w:pPr>
              <w:spacing w:after="20" w:before="0"/>
            </w:pPr>
            <w:r/>
            <w:r>
              <w:rPr>
                <w:rFonts w:ascii="Lato" w:hAnsi="Lato" w:cs="Lato"/>
                <w:b w:val="0"/>
                <w:i w:val="0"/>
                <w:color w:val="2B2F33"/>
                <w:sz w:val="14"/>
              </w:rPr>
              <w:t>Write-back for insured’s own negligent act/error/omission</w:t>
            </w:r>
          </w:p>
        </w:tc>
        <w:tc>
          <w:tcPr>
            <w:tcW w:type="dxa" w:w="2948"/>
            <w:shd w:val="clear" w:color="auto" w:fill="F4F7F9"/>
          </w:tcPr>
          <w:p>
            <w:pPr>
              <w:spacing w:after="20" w:before="0"/>
            </w:pPr>
            <w:r/>
            <w:r>
              <w:rPr>
                <w:rFonts w:ascii="Lato" w:hAnsi="Lato" w:cs="Lato"/>
                <w:b w:val="0"/>
                <w:i w:val="0"/>
                <w:color w:val="2B2F33"/>
                <w:sz w:val="14"/>
              </w:rPr>
              <w:t>TMHCC excludes pollution in PI</w:t>
            </w:r>
          </w:p>
        </w:tc>
        <w:tc>
          <w:tcPr>
            <w:tcW w:type="dxa" w:w="3402"/>
            <w:shd w:val="clear" w:color="auto" w:fill="F4F7F9"/>
          </w:tcPr>
          <w:p>
            <w:pPr>
              <w:spacing w:after="20" w:before="0"/>
            </w:pPr>
            <w:r/>
            <w:r>
              <w:rPr>
                <w:rFonts w:ascii="Lato" w:hAnsi="Lato" w:cs="Lato"/>
                <w:b w:val="0"/>
                <w:i w:val="0"/>
                <w:color w:val="2B2F33"/>
                <w:sz w:val="14"/>
              </w:rPr>
              <w:t>Consider narrow negligent-advice write-back</w:t>
            </w:r>
          </w:p>
        </w:tc>
        <w:tc>
          <w:tcPr>
            <w:tcW w:type="dxa" w:w="1984"/>
            <w:shd w:val="clear" w:color="auto" w:fill="F4F7F9"/>
          </w:tcPr>
          <w:p>
            <w:pPr>
              <w:spacing w:after="20" w:before="0"/>
            </w:pPr>
            <w:r/>
            <w:r>
              <w:rPr>
                <w:rFonts w:ascii="Lato" w:hAnsi="Lato" w:cs="Lato"/>
                <w:b/>
                <w:i w:val="0"/>
                <w:color w:val="2B2F33"/>
                <w:sz w:val="14"/>
              </w:rPr>
              <w:t>Medium</w:t>
            </w:r>
          </w:p>
        </w:tc>
      </w:tr>
      <w:tr>
        <w:tc>
          <w:tcPr>
            <w:tcW w:type="dxa" w:w="1928"/>
          </w:tcPr>
          <w:p>
            <w:pPr>
              <w:spacing w:after="20" w:before="0"/>
            </w:pPr>
            <w:r/>
            <w:r>
              <w:rPr>
                <w:rFonts w:ascii="Lato" w:hAnsi="Lato" w:cs="Lato"/>
                <w:b/>
                <w:i w:val="0"/>
                <w:color w:val="00648B"/>
                <w:sz w:val="15"/>
              </w:rPr>
              <w:t>USA/Canada jurisdiction (PI)</w:t>
            </w:r>
          </w:p>
        </w:tc>
        <w:tc>
          <w:tcPr>
            <w:tcW w:type="dxa" w:w="1474"/>
          </w:tcPr>
          <w:p>
            <w:pPr>
              <w:spacing w:after="20" w:before="0"/>
            </w:pPr>
            <w:r/>
            <w:r>
              <w:rPr>
                <w:rFonts w:ascii="Lato" w:hAnsi="Lato" w:cs="Lato"/>
                <w:b w:val="0"/>
                <w:i w:val="0"/>
                <w:color w:val="2B2F33"/>
                <w:sz w:val="14"/>
              </w:rPr>
              <w:t>Tysers</w:t>
            </w:r>
          </w:p>
        </w:tc>
        <w:tc>
          <w:tcPr>
            <w:tcW w:type="dxa" w:w="3175"/>
          </w:tcPr>
          <w:p>
            <w:pPr>
              <w:spacing w:after="20" w:before="0"/>
            </w:pPr>
            <w:r/>
            <w:r>
              <w:rPr>
                <w:rFonts w:ascii="Lato" w:hAnsi="Lato" w:cs="Lato"/>
                <w:b w:val="0"/>
                <w:i w:val="0"/>
                <w:color w:val="2B2F33"/>
                <w:sz w:val="14"/>
              </w:rPr>
              <w:t>No jurisdiction exclusion (worldwide)</w:t>
            </w:r>
          </w:p>
        </w:tc>
        <w:tc>
          <w:tcPr>
            <w:tcW w:type="dxa" w:w="2948"/>
          </w:tcPr>
          <w:p>
            <w:pPr>
              <w:spacing w:after="20" w:before="0"/>
            </w:pPr>
            <w:r/>
            <w:r>
              <w:rPr>
                <w:rFonts w:ascii="Lato" w:hAnsi="Lato" w:cs="Lato"/>
                <w:b w:val="0"/>
                <w:i w:val="0"/>
                <w:color w:val="2B2F33"/>
                <w:sz w:val="14"/>
              </w:rPr>
              <w:t>TMHCC excludes actions outside Jurisdiction (default ex-US/Canada)</w:t>
            </w:r>
          </w:p>
        </w:tc>
        <w:tc>
          <w:tcPr>
            <w:tcW w:type="dxa" w:w="3402"/>
          </w:tcPr>
          <w:p>
            <w:pPr>
              <w:spacing w:after="20" w:before="0"/>
            </w:pPr>
            <w:r/>
            <w:r>
              <w:rPr>
                <w:rFonts w:ascii="Lato" w:hAnsi="Lato" w:cs="Lato"/>
                <w:b w:val="0"/>
                <w:i w:val="0"/>
                <w:color w:val="2B2F33"/>
                <w:sz w:val="14"/>
              </w:rPr>
              <w:t>Offer rated worldwide/US-Canada option; keep default</w:t>
            </w:r>
          </w:p>
        </w:tc>
        <w:tc>
          <w:tcPr>
            <w:tcW w:type="dxa" w:w="1984"/>
          </w:tcPr>
          <w:p>
            <w:pPr>
              <w:spacing w:after="20" w:before="0"/>
            </w:pPr>
            <w:r/>
            <w:r>
              <w:rPr>
                <w:rFonts w:ascii="Lato" w:hAnsi="Lato" w:cs="Lato"/>
                <w:b/>
                <w:i w:val="0"/>
                <w:color w:val="C0563F"/>
                <w:sz w:val="14"/>
              </w:rPr>
              <w:t>High</w:t>
            </w:r>
          </w:p>
        </w:tc>
      </w:tr>
      <w:tr>
        <w:tc>
          <w:tcPr>
            <w:tcW w:type="dxa" w:w="1928"/>
            <w:shd w:val="clear" w:color="auto" w:fill="F4F7F9"/>
          </w:tcPr>
          <w:p>
            <w:pPr>
              <w:spacing w:after="20" w:before="0"/>
            </w:pPr>
            <w:r/>
            <w:r>
              <w:rPr>
                <w:rFonts w:ascii="Lato" w:hAnsi="Lato" w:cs="Lato"/>
                <w:b/>
                <w:i w:val="0"/>
                <w:color w:val="00648B"/>
                <w:sz w:val="15"/>
              </w:rPr>
              <w:t>Patent infringement (PI)</w:t>
            </w:r>
          </w:p>
        </w:tc>
        <w:tc>
          <w:tcPr>
            <w:tcW w:type="dxa" w:w="1474"/>
            <w:shd w:val="clear" w:color="auto" w:fill="F4F7F9"/>
          </w:tcPr>
          <w:p>
            <w:pPr>
              <w:spacing w:after="20" w:before="0"/>
            </w:pPr>
            <w:r/>
            <w:r>
              <w:rPr>
                <w:rFonts w:ascii="Lato" w:hAnsi="Lato" w:cs="Lato"/>
                <w:b w:val="0"/>
                <w:i w:val="0"/>
                <w:color w:val="2B2F33"/>
                <w:sz w:val="14"/>
              </w:rPr>
              <w:t>Tysers</w:t>
            </w:r>
          </w:p>
        </w:tc>
        <w:tc>
          <w:tcPr>
            <w:tcW w:type="dxa" w:w="3175"/>
            <w:shd w:val="clear" w:color="auto" w:fill="F4F7F9"/>
          </w:tcPr>
          <w:p>
            <w:pPr>
              <w:spacing w:after="20" w:before="0"/>
            </w:pPr>
            <w:r/>
            <w:r>
              <w:rPr>
                <w:rFonts w:ascii="Lato" w:hAnsi="Lato" w:cs="Lato"/>
                <w:b w:val="0"/>
                <w:i w:val="0"/>
                <w:color w:val="2B2F33"/>
                <w:sz w:val="14"/>
              </w:rPr>
              <w:t>Patents covered within IP</w:t>
            </w:r>
          </w:p>
        </w:tc>
        <w:tc>
          <w:tcPr>
            <w:tcW w:type="dxa" w:w="2948"/>
            <w:shd w:val="clear" w:color="auto" w:fill="F4F7F9"/>
          </w:tcPr>
          <w:p>
            <w:pPr>
              <w:spacing w:after="20" w:before="0"/>
            </w:pPr>
            <w:r/>
            <w:r>
              <w:rPr>
                <w:rFonts w:ascii="Lato" w:hAnsi="Lato" w:cs="Lato"/>
                <w:b w:val="0"/>
                <w:i w:val="0"/>
                <w:color w:val="2B2F33"/>
                <w:sz w:val="14"/>
              </w:rPr>
              <w:t>TMHCC excludes patents</w:t>
            </w:r>
          </w:p>
        </w:tc>
        <w:tc>
          <w:tcPr>
            <w:tcW w:type="dxa" w:w="3402"/>
            <w:shd w:val="clear" w:color="auto" w:fill="F4F7F9"/>
          </w:tcPr>
          <w:p>
            <w:pPr>
              <w:spacing w:after="20" w:before="0"/>
            </w:pPr>
            <w:r/>
            <w:r>
              <w:rPr>
                <w:rFonts w:ascii="Lato" w:hAnsi="Lato" w:cs="Lato"/>
                <w:b w:val="0"/>
                <w:i w:val="0"/>
                <w:color w:val="2B2F33"/>
                <w:sz w:val="14"/>
              </w:rPr>
              <w:t>At most a limited defence-costs write-back; otherwise leave excluded</w:t>
            </w:r>
          </w:p>
        </w:tc>
        <w:tc>
          <w:tcPr>
            <w:tcW w:type="dxa" w:w="1984"/>
            <w:shd w:val="clear" w:color="auto" w:fill="F4F7F9"/>
          </w:tcPr>
          <w:p>
            <w:pPr>
              <w:spacing w:after="20" w:before="0"/>
            </w:pPr>
            <w:r/>
            <w:r>
              <w:rPr>
                <w:rFonts w:ascii="Lato" w:hAnsi="Lato" w:cs="Lato"/>
                <w:b/>
                <w:i w:val="0"/>
                <w:color w:val="2B2F33"/>
                <w:sz w:val="14"/>
              </w:rPr>
              <w:t>Low</w:t>
            </w:r>
          </w:p>
        </w:tc>
      </w:tr>
      <w:tr>
        <w:tc>
          <w:tcPr>
            <w:tcW w:type="dxa" w:w="1928"/>
          </w:tcPr>
          <w:p>
            <w:pPr>
              <w:spacing w:after="20" w:before="0"/>
            </w:pPr>
            <w:r/>
            <w:r>
              <w:rPr>
                <w:rFonts w:ascii="Lato" w:hAnsi="Lato" w:cs="Lato"/>
                <w:b/>
                <w:i w:val="0"/>
                <w:color w:val="00648B"/>
                <w:sz w:val="15"/>
              </w:rPr>
              <w:t>Cyber/data exclusion vs PI</w:t>
            </w:r>
          </w:p>
        </w:tc>
        <w:tc>
          <w:tcPr>
            <w:tcW w:type="dxa" w:w="1474"/>
          </w:tcPr>
          <w:p>
            <w:pPr>
              <w:spacing w:after="20" w:before="0"/>
            </w:pPr>
            <w:r/>
            <w:r>
              <w:rPr>
                <w:rFonts w:ascii="Lato" w:hAnsi="Lato" w:cs="Lato"/>
                <w:b w:val="0"/>
                <w:i w:val="0"/>
                <w:color w:val="2B2F33"/>
                <w:sz w:val="14"/>
              </w:rPr>
              <w:t>(TMHCC favourable)</w:t>
            </w:r>
          </w:p>
        </w:tc>
        <w:tc>
          <w:tcPr>
            <w:tcW w:type="dxa" w:w="3175"/>
          </w:tcPr>
          <w:p>
            <w:pPr>
              <w:spacing w:after="20" w:before="0"/>
            </w:pPr>
            <w:r/>
            <w:r>
              <w:rPr>
                <w:rFonts w:ascii="Lato" w:hAnsi="Lato" w:cs="Lato"/>
                <w:b w:val="0"/>
                <w:i w:val="0"/>
                <w:color w:val="2B2F33"/>
                <w:sz w:val="14"/>
              </w:rPr>
              <w:t>Yutree strips cyber-related PI; AXA XL blanket cyber exclusion</w:t>
            </w:r>
          </w:p>
        </w:tc>
        <w:tc>
          <w:tcPr>
            <w:tcW w:type="dxa" w:w="2948"/>
          </w:tcPr>
          <w:p>
            <w:pPr>
              <w:spacing w:after="20" w:before="0"/>
            </w:pPr>
            <w:r/>
            <w:r>
              <w:rPr>
                <w:rFonts w:ascii="Lato" w:hAnsi="Lato" w:cs="Lato"/>
                <w:b w:val="0"/>
                <w:i w:val="0"/>
                <w:color w:val="2B2F33"/>
                <w:sz w:val="14"/>
              </w:rPr>
              <w:t>TMHCC dis-applies cyber/date exclusion to S12–15</w:t>
            </w:r>
          </w:p>
        </w:tc>
        <w:tc>
          <w:tcPr>
            <w:tcW w:type="dxa" w:w="3402"/>
          </w:tcPr>
          <w:p>
            <w:pPr>
              <w:spacing w:after="20" w:before="0"/>
            </w:pPr>
            <w:r/>
            <w:r>
              <w:rPr>
                <w:rFonts w:ascii="Lato" w:hAnsi="Lato" w:cs="Lato"/>
                <w:b w:val="0"/>
                <w:i w:val="0"/>
                <w:color w:val="2B2F33"/>
                <w:sz w:val="14"/>
              </w:rPr>
              <w:t>No change — retain as a TMHCC strength</w:t>
            </w:r>
          </w:p>
        </w:tc>
        <w:tc>
          <w:tcPr>
            <w:tcW w:type="dxa" w:w="1984"/>
          </w:tcPr>
          <w:p>
            <w:pPr>
              <w:spacing w:after="20" w:before="0"/>
            </w:pPr>
            <w:r/>
            <w:r>
              <w:rPr>
                <w:rFonts w:ascii="Lato" w:hAnsi="Lato" w:cs="Lato"/>
                <w:b/>
                <w:i w:val="0"/>
                <w:color w:val="2B2F33"/>
                <w:sz w:val="14"/>
              </w:rPr>
              <w:t>n/a</w:t>
            </w:r>
          </w:p>
        </w:tc>
      </w:tr>
      <w:tr>
        <w:tc>
          <w:tcPr>
            <w:tcW w:type="dxa" w:w="1928"/>
            <w:shd w:val="clear" w:color="auto" w:fill="F4F7F9"/>
          </w:tcPr>
          <w:p>
            <w:pPr>
              <w:spacing w:after="20" w:before="0"/>
            </w:pPr>
            <w:r/>
            <w:r>
              <w:rPr>
                <w:rFonts w:ascii="Lato" w:hAnsi="Lato" w:cs="Lato"/>
                <w:b/>
                <w:i w:val="0"/>
                <w:color w:val="00648B"/>
                <w:sz w:val="15"/>
              </w:rPr>
              <w:t>Fines/penalties (PI)</w:t>
            </w:r>
          </w:p>
        </w:tc>
        <w:tc>
          <w:tcPr>
            <w:tcW w:type="dxa" w:w="1474"/>
            <w:shd w:val="clear" w:color="auto" w:fill="F4F7F9"/>
          </w:tcPr>
          <w:p>
            <w:pPr>
              <w:spacing w:after="20" w:before="0"/>
            </w:pPr>
            <w:r/>
            <w:r>
              <w:rPr>
                <w:rFonts w:ascii="Lato" w:hAnsi="Lato" w:cs="Lato"/>
                <w:b w:val="0"/>
                <w:i w:val="0"/>
                <w:color w:val="2B2F33"/>
                <w:sz w:val="14"/>
              </w:rPr>
              <w:t>(TMHCC favourable)</w:t>
            </w:r>
          </w:p>
        </w:tc>
        <w:tc>
          <w:tcPr>
            <w:tcW w:type="dxa" w:w="3175"/>
            <w:shd w:val="clear" w:color="auto" w:fill="F4F7F9"/>
          </w:tcPr>
          <w:p>
            <w:pPr>
              <w:spacing w:after="20" w:before="0"/>
            </w:pPr>
            <w:r/>
            <w:r>
              <w:rPr>
                <w:rFonts w:ascii="Lato" w:hAnsi="Lato" w:cs="Lato"/>
                <w:b w:val="0"/>
                <w:i w:val="0"/>
                <w:color w:val="2B2F33"/>
                <w:sz w:val="14"/>
              </w:rPr>
              <w:t>TMHCC writes back defamation awards &amp; permitted punitive; AXA XL excludes absolutely</w:t>
            </w:r>
          </w:p>
        </w:tc>
        <w:tc>
          <w:tcPr>
            <w:tcW w:type="dxa" w:w="2948"/>
            <w:shd w:val="clear" w:color="auto" w:fill="F4F7F9"/>
          </w:tcPr>
          <w:p>
            <w:pPr>
              <w:spacing w:after="20" w:before="0"/>
            </w:pPr>
            <w:r/>
            <w:r>
              <w:rPr>
                <w:rFonts w:ascii="Lato" w:hAnsi="Lato" w:cs="Lato"/>
                <w:b w:val="0"/>
                <w:i w:val="0"/>
                <w:color w:val="2B2F33"/>
                <w:sz w:val="14"/>
              </w:rPr>
              <w:t>TMHCC already favourable</w:t>
            </w:r>
          </w:p>
        </w:tc>
        <w:tc>
          <w:tcPr>
            <w:tcW w:type="dxa" w:w="3402"/>
            <w:shd w:val="clear" w:color="auto" w:fill="F4F7F9"/>
          </w:tcPr>
          <w:p>
            <w:pPr>
              <w:spacing w:after="20" w:before="0"/>
            </w:pPr>
            <w:r/>
            <w:r>
              <w:rPr>
                <w:rFonts w:ascii="Lato" w:hAnsi="Lato" w:cs="Lato"/>
                <w:b w:val="0"/>
                <w:i w:val="0"/>
                <w:color w:val="2B2F33"/>
                <w:sz w:val="14"/>
              </w:rPr>
              <w:t>No change — retain</w:t>
            </w:r>
          </w:p>
        </w:tc>
        <w:tc>
          <w:tcPr>
            <w:tcW w:type="dxa" w:w="1984"/>
            <w:shd w:val="clear" w:color="auto" w:fill="F4F7F9"/>
          </w:tcPr>
          <w:p>
            <w:pPr>
              <w:spacing w:after="20" w:before="0"/>
            </w:pPr>
            <w:r/>
            <w:r>
              <w:rPr>
                <w:rFonts w:ascii="Lato" w:hAnsi="Lato" w:cs="Lato"/>
                <w:b/>
                <w:i w:val="0"/>
                <w:color w:val="2B2F33"/>
                <w:sz w:val="14"/>
              </w:rPr>
              <w:t>n/a</w:t>
            </w:r>
          </w:p>
        </w:tc>
      </w:tr>
    </w:tbl>
    <w:p>
      <w:r>
        <w:br w:type="page"/>
      </w:r>
    </w:p>
    <w:p>
      <w:pPr>
        <w:keepNext/>
        <w:spacing w:before="280" w:after="40"/>
        <w:pBdr>
          <w:bottom w:val="single" w:sz="8" w:space="2" w:color="B88A3C"/>
        </w:pBdr>
      </w:pPr>
      <w:r>
        <w:rPr>
          <w:rFonts w:ascii="Lato" w:hAnsi="Lato" w:cs="Lato"/>
          <w:b/>
          <w:i w:val="0"/>
          <w:color w:val="00648B"/>
          <w:sz w:val="30"/>
        </w:rPr>
        <w:t>H. Competitor-by-competitor legal profile</w:t>
      </w:r>
    </w:p>
    <w:p>
      <w:pPr>
        <w:keepNext/>
        <w:spacing w:before="180" w:after="40"/>
      </w:pPr>
      <w:r>
        <w:rPr>
          <w:rFonts w:ascii="Lato" w:hAnsi="Lato" w:cs="Lato"/>
          <w:b/>
          <w:i w:val="0"/>
          <w:color w:val="00648B"/>
          <w:sz w:val="23"/>
        </w:rPr>
        <w:t>Tysers “Focus” Combined ‘All Risks’ Media (capacity: Zurich Insurance plc)</w:t>
      </w:r>
    </w:p>
    <w:p>
      <w:pPr>
        <w:spacing w:after="80" w:before="0"/>
      </w:pPr>
      <w:r>
        <w:rPr>
          <w:rFonts w:ascii="Lato" w:hAnsi="Lato" w:cs="Lato"/>
          <w:b w:val="0"/>
          <w:i/>
          <w:color w:val="2B2F33"/>
          <w:sz w:val="17"/>
        </w:rPr>
        <w:t>9 sections: Production Property, Property Damage, BI, Money, Production (Multimedia &amp; Producers Indemnity), EL, Public &amp; Products, Professional Indemnity/E&amp;O, Personal Accident &amp; Business Travel.</w:t>
      </w:r>
    </w:p>
    <w:p>
      <w:pPr>
        <w:keepNext/>
        <w:spacing w:before="120" w:after="20"/>
      </w:pPr>
      <w:r>
        <w:rPr>
          <w:rFonts w:ascii="Lato" w:hAnsi="Lato" w:cs="Lato"/>
          <w:b/>
          <w:i w:val="0"/>
          <w:color w:val="B88A3C"/>
          <w:sz w:val="20"/>
        </w:rPr>
        <w:t>Strengths vs TMHCC</w:t>
      </w:r>
    </w:p>
    <w:p>
      <w:pPr>
        <w:pStyle w:val="ListBullet"/>
        <w:spacing w:after="40"/>
        <w:ind w:left="340"/>
      </w:pPr>
      <w:r>
        <w:rPr>
          <w:rFonts w:ascii="Lato" w:hAnsi="Lato" w:cs="Lato"/>
          <w:b w:val="0"/>
          <w:i w:val="0"/>
          <w:color w:val="2B2F33"/>
          <w:sz w:val="16"/>
        </w:rPr>
        <w:t>PI/E&amp;O (S8) is WORLDWIDE and notably broad — includes PATENT infringement, statutory defence costs (Bribery/Corporate Manslaughter/H&amp;S/CDM, GBP 1m), Distributors &amp; Purchasers extension (5x limit), journalistic source-protection costs, and representation costs (GBP 25k).</w:t>
      </w:r>
    </w:p>
    <w:p>
      <w:pPr>
        <w:pStyle w:val="ListBullet"/>
        <w:spacing w:after="40"/>
        <w:ind w:left="340"/>
      </w:pPr>
      <w:r>
        <w:rPr>
          <w:rFonts w:ascii="Lato" w:hAnsi="Lato" w:cs="Lato"/>
          <w:b w:val="0"/>
          <w:i w:val="0"/>
          <w:color w:val="2B2F33"/>
          <w:sz w:val="16"/>
        </w:rPr>
        <w:t>Extensive standalone Personal Accident &amp; Business Travel section (S9).</w:t>
      </w:r>
    </w:p>
    <w:p>
      <w:pPr>
        <w:pStyle w:val="ListBullet"/>
        <w:spacing w:after="40"/>
        <w:ind w:left="340"/>
      </w:pPr>
      <w:r>
        <w:rPr>
          <w:rFonts w:ascii="Lato" w:hAnsi="Lato" w:cs="Lato"/>
          <w:b w:val="0"/>
          <w:i w:val="0"/>
          <w:color w:val="2B2F33"/>
          <w:sz w:val="16"/>
        </w:rPr>
        <w:t>Loss of documents sub-limit GBP 1m.</w:t>
      </w:r>
    </w:p>
    <w:p>
      <w:pPr>
        <w:keepNext/>
        <w:spacing w:before="120" w:after="20"/>
      </w:pPr>
      <w:r>
        <w:rPr>
          <w:rFonts w:ascii="Lato" w:hAnsi="Lato" w:cs="Lato"/>
          <w:b/>
          <w:i w:val="0"/>
          <w:color w:val="B88A3C"/>
          <w:sz w:val="20"/>
        </w:rPr>
        <w:t>Gaps / restrictions</w:t>
      </w:r>
    </w:p>
    <w:p>
      <w:pPr>
        <w:pStyle w:val="ListBullet"/>
        <w:spacing w:after="40"/>
        <w:ind w:left="340"/>
      </w:pPr>
      <w:r>
        <w:rPr>
          <w:rFonts w:ascii="Lato" w:hAnsi="Lato" w:cs="Lato"/>
          <w:b w:val="0"/>
          <w:i w:val="0"/>
          <w:color w:val="2B2F33"/>
          <w:sz w:val="16"/>
        </w:rPr>
        <w:t>No terrorism cover (excluded outright).</w:t>
      </w:r>
    </w:p>
    <w:p>
      <w:pPr>
        <w:pStyle w:val="ListBullet"/>
        <w:spacing w:after="40"/>
        <w:ind w:left="340"/>
      </w:pPr>
      <w:r>
        <w:rPr>
          <w:rFonts w:ascii="Lato" w:hAnsi="Lato" w:cs="Lato"/>
          <w:b w:val="0"/>
          <w:i w:val="0"/>
          <w:color w:val="2B2F33"/>
          <w:sz w:val="16"/>
        </w:rPr>
        <w:t>No dedicated Goods in Transit section (Money only).</w:t>
      </w:r>
    </w:p>
    <w:p>
      <w:pPr>
        <w:pStyle w:val="ListBullet"/>
        <w:spacing w:after="40"/>
        <w:ind w:left="340"/>
      </w:pPr>
      <w:r>
        <w:rPr>
          <w:rFonts w:ascii="Lato" w:hAnsi="Lato" w:cs="Lato"/>
          <w:b w:val="0"/>
          <w:i w:val="0"/>
          <w:color w:val="2B2F33"/>
          <w:sz w:val="16"/>
        </w:rPr>
        <w:t>No Loss of Licence, Legal Expenses, Management Liability or standalone Cyber.</w:t>
      </w:r>
    </w:p>
    <w:p>
      <w:pPr>
        <w:pStyle w:val="ListBullet"/>
        <w:spacing w:after="40"/>
        <w:ind w:left="340"/>
      </w:pPr>
      <w:r>
        <w:rPr>
          <w:rFonts w:ascii="Lato" w:hAnsi="Lato" w:cs="Lato"/>
          <w:b w:val="0"/>
          <w:i w:val="0"/>
          <w:color w:val="2B2F33"/>
          <w:sz w:val="16"/>
        </w:rPr>
        <w:t>No Reputation-Management or Withdrawal-of-Content extension identified in PI.</w:t>
      </w:r>
    </w:p>
    <w:p>
      <w:pPr>
        <w:spacing w:after="80"/>
      </w:pPr>
    </w:p>
    <w:p>
      <w:pPr>
        <w:keepNext/>
        <w:spacing w:before="180" w:after="40"/>
      </w:pPr>
      <w:r>
        <w:rPr>
          <w:rFonts w:ascii="Lato" w:hAnsi="Lato" w:cs="Lato"/>
          <w:b/>
          <w:i w:val="0"/>
          <w:color w:val="00648B"/>
          <w:sz w:val="23"/>
        </w:rPr>
        <w:t>Media &amp; Entertainment by Yutree (capacity: AXA Insurance UK plc)</w:t>
      </w:r>
    </w:p>
    <w:p>
      <w:pPr>
        <w:spacing w:after="80" w:before="0"/>
      </w:pPr>
      <w:r>
        <w:rPr>
          <w:rFonts w:ascii="Lato" w:hAnsi="Lato" w:cs="Lato"/>
          <w:b w:val="0"/>
          <w:i/>
          <w:color w:val="2B2F33"/>
          <w:sz w:val="17"/>
        </w:rPr>
        <w:t>12 cover sections incl. Property, Production Property, Computer Breakdown, BI, Terrorism, EL, Public &amp; Products, Money &amp; PA assault, Goods in Transit, Production Indemnity, PI-Media and PI-Events.</w:t>
      </w:r>
    </w:p>
    <w:p>
      <w:pPr>
        <w:keepNext/>
        <w:spacing w:before="120" w:after="20"/>
      </w:pPr>
      <w:r>
        <w:rPr>
          <w:rFonts w:ascii="Lato" w:hAnsi="Lato" w:cs="Lato"/>
          <w:b/>
          <w:i w:val="0"/>
          <w:color w:val="B88A3C"/>
          <w:sz w:val="20"/>
        </w:rPr>
        <w:t>Strengths vs TMHCC</w:t>
      </w:r>
    </w:p>
    <w:p>
      <w:pPr>
        <w:pStyle w:val="ListBullet"/>
        <w:spacing w:after="40"/>
        <w:ind w:left="340"/>
      </w:pPr>
      <w:r>
        <w:rPr>
          <w:rFonts w:ascii="Lato" w:hAnsi="Lato" w:cs="Lato"/>
          <w:b w:val="0"/>
          <w:i w:val="0"/>
          <w:color w:val="2B2F33"/>
          <w:sz w:val="16"/>
        </w:rPr>
        <w:t>Two PI sections (Media; and Events &amp; Installations) — useful where the client runs live events.</w:t>
      </w:r>
    </w:p>
    <w:p>
      <w:pPr>
        <w:pStyle w:val="ListBullet"/>
        <w:spacing w:after="40"/>
        <w:ind w:left="340"/>
      </w:pPr>
      <w:r>
        <w:rPr>
          <w:rFonts w:ascii="Lato" w:hAnsi="Lato" w:cs="Lato"/>
          <w:b w:val="0"/>
          <w:i w:val="0"/>
          <w:color w:val="2B2F33"/>
          <w:sz w:val="16"/>
        </w:rPr>
        <w:t>Strong PI extensions: Reputation Management (GBP 250k), Withdrawal of Content (GBP 250k), Criminal Prosecution Defence (GBP 250k), Mitigation, limited Pollution write-back, and a clear King’s Counsel dispute-resolution clause.</w:t>
      </w:r>
    </w:p>
    <w:p>
      <w:pPr>
        <w:pStyle w:val="ListBullet"/>
        <w:spacing w:after="40"/>
        <w:ind w:left="340"/>
      </w:pPr>
      <w:r>
        <w:rPr>
          <w:rFonts w:ascii="Lato" w:hAnsi="Lato" w:cs="Lato"/>
          <w:b w:val="0"/>
          <w:i w:val="0"/>
          <w:color w:val="2B2F33"/>
          <w:sz w:val="16"/>
        </w:rPr>
        <w:t>Standalone Computer Breakdown section; Goods in Transit section.</w:t>
      </w:r>
    </w:p>
    <w:p>
      <w:pPr>
        <w:keepNext/>
        <w:spacing w:before="120" w:after="20"/>
      </w:pPr>
      <w:r>
        <w:rPr>
          <w:rFonts w:ascii="Lato" w:hAnsi="Lato" w:cs="Lato"/>
          <w:b/>
          <w:i w:val="0"/>
          <w:color w:val="B88A3C"/>
          <w:sz w:val="20"/>
        </w:rPr>
        <w:t>Gaps / restrictions</w:t>
      </w:r>
    </w:p>
    <w:p>
      <w:pPr>
        <w:pStyle w:val="ListBullet"/>
        <w:spacing w:after="40"/>
        <w:ind w:left="340"/>
      </w:pPr>
      <w:r>
        <w:rPr>
          <w:rFonts w:ascii="Lato" w:hAnsi="Lato" w:cs="Lato"/>
          <w:b w:val="0"/>
          <w:i w:val="0"/>
          <w:color w:val="2B2F33"/>
          <w:sz w:val="16"/>
        </w:rPr>
        <w:t>PI carries a BROAD cyber &amp; data-protection-law exclusion (strips cyber-related PI and DP defence).</w:t>
      </w:r>
    </w:p>
    <w:p>
      <w:pPr>
        <w:pStyle w:val="ListBullet"/>
        <w:spacing w:after="40"/>
        <w:ind w:left="340"/>
      </w:pPr>
      <w:r>
        <w:rPr>
          <w:rFonts w:ascii="Lato" w:hAnsi="Lato" w:cs="Lato"/>
          <w:b w:val="0"/>
          <w:i w:val="0"/>
          <w:color w:val="2B2F33"/>
          <w:sz w:val="16"/>
        </w:rPr>
        <w:t>Excludes patents.</w:t>
      </w:r>
    </w:p>
    <w:p>
      <w:pPr>
        <w:pStyle w:val="ListBullet"/>
        <w:spacing w:after="40"/>
        <w:ind w:left="340"/>
      </w:pPr>
      <w:r>
        <w:rPr>
          <w:rFonts w:ascii="Lato" w:hAnsi="Lato" w:cs="Lato"/>
          <w:b w:val="0"/>
          <w:i w:val="0"/>
          <w:color w:val="2B2F33"/>
          <w:sz w:val="16"/>
        </w:rPr>
        <w:t>No Loss of Licence, Legal Expenses, Management Liability or standalone Cyber-liability section.</w:t>
      </w:r>
    </w:p>
    <w:p>
      <w:pPr>
        <w:spacing w:after="80"/>
      </w:pPr>
    </w:p>
    <w:p>
      <w:pPr>
        <w:keepNext/>
        <w:spacing w:before="180" w:after="40"/>
      </w:pPr>
      <w:r>
        <w:rPr>
          <w:rFonts w:ascii="Lato" w:hAnsi="Lato" w:cs="Lato"/>
          <w:b/>
          <w:i w:val="0"/>
          <w:color w:val="00648B"/>
          <w:sz w:val="23"/>
        </w:rPr>
        <w:t>Liberty Entertainment Combined Policy</w:t>
      </w:r>
    </w:p>
    <w:p>
      <w:pPr>
        <w:spacing w:after="80" w:before="0"/>
      </w:pPr>
      <w:r>
        <w:rPr>
          <w:rFonts w:ascii="Lato" w:hAnsi="Lato" w:cs="Lato"/>
          <w:b w:val="0"/>
          <w:i/>
          <w:color w:val="2B2F33"/>
          <w:sz w:val="17"/>
        </w:rPr>
        <w:t>6 cover sections: Material Damage, Business Interruption, Terrorism, Money, Employer’s Liability, Public &amp; Products Liability.</w:t>
      </w:r>
    </w:p>
    <w:p>
      <w:pPr>
        <w:keepNext/>
        <w:spacing w:before="120" w:after="20"/>
      </w:pPr>
      <w:r>
        <w:rPr>
          <w:rFonts w:ascii="Lato" w:hAnsi="Lato" w:cs="Lato"/>
          <w:b/>
          <w:i w:val="0"/>
          <w:color w:val="B88A3C"/>
          <w:sz w:val="20"/>
        </w:rPr>
        <w:t>Strengths vs TMHCC</w:t>
      </w:r>
    </w:p>
    <w:p>
      <w:pPr>
        <w:pStyle w:val="ListBullet"/>
        <w:spacing w:after="40"/>
        <w:ind w:left="340"/>
      </w:pPr>
      <w:r>
        <w:rPr>
          <w:rFonts w:ascii="Lato" w:hAnsi="Lato" w:cs="Lato"/>
          <w:b w:val="0"/>
          <w:i w:val="0"/>
          <w:color w:val="2B2F33"/>
          <w:sz w:val="16"/>
        </w:rPr>
        <w:t>Property-led wording with detailed Material-Damage extensions (removal to private home, capital additions, professional fees).</w:t>
      </w:r>
    </w:p>
    <w:p>
      <w:pPr>
        <w:pStyle w:val="ListBullet"/>
        <w:spacing w:after="40"/>
        <w:ind w:left="340"/>
      </w:pPr>
      <w:r>
        <w:rPr>
          <w:rFonts w:ascii="Lato" w:hAnsi="Lato" w:cs="Lato"/>
          <w:b w:val="0"/>
          <w:i w:val="0"/>
          <w:color w:val="2B2F33"/>
          <w:sz w:val="16"/>
        </w:rPr>
        <w:t>Clear, well-structured general exclusions/conditions.</w:t>
      </w:r>
    </w:p>
    <w:p>
      <w:pPr>
        <w:keepNext/>
        <w:spacing w:before="120" w:after="20"/>
      </w:pPr>
      <w:r>
        <w:rPr>
          <w:rFonts w:ascii="Lato" w:hAnsi="Lato" w:cs="Lato"/>
          <w:b/>
          <w:i w:val="0"/>
          <w:color w:val="B88A3C"/>
          <w:sz w:val="20"/>
        </w:rPr>
        <w:t>Gaps / restrictions</w:t>
      </w:r>
    </w:p>
    <w:p>
      <w:pPr>
        <w:pStyle w:val="ListBullet"/>
        <w:spacing w:after="40"/>
        <w:ind w:left="340"/>
      </w:pPr>
      <w:r>
        <w:rPr>
          <w:rFonts w:ascii="Lato" w:hAnsi="Lato" w:cs="Lato"/>
          <w:b w:val="0"/>
          <w:i w:val="0"/>
          <w:color w:val="2B2F33"/>
          <w:sz w:val="16"/>
        </w:rPr>
        <w:t>NO Media Liability / PI / E&amp;O cover — not an errors-&amp;-omissions wording.</w:t>
      </w:r>
    </w:p>
    <w:p>
      <w:pPr>
        <w:pStyle w:val="ListBullet"/>
        <w:spacing w:after="40"/>
        <w:ind w:left="340"/>
      </w:pPr>
      <w:r>
        <w:rPr>
          <w:rFonts w:ascii="Lato" w:hAnsi="Lato" w:cs="Lato"/>
          <w:b w:val="0"/>
          <w:i w:val="0"/>
          <w:color w:val="2B2F33"/>
          <w:sz w:val="16"/>
        </w:rPr>
        <w:t>No Production Indemnity, Goods in Transit, Loss of Licence, Legal Expenses, Management Liability, Cyber or Personal Accident.</w:t>
      </w:r>
    </w:p>
    <w:p>
      <w:pPr>
        <w:spacing w:after="80"/>
      </w:pPr>
    </w:p>
    <w:p>
      <w:pPr>
        <w:keepNext/>
        <w:spacing w:before="180" w:after="40"/>
      </w:pPr>
      <w:r>
        <w:rPr>
          <w:rFonts w:ascii="Lato" w:hAnsi="Lato" w:cs="Lato"/>
          <w:b/>
          <w:i w:val="0"/>
          <w:color w:val="00648B"/>
          <w:sz w:val="23"/>
        </w:rPr>
        <w:t>Allianz Entertainment ‘Complete’ Policy</w:t>
      </w:r>
    </w:p>
    <w:p>
      <w:pPr>
        <w:spacing w:after="80" w:before="0"/>
      </w:pPr>
      <w:r>
        <w:rPr>
          <w:rFonts w:ascii="Lato" w:hAnsi="Lato" w:cs="Lato"/>
          <w:b w:val="0"/>
          <w:i/>
          <w:color w:val="2B2F33"/>
          <w:sz w:val="17"/>
        </w:rPr>
        <w:t>8 cover sections (+Terrorism): Property Damage, BI, Increased Cost of Working, Book Debts, Money, Own Goods in Transit, Specified All Risks, EL, Public &amp; Products.</w:t>
      </w:r>
    </w:p>
    <w:p>
      <w:pPr>
        <w:keepNext/>
        <w:spacing w:before="120" w:after="20"/>
      </w:pPr>
      <w:r>
        <w:rPr>
          <w:rFonts w:ascii="Lato" w:hAnsi="Lato" w:cs="Lato"/>
          <w:b/>
          <w:i w:val="0"/>
          <w:color w:val="B88A3C"/>
          <w:sz w:val="20"/>
        </w:rPr>
        <w:t>Strengths vs TMHCC</w:t>
      </w:r>
    </w:p>
    <w:p>
      <w:pPr>
        <w:pStyle w:val="ListBullet"/>
        <w:spacing w:after="40"/>
        <w:ind w:left="340"/>
      </w:pPr>
      <w:r>
        <w:rPr>
          <w:rFonts w:ascii="Lato" w:hAnsi="Lato" w:cs="Lato"/>
          <w:b w:val="0"/>
          <w:i w:val="0"/>
          <w:color w:val="2B2F33"/>
          <w:sz w:val="16"/>
        </w:rPr>
        <w:t>Granular BI suite — Increased Cost of Working and Book Debts as discrete sections.</w:t>
      </w:r>
    </w:p>
    <w:p>
      <w:pPr>
        <w:pStyle w:val="ListBullet"/>
        <w:spacing w:after="40"/>
        <w:ind w:left="340"/>
      </w:pPr>
      <w:r>
        <w:rPr>
          <w:rFonts w:ascii="Lato" w:hAnsi="Lato" w:cs="Lato"/>
          <w:b w:val="0"/>
          <w:i w:val="0"/>
          <w:color w:val="2B2F33"/>
          <w:sz w:val="16"/>
        </w:rPr>
        <w:t>Mature property-package drafting (Specified All Risks, GIT).</w:t>
      </w:r>
    </w:p>
    <w:p>
      <w:pPr>
        <w:keepNext/>
        <w:spacing w:before="120" w:after="20"/>
      </w:pPr>
      <w:r>
        <w:rPr>
          <w:rFonts w:ascii="Lato" w:hAnsi="Lato" w:cs="Lato"/>
          <w:b/>
          <w:i w:val="0"/>
          <w:color w:val="B88A3C"/>
          <w:sz w:val="20"/>
        </w:rPr>
        <w:t>Gaps / restrictions</w:t>
      </w:r>
    </w:p>
    <w:p>
      <w:pPr>
        <w:pStyle w:val="ListBullet"/>
        <w:spacing w:after="40"/>
        <w:ind w:left="340"/>
      </w:pPr>
      <w:r>
        <w:rPr>
          <w:rFonts w:ascii="Lato" w:hAnsi="Lato" w:cs="Lato"/>
          <w:b w:val="0"/>
          <w:i w:val="0"/>
          <w:color w:val="2B2F33"/>
          <w:sz w:val="16"/>
        </w:rPr>
        <w:t>NO Media Liability / PI / E&amp;O cover.</w:t>
      </w:r>
    </w:p>
    <w:p>
      <w:pPr>
        <w:pStyle w:val="ListBullet"/>
        <w:spacing w:after="40"/>
        <w:ind w:left="340"/>
      </w:pPr>
      <w:r>
        <w:rPr>
          <w:rFonts w:ascii="Lato" w:hAnsi="Lato" w:cs="Lato"/>
          <w:b w:val="0"/>
          <w:i w:val="0"/>
          <w:color w:val="2B2F33"/>
          <w:sz w:val="16"/>
        </w:rPr>
        <w:t>No Production Indemnity, Loss of Licence, Legal Expenses, Management Liability or standalone Cyber.</w:t>
      </w:r>
    </w:p>
    <w:p>
      <w:pPr>
        <w:pStyle w:val="ListBullet"/>
        <w:spacing w:after="40"/>
        <w:ind w:left="340"/>
      </w:pPr>
      <w:r>
        <w:rPr>
          <w:rFonts w:ascii="Lato" w:hAnsi="Lato" w:cs="Lato"/>
          <w:b w:val="0"/>
          <w:i w:val="0"/>
          <w:color w:val="2B2F33"/>
          <w:sz w:val="16"/>
        </w:rPr>
        <w:t>Personal Accident referenced in exclusions but not in the provided cover list (requires review).</w:t>
      </w:r>
    </w:p>
    <w:p>
      <w:pPr>
        <w:spacing w:after="80"/>
      </w:pPr>
    </w:p>
    <w:p>
      <w:pPr>
        <w:keepNext/>
        <w:spacing w:before="180" w:after="40"/>
      </w:pPr>
      <w:r>
        <w:rPr>
          <w:rFonts w:ascii="Lato" w:hAnsi="Lato" w:cs="Lato"/>
          <w:b/>
          <w:i w:val="0"/>
          <w:color w:val="00648B"/>
          <w:sz w:val="23"/>
        </w:rPr>
        <w:t>AXA XL — Media &amp; Entertainment Combined Corporate (XL Catlin Insurance Company UK Ltd; ‘Crisis Management &amp; Special Risks’, June 2021)</w:t>
      </w:r>
    </w:p>
    <w:p>
      <w:pPr>
        <w:spacing w:after="80" w:before="0"/>
      </w:pPr>
      <w:r>
        <w:rPr>
          <w:rFonts w:ascii="Lato" w:hAnsi="Lato" w:cs="Lato"/>
          <w:b w:val="0"/>
          <w:i/>
          <w:color w:val="2B2F33"/>
          <w:sz w:val="17"/>
        </w:rPr>
        <w:t>3 operative sections only: Material Damage (Buildings/Contents, Machinery/Plant/Equipment, ‘Technical Equipment’ and a Money specification), Business Interruption (incl. Rent Receivable/Turnover), and Liability (7A Public, 7B Product, 7C Employers’).</w:t>
      </w:r>
    </w:p>
    <w:p>
      <w:pPr>
        <w:keepNext/>
        <w:spacing w:before="120" w:after="20"/>
      </w:pPr>
      <w:r>
        <w:rPr>
          <w:rFonts w:ascii="Lato" w:hAnsi="Lato" w:cs="Lato"/>
          <w:b/>
          <w:i w:val="0"/>
          <w:color w:val="B88A3C"/>
          <w:sz w:val="20"/>
        </w:rPr>
        <w:t>Strengths vs TMHCC</w:t>
      </w:r>
    </w:p>
    <w:p>
      <w:pPr>
        <w:pStyle w:val="ListBullet"/>
        <w:spacing w:after="40"/>
        <w:ind w:left="340"/>
      </w:pPr>
      <w:r>
        <w:rPr>
          <w:rFonts w:ascii="Lato" w:hAnsi="Lato" w:cs="Lato"/>
          <w:b w:val="0"/>
          <w:i w:val="0"/>
          <w:color w:val="2B2F33"/>
          <w:sz w:val="16"/>
        </w:rPr>
        <w:t>Clean, modern ‘single contract’ combined drafting; Material Damage covers Technical Equipment used in the Business and includes a Money specification.</w:t>
      </w:r>
    </w:p>
    <w:p>
      <w:pPr>
        <w:pStyle w:val="ListBullet"/>
        <w:spacing w:after="40"/>
        <w:ind w:left="340"/>
      </w:pPr>
      <w:r>
        <w:rPr>
          <w:rFonts w:ascii="Lato" w:hAnsi="Lato" w:cs="Lato"/>
          <w:b w:val="0"/>
          <w:i w:val="0"/>
          <w:color w:val="2B2F33"/>
          <w:sz w:val="16"/>
        </w:rPr>
        <w:t>Public Liability includes a Data Protection Act 2018 defence-costs extension (a deliberate carve-out from the broad cyber exclusion).</w:t>
      </w:r>
    </w:p>
    <w:p>
      <w:pPr>
        <w:keepNext/>
        <w:spacing w:before="120" w:after="20"/>
      </w:pPr>
      <w:r>
        <w:rPr>
          <w:rFonts w:ascii="Lato" w:hAnsi="Lato" w:cs="Lato"/>
          <w:b/>
          <w:i w:val="0"/>
          <w:color w:val="B88A3C"/>
          <w:sz w:val="20"/>
        </w:rPr>
        <w:t>Gaps / restrictions</w:t>
      </w:r>
    </w:p>
    <w:p>
      <w:pPr>
        <w:pStyle w:val="ListBullet"/>
        <w:spacing w:after="40"/>
        <w:ind w:left="340"/>
      </w:pPr>
      <w:r>
        <w:rPr>
          <w:rFonts w:ascii="Lato" w:hAnsi="Lato" w:cs="Lato"/>
          <w:b w:val="0"/>
          <w:i w:val="0"/>
          <w:color w:val="2B2F33"/>
          <w:sz w:val="16"/>
        </w:rPr>
        <w:t>NO Media Liability / PI / E&amp;O, Production Indemnity, Cyber section, Legal Expenses, Management Liability, Loss of Licence, Goods in Transit or Personal Accident — despite the ‘Media &amp; Entertainment’ title.</w:t>
      </w:r>
    </w:p>
    <w:p>
      <w:pPr>
        <w:pStyle w:val="ListBullet"/>
        <w:spacing w:after="40"/>
        <w:ind w:left="340"/>
      </w:pPr>
      <w:r>
        <w:rPr>
          <w:rFonts w:ascii="Lato" w:hAnsi="Lato" w:cs="Lato"/>
          <w:b w:val="0"/>
          <w:i w:val="0"/>
          <w:color w:val="2B2F33"/>
          <w:sz w:val="16"/>
        </w:rPr>
        <w:t>Terrorism EXCLUDED absolutely (Policy Exclusion 3.4, ex-EL) — no buy-back.</w:t>
      </w:r>
    </w:p>
    <w:p>
      <w:pPr>
        <w:pStyle w:val="ListBullet"/>
        <w:spacing w:after="40"/>
        <w:ind w:left="340"/>
      </w:pPr>
      <w:r>
        <w:rPr>
          <w:rFonts w:ascii="Lato" w:hAnsi="Lato" w:cs="Lato"/>
          <w:b w:val="0"/>
          <w:i w:val="0"/>
          <w:color w:val="2B2F33"/>
          <w:sz w:val="16"/>
        </w:rPr>
        <w:t>Punitive/exemplary damages and fines EXCLUDED absolutely (3.2) — no defamation write-back.</w:t>
      </w:r>
    </w:p>
    <w:p>
      <w:pPr>
        <w:pStyle w:val="ListBullet"/>
        <w:spacing w:after="40"/>
        <w:ind w:left="340"/>
      </w:pPr>
      <w:r>
        <w:rPr>
          <w:rFonts w:ascii="Lato" w:hAnsi="Lato" w:cs="Lato"/>
          <w:b w:val="0"/>
          <w:i w:val="0"/>
          <w:color w:val="2B2F33"/>
          <w:sz w:val="16"/>
        </w:rPr>
        <w:t>Broad cyber / electronic-data exclusion across all sections (only a DP Act 2018 carve-out within Public Liability).</w:t>
      </w:r>
    </w:p>
    <w:p>
      <w:pPr>
        <w:spacing w:after="80"/>
      </w:pPr>
    </w:p>
    <w:p>
      <w:pPr>
        <w:keepNext/>
        <w:spacing w:before="180" w:after="40"/>
      </w:pPr>
      <w:r>
        <w:rPr>
          <w:rFonts w:ascii="Lato" w:hAnsi="Lato" w:cs="Lato"/>
          <w:b/>
          <w:i w:val="0"/>
          <w:color w:val="00648B"/>
          <w:sz w:val="23"/>
        </w:rPr>
        <w:t>Entertainment Elite Policy (v3.2)</w:t>
      </w:r>
    </w:p>
    <w:p>
      <w:pPr>
        <w:spacing w:after="80" w:before="0"/>
      </w:pPr>
      <w:r>
        <w:rPr>
          <w:rFonts w:ascii="Lato" w:hAnsi="Lato" w:cs="Lato"/>
          <w:b w:val="0"/>
          <w:i/>
          <w:color w:val="2B2F33"/>
          <w:sz w:val="17"/>
        </w:rPr>
        <w:t>8 sections: Property Damage ‘All Risks’ (incl. defined Entertainment Equipment), Business Interruption (Revenue; Additional Cost of Working), Money, Employers’ Liability, Public &amp; Products Liability and Terrorism.</w:t>
      </w:r>
    </w:p>
    <w:p>
      <w:pPr>
        <w:keepNext/>
        <w:spacing w:before="120" w:after="20"/>
      </w:pPr>
      <w:r>
        <w:rPr>
          <w:rFonts w:ascii="Lato" w:hAnsi="Lato" w:cs="Lato"/>
          <w:b/>
          <w:i w:val="0"/>
          <w:color w:val="B88A3C"/>
          <w:sz w:val="20"/>
        </w:rPr>
        <w:t>Strengths vs TMHCC</w:t>
      </w:r>
    </w:p>
    <w:p>
      <w:pPr>
        <w:pStyle w:val="ListBullet"/>
        <w:spacing w:after="40"/>
        <w:ind w:left="340"/>
      </w:pPr>
      <w:r>
        <w:rPr>
          <w:rFonts w:ascii="Lato" w:hAnsi="Lato" w:cs="Lato"/>
          <w:b w:val="0"/>
          <w:i w:val="0"/>
          <w:color w:val="2B2F33"/>
          <w:sz w:val="16"/>
        </w:rPr>
        <w:t>Detailed, Schedule/Item-driven Money Section — theft of/from safes, strongrooms, bags and containers; assault cover with Accident (death/disablement) and emotional-stress counselling benefits; and employee dishonesty up to GBP 25,000 (aggregate).</w:t>
      </w:r>
    </w:p>
    <w:p>
      <w:pPr>
        <w:pStyle w:val="ListBullet"/>
        <w:spacing w:after="40"/>
        <w:ind w:left="340"/>
      </w:pPr>
      <w:r>
        <w:rPr>
          <w:rFonts w:ascii="Lato" w:hAnsi="Lato" w:cs="Lato"/>
          <w:b w:val="0"/>
          <w:i w:val="0"/>
          <w:color w:val="2B2F33"/>
          <w:sz w:val="16"/>
        </w:rPr>
        <w:t>Granular Business Interruption suite (Revenue plus Additional Cost of Working).</w:t>
      </w:r>
    </w:p>
    <w:p>
      <w:pPr>
        <w:pStyle w:val="ListBullet"/>
        <w:spacing w:after="40"/>
        <w:ind w:left="340"/>
      </w:pPr>
      <w:r>
        <w:rPr>
          <w:rFonts w:ascii="Lato" w:hAnsi="Lato" w:cs="Lato"/>
          <w:b w:val="0"/>
          <w:i w:val="0"/>
          <w:color w:val="2B2F33"/>
          <w:sz w:val="16"/>
        </w:rPr>
        <w:t>Defines ‘Entertainment Equipment’ and addresses property used at conferences, events, festivals and product launches.</w:t>
      </w:r>
    </w:p>
    <w:p>
      <w:pPr>
        <w:keepNext/>
        <w:spacing w:before="120" w:after="20"/>
      </w:pPr>
      <w:r>
        <w:rPr>
          <w:rFonts w:ascii="Lato" w:hAnsi="Lato" w:cs="Lato"/>
          <w:b/>
          <w:i w:val="0"/>
          <w:color w:val="B88A3C"/>
          <w:sz w:val="20"/>
        </w:rPr>
        <w:t>Gaps / restrictions</w:t>
      </w:r>
    </w:p>
    <w:p>
      <w:pPr>
        <w:pStyle w:val="ListBullet"/>
        <w:spacing w:after="40"/>
        <w:ind w:left="340"/>
      </w:pPr>
      <w:r>
        <w:rPr>
          <w:rFonts w:ascii="Lato" w:hAnsi="Lato" w:cs="Lato"/>
          <w:b w:val="0"/>
          <w:i w:val="0"/>
          <w:color w:val="2B2F33"/>
          <w:sz w:val="16"/>
        </w:rPr>
        <w:t>NO Media Liability / PI / E&amp;O, Production Indemnity, Cyber, Legal Expenses, Management Liability, Loss of Licence or Goods in Transit section.</w:t>
      </w:r>
    </w:p>
    <w:p>
      <w:pPr>
        <w:pStyle w:val="ListBullet"/>
        <w:spacing w:after="40"/>
        <w:ind w:left="340"/>
      </w:pPr>
      <w:r>
        <w:rPr>
          <w:rFonts w:ascii="Lato" w:hAnsi="Lato" w:cs="Lato"/>
          <w:b w:val="0"/>
          <w:i w:val="0"/>
          <w:color w:val="2B2F33"/>
          <w:sz w:val="16"/>
        </w:rPr>
        <w:t>Carries Computer-Misuse and date/computer-failure exclusions in the Money Section.</w:t>
      </w:r>
    </w:p>
    <w:p>
      <w:pPr>
        <w:spacing w:after="80"/>
      </w:pPr>
    </w:p>
    <w:p>
      <w:r>
        <w:br w:type="page"/>
      </w:r>
    </w:p>
    <w:p>
      <w:pPr>
        <w:keepNext/>
        <w:spacing w:before="280" w:after="40"/>
        <w:pBdr>
          <w:bottom w:val="single" w:sz="8" w:space="2" w:color="B88A3C"/>
        </w:pBdr>
      </w:pPr>
      <w:r>
        <w:rPr>
          <w:rFonts w:ascii="Lato" w:hAnsi="Lato" w:cs="Lato"/>
          <w:b/>
          <w:i w:val="0"/>
          <w:color w:val="00648B"/>
          <w:sz w:val="30"/>
        </w:rPr>
        <w:t>I. Issues the prior review missed or under-emphasised</w:t>
      </w:r>
    </w:p>
    <w:tbl>
      <w:tblPr>
        <w:tblW w:type="dxa" w:w="15252"/>
        <w:jc w:val="center"/>
        <w:tblBorders>
          <w:top w:val="single" w:sz="4" w:space="0" w:color="D6DCE0"/>
          <w:left w:val="single" w:sz="4" w:space="0" w:color="D6DCE0"/>
          <w:bottom w:val="single" w:sz="4" w:space="0" w:color="D6DCE0"/>
          <w:right w:val="single" w:sz="4" w:space="0" w:color="D6DCE0"/>
          <w:insideH w:val="single" w:sz="4" w:space="0" w:color="D6DCE0"/>
          <w:insideV w:val="single" w:sz="4" w:space="0" w:color="D6DCE0"/>
        </w:tblBorders>
        <w:tblLayout w:type="fixed"/>
        <w:tblLook w:firstColumn="1" w:firstRow="1" w:lastColumn="0" w:lastRow="0" w:noHBand="0" w:noVBand="1" w:val="04A0"/>
      </w:tblPr>
      <w:tblGrid>
        <w:gridCol w:w="2835"/>
        <w:gridCol w:w="1474"/>
        <w:gridCol w:w="10943"/>
      </w:tblGrid>
      <w:tr>
        <w:tc>
          <w:tcPr>
            <w:tcW w:type="dxa" w:w="2835"/>
            <w:shd w:val="clear" w:color="auto" w:fill="00648B"/>
          </w:tcPr>
          <w:p>
            <w:pPr>
              <w:spacing w:after="20" w:before="0"/>
              <w:jc w:val="center"/>
            </w:pPr>
            <w:r/>
            <w:r>
              <w:rPr>
                <w:rFonts w:ascii="Lato" w:hAnsi="Lato" w:cs="Lato"/>
                <w:b/>
                <w:i w:val="0"/>
                <w:color w:val="FFFFFF"/>
                <w:sz w:val="17"/>
              </w:rPr>
              <w:t>Issue</w:t>
            </w:r>
          </w:p>
        </w:tc>
        <w:tc>
          <w:tcPr>
            <w:tcW w:type="dxa" w:w="1474"/>
            <w:shd w:val="clear" w:color="auto" w:fill="00648B"/>
          </w:tcPr>
          <w:p>
            <w:pPr>
              <w:spacing w:after="20" w:before="0"/>
              <w:jc w:val="center"/>
            </w:pPr>
            <w:r/>
            <w:r>
              <w:rPr>
                <w:rFonts w:ascii="Lato" w:hAnsi="Lato" w:cs="Lato"/>
                <w:b/>
                <w:i w:val="0"/>
                <w:color w:val="FFFFFF"/>
                <w:sz w:val="17"/>
              </w:rPr>
              <w:t>Status</w:t>
            </w:r>
          </w:p>
        </w:tc>
        <w:tc>
          <w:tcPr>
            <w:tcW w:type="dxa" w:w="10942"/>
            <w:shd w:val="clear" w:color="auto" w:fill="00648B"/>
          </w:tcPr>
          <w:p>
            <w:pPr>
              <w:spacing w:after="20" w:before="0"/>
              <w:jc w:val="center"/>
            </w:pPr>
            <w:r/>
            <w:r>
              <w:rPr>
                <w:rFonts w:ascii="Lato" w:hAnsi="Lato" w:cs="Lato"/>
                <w:b/>
                <w:i w:val="0"/>
                <w:color w:val="FFFFFF"/>
                <w:sz w:val="17"/>
              </w:rPr>
              <w:t>Detail</w:t>
            </w:r>
          </w:p>
        </w:tc>
      </w:tr>
      <w:tr>
        <w:tc>
          <w:tcPr>
            <w:tcW w:type="dxa" w:w="2835"/>
          </w:tcPr>
          <w:p>
            <w:pPr>
              <w:spacing w:after="20" w:before="0"/>
            </w:pPr>
            <w:r/>
            <w:r>
              <w:rPr>
                <w:rFonts w:ascii="Lato" w:hAnsi="Lato" w:cs="Lato"/>
                <w:b/>
                <w:i w:val="0"/>
                <w:color w:val="00648B"/>
                <w:sz w:val="16"/>
              </w:rPr>
              <w:t>Abuse / molestation exclusion asymmetry</w:t>
            </w:r>
          </w:p>
        </w:tc>
        <w:tc>
          <w:tcPr>
            <w:tcW w:type="dxa" w:w="1474"/>
          </w:tcPr>
          <w:p>
            <w:pPr>
              <w:spacing w:after="20" w:before="0"/>
            </w:pPr>
            <w:r/>
            <w:r>
              <w:rPr>
                <w:rFonts w:ascii="Lato" w:hAnsi="Lato" w:cs="Lato"/>
                <w:b/>
                <w:i w:val="0"/>
                <w:color w:val="C0563F"/>
                <w:sz w:val="15"/>
              </w:rPr>
              <w:t>HEADLINE MISS</w:t>
            </w:r>
          </w:p>
        </w:tc>
        <w:tc>
          <w:tcPr>
            <w:tcW w:type="dxa" w:w="10943"/>
          </w:tcPr>
          <w:p>
            <w:pPr>
              <w:spacing w:after="20" w:before="0"/>
            </w:pPr>
            <w:r/>
            <w:r>
              <w:rPr>
                <w:rFonts w:ascii="Lato" w:hAnsi="Lato" w:cs="Lato"/>
                <w:b w:val="0"/>
                <w:i w:val="0"/>
                <w:color w:val="2B2F33"/>
                <w:sz w:val="15"/>
              </w:rPr>
              <w:t>TMHCC PL EXCLUDES abuse; Tysers, Liberty, Allianz and Entertainment Elite contain NO express abuse exclusion (silent); only Yutree and AXA XL also exclude. Tysers — the closest media comparator — does not carve out abuse, so it appears broader on this peril. Not captured in the prior comparison.</w:t>
            </w:r>
          </w:p>
        </w:tc>
      </w:tr>
      <w:tr>
        <w:tc>
          <w:tcPr>
            <w:tcW w:type="dxa" w:w="2835"/>
            <w:shd w:val="clear" w:color="auto" w:fill="F4F7F9"/>
          </w:tcPr>
          <w:p>
            <w:pPr>
              <w:spacing w:after="20" w:before="0"/>
            </w:pPr>
            <w:r/>
            <w:r>
              <w:rPr>
                <w:rFonts w:ascii="Lato" w:hAnsi="Lato" w:cs="Lato"/>
                <w:b/>
                <w:i w:val="0"/>
                <w:color w:val="00648B"/>
                <w:sz w:val="16"/>
              </w:rPr>
              <w:t>Silence ≠ cover (legal-effect caveat)</w:t>
            </w:r>
          </w:p>
        </w:tc>
        <w:tc>
          <w:tcPr>
            <w:tcW w:type="dxa" w:w="1474"/>
            <w:shd w:val="clear" w:color="auto" w:fill="F4F7F9"/>
          </w:tcPr>
          <w:p>
            <w:pPr>
              <w:spacing w:after="20" w:before="0"/>
            </w:pPr>
            <w:r/>
            <w:r>
              <w:rPr>
                <w:rFonts w:ascii="Lato" w:hAnsi="Lato" w:cs="Lato"/>
                <w:b/>
                <w:i w:val="0"/>
                <w:color w:val="B88A3C"/>
                <w:sz w:val="15"/>
              </w:rPr>
              <w:t>METHOD</w:t>
            </w:r>
          </w:p>
        </w:tc>
        <w:tc>
          <w:tcPr>
            <w:tcW w:type="dxa" w:w="10943"/>
            <w:shd w:val="clear" w:color="auto" w:fill="F4F7F9"/>
          </w:tcPr>
          <w:p>
            <w:pPr>
              <w:spacing w:after="20" w:before="0"/>
            </w:pPr>
            <w:r/>
            <w:r>
              <w:rPr>
                <w:rFonts w:ascii="Lato" w:hAnsi="Lato" w:cs="Lato"/>
                <w:b w:val="0"/>
                <w:i w:val="0"/>
                <w:color w:val="2B2F33"/>
                <w:sz w:val="15"/>
              </w:rPr>
              <w:t>A competitor being silent on abuse does NOT confirm cover — deliberate/criminal-acts and other general exclusions may still bite. Flagged for legal confirmation rather than asserted as a competitor win.</w:t>
            </w:r>
          </w:p>
        </w:tc>
      </w:tr>
      <w:tr>
        <w:tc>
          <w:tcPr>
            <w:tcW w:type="dxa" w:w="2835"/>
          </w:tcPr>
          <w:p>
            <w:pPr>
              <w:spacing w:after="20" w:before="0"/>
            </w:pPr>
            <w:r/>
            <w:r>
              <w:rPr>
                <w:rFonts w:ascii="Lato" w:hAnsi="Lato" w:cs="Lato"/>
                <w:b/>
                <w:i w:val="0"/>
                <w:color w:val="00648B"/>
                <w:sz w:val="16"/>
              </w:rPr>
              <w:t>Tysers worldwide PI + patents</w:t>
            </w:r>
          </w:p>
        </w:tc>
        <w:tc>
          <w:tcPr>
            <w:tcW w:type="dxa" w:w="1474"/>
          </w:tcPr>
          <w:p>
            <w:pPr>
              <w:spacing w:after="20" w:before="0"/>
            </w:pPr>
            <w:r/>
            <w:r>
              <w:rPr>
                <w:rFonts w:ascii="Lato" w:hAnsi="Lato" w:cs="Lato"/>
                <w:b/>
                <w:i w:val="0"/>
                <w:color w:val="1B7A3D"/>
                <w:sz w:val="15"/>
              </w:rPr>
              <w:t>CONFIRMED</w:t>
            </w:r>
          </w:p>
        </w:tc>
        <w:tc>
          <w:tcPr>
            <w:tcW w:type="dxa" w:w="10943"/>
          </w:tcPr>
          <w:p>
            <w:pPr>
              <w:spacing w:after="20" w:before="0"/>
            </w:pPr>
            <w:r/>
            <w:r>
              <w:rPr>
                <w:rFonts w:ascii="Lato" w:hAnsi="Lato" w:cs="Lato"/>
                <w:b w:val="0"/>
                <w:i w:val="0"/>
                <w:color w:val="2B2F33"/>
                <w:sz w:val="15"/>
              </w:rPr>
              <w:t>Tysers PI/E&amp;O is worldwide and includes patent infringement; TMHCC S12 is jurisdiction-limited (default ex-US/Canada) and excludes patents.</w:t>
            </w:r>
          </w:p>
        </w:tc>
      </w:tr>
      <w:tr>
        <w:tc>
          <w:tcPr>
            <w:tcW w:type="dxa" w:w="2835"/>
            <w:shd w:val="clear" w:color="auto" w:fill="F4F7F9"/>
          </w:tcPr>
          <w:p>
            <w:pPr>
              <w:spacing w:after="20" w:before="0"/>
            </w:pPr>
            <w:r/>
            <w:r>
              <w:rPr>
                <w:rFonts w:ascii="Lato" w:hAnsi="Lato" w:cs="Lato"/>
                <w:b/>
                <w:i w:val="0"/>
                <w:color w:val="00648B"/>
                <w:sz w:val="16"/>
              </w:rPr>
              <w:t>Statutory / criminal defence costs</w:t>
            </w:r>
          </w:p>
        </w:tc>
        <w:tc>
          <w:tcPr>
            <w:tcW w:type="dxa" w:w="1474"/>
            <w:shd w:val="clear" w:color="auto" w:fill="F4F7F9"/>
          </w:tcPr>
          <w:p>
            <w:pPr>
              <w:spacing w:after="20" w:before="0"/>
            </w:pPr>
            <w:r/>
            <w:r>
              <w:rPr>
                <w:rFonts w:ascii="Lato" w:hAnsi="Lato" w:cs="Lato"/>
                <w:b/>
                <w:i w:val="0"/>
                <w:color w:val="1B7A3D"/>
                <w:sz w:val="15"/>
              </w:rPr>
              <w:t>CONFIRMED</w:t>
            </w:r>
          </w:p>
        </w:tc>
        <w:tc>
          <w:tcPr>
            <w:tcW w:type="dxa" w:w="10943"/>
            <w:shd w:val="clear" w:color="auto" w:fill="F4F7F9"/>
          </w:tcPr>
          <w:p>
            <w:pPr>
              <w:spacing w:after="20" w:before="0"/>
            </w:pPr>
            <w:r/>
            <w:r>
              <w:rPr>
                <w:rFonts w:ascii="Lato" w:hAnsi="Lato" w:cs="Lato"/>
                <w:b w:val="0"/>
                <w:i w:val="0"/>
                <w:color w:val="2B2F33"/>
                <w:sz w:val="15"/>
              </w:rPr>
              <w:t>Tysers funds Bribery/Corporate-Manslaughter/H&amp;S/CDM defence (GBP 1m); Yutree funds criminal-prosecution defence (GBP 250k). TMHCC S12 funds only data-protection defence (broader criminal cover sits in S13/S14).</w:t>
            </w:r>
          </w:p>
        </w:tc>
      </w:tr>
      <w:tr>
        <w:tc>
          <w:tcPr>
            <w:tcW w:type="dxa" w:w="2835"/>
          </w:tcPr>
          <w:p>
            <w:pPr>
              <w:spacing w:after="20" w:before="0"/>
            </w:pPr>
            <w:r/>
            <w:r>
              <w:rPr>
                <w:rFonts w:ascii="Lato" w:hAnsi="Lato" w:cs="Lato"/>
                <w:b/>
                <w:i w:val="0"/>
                <w:color w:val="00648B"/>
                <w:sz w:val="16"/>
              </w:rPr>
              <w:t>AXA XL absolute exclusions</w:t>
            </w:r>
          </w:p>
        </w:tc>
        <w:tc>
          <w:tcPr>
            <w:tcW w:type="dxa" w:w="1474"/>
          </w:tcPr>
          <w:p>
            <w:pPr>
              <w:spacing w:after="20" w:before="0"/>
            </w:pPr>
            <w:r/>
            <w:r>
              <w:rPr>
                <w:rFonts w:ascii="Lato" w:hAnsi="Lato" w:cs="Lato"/>
                <w:b/>
                <w:i w:val="0"/>
                <w:color w:val="1B7A3D"/>
                <w:sz w:val="15"/>
              </w:rPr>
              <w:t>CONFIRMED</w:t>
            </w:r>
          </w:p>
        </w:tc>
        <w:tc>
          <w:tcPr>
            <w:tcW w:type="dxa" w:w="10943"/>
          </w:tcPr>
          <w:p>
            <w:pPr>
              <w:spacing w:after="20" w:before="0"/>
            </w:pPr>
            <w:r/>
            <w:r>
              <w:rPr>
                <w:rFonts w:ascii="Lato" w:hAnsi="Lato" w:cs="Lato"/>
                <w:b w:val="0"/>
                <w:i w:val="0"/>
                <w:color w:val="2B2F33"/>
                <w:sz w:val="15"/>
              </w:rPr>
              <w:t>AXA XL excludes terrorism AND punitive/exemplary damages and fines ABSOLUTELY, and carries a broad communicable-disease and cyber exclusion — evidencing that disciplined restrictions are market-normal and supporting TMHCC's defensible restrictions.</w:t>
            </w:r>
          </w:p>
        </w:tc>
      </w:tr>
      <w:tr>
        <w:tc>
          <w:tcPr>
            <w:tcW w:type="dxa" w:w="2835"/>
            <w:shd w:val="clear" w:color="auto" w:fill="F4F7F9"/>
          </w:tcPr>
          <w:p>
            <w:pPr>
              <w:spacing w:after="20" w:before="0"/>
            </w:pPr>
            <w:r/>
            <w:r>
              <w:rPr>
                <w:rFonts w:ascii="Lato" w:hAnsi="Lato" w:cs="Lato"/>
                <w:b/>
                <w:i w:val="0"/>
                <w:color w:val="00648B"/>
                <w:sz w:val="16"/>
              </w:rPr>
              <w:t>Personal Accident gap</w:t>
            </w:r>
          </w:p>
        </w:tc>
        <w:tc>
          <w:tcPr>
            <w:tcW w:type="dxa" w:w="1474"/>
            <w:shd w:val="clear" w:color="auto" w:fill="F4F7F9"/>
          </w:tcPr>
          <w:p>
            <w:pPr>
              <w:spacing w:after="20" w:before="0"/>
            </w:pPr>
            <w:r/>
            <w:r>
              <w:rPr>
                <w:rFonts w:ascii="Lato" w:hAnsi="Lato" w:cs="Lato"/>
                <w:b/>
                <w:i w:val="0"/>
                <w:color w:val="1B7A3D"/>
                <w:sz w:val="15"/>
              </w:rPr>
              <w:t>CONFIRMED</w:t>
            </w:r>
          </w:p>
        </w:tc>
        <w:tc>
          <w:tcPr>
            <w:tcW w:type="dxa" w:w="10943"/>
            <w:shd w:val="clear" w:color="auto" w:fill="F4F7F9"/>
          </w:tcPr>
          <w:p>
            <w:pPr>
              <w:spacing w:after="20" w:before="0"/>
            </w:pPr>
            <w:r/>
            <w:r>
              <w:rPr>
                <w:rFonts w:ascii="Lato" w:hAnsi="Lato" w:cs="Lato"/>
                <w:b w:val="0"/>
                <w:i w:val="0"/>
                <w:color w:val="2B2F33"/>
                <w:sz w:val="15"/>
              </w:rPr>
              <w:t>Tysers (extensive) and Yutree (assault) provide Personal Accident; TMHCC, Liberty, Allianz, AXA XL and Entertainment Elite do not.</w:t>
            </w:r>
          </w:p>
        </w:tc>
      </w:tr>
    </w:tbl>
    <w:p>
      <w:pPr>
        <w:spacing w:after="120"/>
      </w:pPr>
    </w:p>
    <w:p>
      <w:pPr>
        <w:keepNext/>
        <w:spacing w:before="180" w:after="40"/>
      </w:pPr>
      <w:r>
        <w:rPr>
          <w:rFonts w:ascii="Lato" w:hAnsi="Lato" w:cs="Lato"/>
          <w:b/>
          <w:i w:val="0"/>
          <w:color w:val="00648B"/>
          <w:sz w:val="23"/>
        </w:rPr>
        <w:t>Overall verdict</w:t>
      </w:r>
    </w:p>
    <w:p>
      <w:pPr>
        <w:spacing w:after="80" w:before="0"/>
      </w:pPr>
      <w:r>
        <w:rPr>
          <w:rFonts w:ascii="Lato" w:hAnsi="Lato" w:cs="Lato"/>
          <w:b w:val="0"/>
          <w:i w:val="0"/>
          <w:color w:val="2B2F33"/>
          <w:sz w:val="19"/>
        </w:rPr>
        <w:t>TMHCC remains the broadest wording in the peer group by section count and is the only wording offering Loss of Licence, Commercial Legal Expenses, Management Liability and a genuine standalone Cyber-liability section. Its genuine NARROWER points are: (1) the abuse exclusion (vs Tysers/Liberty/Allianz/EE which are silent); (2) jurisdiction (default ex-US/Canada vs Tysers' worldwide PI); (3) patents (excluded vs Tysers); (4) no Personal Accident section; and (5) S12-only criminal/regulatory defence is narrower on a section-by-section read. Each is addressed in the Phase 05 gap-fill strategy. TMHCC should NOT be described as market-leading on any row the wording does not support — e.g. abuse.</w:t>
      </w:r>
    </w:p>
    <w:sectPr w:rsidR="00FC693F" w:rsidRPr="0006063C" w:rsidSect="00034616">
      <w:headerReference w:type="default" r:id="rId9"/>
      <w:footerReference w:type="default" r:id="rId10"/>
      <w:pgSz w:w="16838" w:h="11906" w:orient="landscape"/>
      <w:pgMar w:top="794" w:right="794" w:bottom="794" w:left="79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Lato" w:hAnsi="Lato" w:cs="Lato"/>
        <w:b w:val="0"/>
        <w:i/>
        <w:color w:val="AEB4B8"/>
        <w:sz w:val="13"/>
      </w:rPr>
      <w:t>Phase 03 — granular legal review by legal effect (not headings). Six competitors. Compared against the final TMHCC wording. Subject to TMHCC legal/underwriting sign-off.</w:t>
    </w:r>
  </w:p>
  <w:p>
    <w:pPr>
      <w:jc w:val="center"/>
    </w:pPr>
    <w:r>
      <w:rPr>
        <w:rFonts w:ascii="Lato" w:hAnsi="Lato" w:cs="Lato"/>
        <w:b w:val="0"/>
        <w:i w:val="0"/>
        <w:color w:val="6C7378"/>
        <w:sz w:val="15"/>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pct" w:w="5000"/>
      <w:jc w:val="center"/>
      <w:tblBorders>
        <w:top w:val="none"/>
        <w:left w:val="none"/>
        <w:bottom w:val="none"/>
        <w:right w:val="none"/>
        <w:insideH w:val="none"/>
        <w:insideV w:val="none"/>
      </w:tblBorders>
      <w:tblLayout w:type="fixed"/>
      <w:tblLook w:firstColumn="1" w:firstRow="1" w:lastColumn="0" w:lastRow="0" w:noHBand="0" w:noVBand="1" w:val="04A0"/>
    </w:tblPr>
    <w:tblGrid>
      <w:gridCol w:w="7625"/>
      <w:gridCol w:w="7625"/>
    </w:tblGrid>
    <w:tr>
      <w:tc>
        <w:tcPr>
          <w:tcW w:type="dxa" w:w="11285"/>
          <w:vAlign w:val="center"/>
        </w:tcPr>
        <w:p>
          <w:pPr>
            <w:spacing w:after="0"/>
          </w:pPr>
          <w:r>
            <w:rPr>
              <w:rFonts w:ascii="Lato" w:hAnsi="Lato" w:cs="Lato"/>
              <w:b/>
              <w:i w:val="0"/>
              <w:color w:val="6C7378"/>
              <w:sz w:val="16"/>
            </w:rPr>
            <w:t>TMHCC Media &amp; Music Combined — Six-Insurer Legal Review (Reset)</w:t>
          </w:r>
        </w:p>
      </w:tc>
      <w:tc>
        <w:tcPr>
          <w:tcW w:type="dxa" w:w="3965"/>
        </w:tcPr>
        <w:p>
          <w:pPr>
            <w:jc w:val="right"/>
          </w:pPr>
          <w:r>
            <w:drawing>
              <wp:inline xmlns:a="http://schemas.openxmlformats.org/drawingml/2006/main" xmlns:pic="http://schemas.openxmlformats.org/drawingml/2006/picture">
                <wp:extent cx="329906" cy="306000"/>
                <wp:docPr id="1" name="Picture 1"/>
                <wp:cNvGraphicFramePr>
                  <a:graphicFrameLocks noChangeAspect="1"/>
                </wp:cNvGraphicFramePr>
                <a:graphic>
                  <a:graphicData uri="http://schemas.openxmlformats.org/drawingml/2006/picture">
                    <pic:pic>
                      <pic:nvPicPr>
                        <pic:cNvPr id="0" name="tmhcc_logo.png"/>
                        <pic:cNvPicPr/>
                      </pic:nvPicPr>
                      <pic:blipFill>
                        <a:blip r:embed="rId1"/>
                        <a:stretch>
                          <a:fillRect/>
                        </a:stretch>
                      </pic:blipFill>
                      <pic:spPr>
                        <a:xfrm>
                          <a:off x="0" y="0"/>
                          <a:ext cx="329906" cy="306000"/>
                        </a:xfrm>
                        <a:prstGeom prst="rect"/>
                      </pic:spPr>
                    </pic:pic>
                  </a:graphicData>
                </a:graphic>
              </wp:inline>
            </w:drawing>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Lato" w:hAnsi="Lato" w:cs="Lato"/>
      <w:color w:val="2B2F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