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Phase 01 · Underwriting Review</w:t>
      </w:r>
    </w:p>
    <w:p>
      <w:pPr>
        <w:spacing w:after="80"/>
        <w:pBdr>
          <w:bottom w:val="single" w:sz="14" w:space="2" w:color="B88A3C"/>
        </w:pBdr>
      </w:pPr>
      <w:r>
        <w:rPr>
          <w:rFonts w:ascii="Lato" w:hAnsi="Lato" w:cs="Lato"/>
          <w:b/>
          <w:i w:val="0"/>
          <w:color w:val="00648B"/>
          <w:sz w:val="60"/>
        </w:rPr>
        <w:t>UW Enhancement Register</w:t>
      </w:r>
    </w:p>
    <w:p>
      <w:pPr>
        <w:spacing w:after="280" w:before="120"/>
      </w:pPr>
      <w:r>
        <w:rPr>
          <w:rFonts w:ascii="Lato" w:hAnsi="Lato" w:cs="Lato"/>
          <w:b w:val="0"/>
          <w:i w:val="0"/>
          <w:color w:val="2B2F33"/>
          <w:sz w:val="26"/>
        </w:rPr>
        <w:t>Rounds 7–9 wording enhancements held for underwriting / legal sign-off</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TMHCC 0223C baseline</w:t>
      </w:r>
    </w:p>
    <w:p>
      <w:pPr>
        <w:pStyle w:val="ListBullet"/>
        <w:spacing w:after="40"/>
        <w:ind w:left="340"/>
      </w:pPr>
      <w:r>
        <w:rPr>
          <w:rFonts w:ascii="Lato" w:hAnsi="Lato" w:cs="Lato"/>
          <w:b w:val="0"/>
          <w:i w:val="0"/>
          <w:color w:val="2B2F33"/>
          <w:sz w:val="19"/>
        </w:rPr>
        <w:t>TMHCC final wording (commit 58b8340)</w:t>
      </w:r>
    </w:p>
    <w:p>
      <w:pPr>
        <w:pStyle w:val="ListBullet"/>
        <w:spacing w:after="40"/>
        <w:ind w:left="340"/>
      </w:pPr>
      <w:r>
        <w:rPr>
          <w:rFonts w:ascii="Lato" w:hAnsi="Lato" w:cs="Lato"/>
          <w:b w:val="0"/>
          <w:i w:val="0"/>
          <w:color w:val="2B2F33"/>
          <w:sz w:val="19"/>
        </w:rPr>
        <w:t>Competitor support: Tysers, Yutree, Entertainment Elite, Allianz (as cited per item)</w:t>
      </w:r>
    </w:p>
    <w:p>
      <w:pPr>
        <w:spacing w:after="200"/>
      </w:pPr>
    </w:p>
    <w:p>
      <w:pPr>
        <w:spacing w:after="60" w:before="0"/>
      </w:pPr>
      <w:r>
        <w:rPr>
          <w:rFonts w:ascii="Lato" w:hAnsi="Lato" w:cs="Lato"/>
          <w:b w:val="0"/>
          <w:i/>
          <w:color w:val="6C7378"/>
          <w:sz w:val="17"/>
        </w:rPr>
        <w:t>Source: TMHCC Media &amp; Music Combined final wording (commit 58b8340) vs 0223C baseline.</w:t>
      </w:r>
    </w:p>
    <w:p>
      <w:pPr>
        <w:spacing w:after="60" w:before="0"/>
      </w:pPr>
      <w:r>
        <w:rPr>
          <w:rFonts w:ascii="Lato" w:hAnsi="Lato" w:cs="Lato"/>
          <w:b w:val="0"/>
          <w:i/>
          <w:color w:val="6C7378"/>
          <w:sz w:val="17"/>
        </w:rPr>
        <w:t>Status of every item below: Not accepted — awaiting UW review.</w:t>
      </w:r>
    </w:p>
    <w:p>
      <w:pPr>
        <w:spacing w:after="60" w:before="0"/>
      </w:pPr>
      <w:r>
        <w:rPr>
          <w:rFonts w:ascii="Lato" w:hAnsi="Lato" w:cs="Lato"/>
          <w:b w:val="0"/>
          <w:i/>
          <w:color w:val="6C7378"/>
          <w:sz w:val="17"/>
        </w:rPr>
        <w:t>These enhancements appear in the Full Redline under the separate tracked-change author 'UW Review Enhancement' (yellow-highlighted).</w:t>
      </w:r>
    </w:p>
    <w:p>
      <w:r>
        <w:br w:type="page"/>
      </w:r>
    </w:p>
    <w:p>
      <w:pPr>
        <w:keepNext/>
        <w:spacing w:before="280" w:after="40"/>
        <w:pBdr>
          <w:bottom w:val="single" w:sz="8" w:space="2" w:color="B88A3C"/>
        </w:pBdr>
      </w:pPr>
      <w:r>
        <w:rPr>
          <w:rFonts w:ascii="Lato" w:hAnsi="Lato" w:cs="Lato"/>
          <w:b/>
          <w:i w:val="0"/>
          <w:color w:val="00648B"/>
          <w:sz w:val="30"/>
        </w:rPr>
        <w:t>Enhancement Register — status summary</w:t>
      </w:r>
    </w:p>
    <w:p>
      <w:pPr>
        <w:spacing w:after="80" w:before="0"/>
      </w:pPr>
      <w:r>
        <w:rPr>
          <w:rFonts w:ascii="Lato" w:hAnsi="Lato" w:cs="Lato"/>
          <w:b w:val="0"/>
          <w:i w:val="0"/>
          <w:color w:val="2B2F33"/>
          <w:sz w:val="19"/>
        </w:rPr>
        <w:t>Every enhancement below is identified separately in the Full Redline (author: 'UW Review Enhancement', yellow highlight) and is NOT accepted pending sign-off. Detail cards follow.</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510"/>
        <w:gridCol w:w="4082"/>
        <w:gridCol w:w="2268"/>
        <w:gridCol w:w="1361"/>
        <w:gridCol w:w="1984"/>
      </w:tblGrid>
      <w:tr>
        <w:tc>
          <w:tcPr>
            <w:tcW w:type="dxa" w:w="510"/>
            <w:shd w:val="clear" w:color="auto" w:fill="00648B"/>
          </w:tcPr>
          <w:p>
            <w:pPr>
              <w:spacing w:after="20" w:before="0"/>
              <w:jc w:val="center"/>
            </w:pPr>
            <w:r/>
            <w:r>
              <w:rPr>
                <w:rFonts w:ascii="Lato" w:hAnsi="Lato" w:cs="Lato"/>
                <w:b/>
                <w:i w:val="0"/>
                <w:color w:val="FFFFFF"/>
                <w:sz w:val="17"/>
              </w:rPr>
              <w:t>#</w:t>
            </w:r>
          </w:p>
        </w:tc>
        <w:tc>
          <w:tcPr>
            <w:tcW w:type="dxa" w:w="4082"/>
            <w:shd w:val="clear" w:color="auto" w:fill="00648B"/>
          </w:tcPr>
          <w:p>
            <w:pPr>
              <w:spacing w:after="20" w:before="0"/>
              <w:jc w:val="center"/>
            </w:pPr>
            <w:r/>
            <w:r>
              <w:rPr>
                <w:rFonts w:ascii="Lato" w:hAnsi="Lato" w:cs="Lato"/>
                <w:b/>
                <w:i w:val="0"/>
                <w:color w:val="FFFFFF"/>
                <w:sz w:val="17"/>
              </w:rPr>
              <w:t>Enhancement</w:t>
            </w:r>
          </w:p>
        </w:tc>
        <w:tc>
          <w:tcPr>
            <w:tcW w:type="dxa" w:w="2268"/>
            <w:shd w:val="clear" w:color="auto" w:fill="00648B"/>
          </w:tcPr>
          <w:p>
            <w:pPr>
              <w:spacing w:after="20" w:before="0"/>
              <w:jc w:val="center"/>
            </w:pPr>
            <w:r/>
            <w:r>
              <w:rPr>
                <w:rFonts w:ascii="Lato" w:hAnsi="Lato" w:cs="Lato"/>
                <w:b/>
                <w:i w:val="0"/>
                <w:color w:val="FFFFFF"/>
                <w:sz w:val="17"/>
              </w:rPr>
              <w:t>Section</w:t>
            </w:r>
          </w:p>
        </w:tc>
        <w:tc>
          <w:tcPr>
            <w:tcW w:type="dxa" w:w="1361"/>
            <w:shd w:val="clear" w:color="auto" w:fill="00648B"/>
          </w:tcPr>
          <w:p>
            <w:pPr>
              <w:spacing w:after="20" w:before="0"/>
              <w:jc w:val="center"/>
            </w:pPr>
            <w:r/>
            <w:r>
              <w:rPr>
                <w:rFonts w:ascii="Lato" w:hAnsi="Lato" w:cs="Lato"/>
                <w:b/>
                <w:i w:val="0"/>
                <w:color w:val="FFFFFF"/>
                <w:sz w:val="17"/>
              </w:rPr>
              <w:t>Priority risk</w:t>
            </w:r>
          </w:p>
        </w:tc>
        <w:tc>
          <w:tcPr>
            <w:tcW w:type="dxa" w:w="1984"/>
            <w:shd w:val="clear" w:color="auto" w:fill="00648B"/>
          </w:tcPr>
          <w:p>
            <w:pPr>
              <w:spacing w:after="20" w:before="0"/>
              <w:jc w:val="center"/>
            </w:pPr>
            <w:r/>
            <w:r>
              <w:rPr>
                <w:rFonts w:ascii="Lato" w:hAnsi="Lato" w:cs="Lato"/>
                <w:b/>
                <w:i w:val="0"/>
                <w:color w:val="FFFFFF"/>
                <w:sz w:val="17"/>
              </w:rPr>
              <w:t>Status</w:t>
            </w:r>
          </w:p>
        </w:tc>
      </w:tr>
      <w:tr>
        <w:tc>
          <w:tcPr>
            <w:tcW w:type="dxa" w:w="510"/>
          </w:tcPr>
          <w:p>
            <w:pPr>
              <w:spacing w:after="20" w:before="0"/>
            </w:pPr>
            <w:r/>
            <w:r>
              <w:rPr>
                <w:rFonts w:ascii="Lato" w:hAnsi="Lato" w:cs="Lato"/>
                <w:b w:val="0"/>
                <w:i w:val="0"/>
                <w:color w:val="2B2F33"/>
                <w:sz w:val="17"/>
              </w:rPr>
              <w:t>1</w:t>
            </w:r>
          </w:p>
        </w:tc>
        <w:tc>
          <w:tcPr>
            <w:tcW w:type="dxa" w:w="4082"/>
          </w:tcPr>
          <w:p>
            <w:pPr>
              <w:spacing w:after="20" w:before="0"/>
            </w:pPr>
            <w:r/>
            <w:r>
              <w:rPr>
                <w:rFonts w:ascii="Lato" w:hAnsi="Lato" w:cs="Lato"/>
                <w:b w:val="0"/>
                <w:i w:val="0"/>
                <w:color w:val="2B2F33"/>
                <w:sz w:val="17"/>
              </w:rPr>
              <w:t>Admission of Liability — claims condition (Sections 1–11)</w:t>
            </w:r>
          </w:p>
        </w:tc>
        <w:tc>
          <w:tcPr>
            <w:tcW w:type="dxa" w:w="2268"/>
          </w:tcPr>
          <w:p>
            <w:pPr>
              <w:spacing w:after="20" w:before="0"/>
            </w:pPr>
            <w:r/>
            <w:r>
              <w:rPr>
                <w:rFonts w:ascii="Lato" w:hAnsi="Lato" w:cs="Lato"/>
                <w:b w:val="0"/>
                <w:i w:val="0"/>
                <w:color w:val="2B2F33"/>
                <w:sz w:val="16"/>
              </w:rPr>
              <w:t>Policy Claims Conditions (Sections 1–11)</w:t>
            </w:r>
          </w:p>
        </w:tc>
        <w:tc>
          <w:tcPr>
            <w:tcW w:type="dxa" w:w="1361"/>
          </w:tcPr>
          <w:p>
            <w:pPr>
              <w:spacing w:after="20" w:before="0"/>
            </w:pPr>
            <w:r/>
            <w:r>
              <w:rPr>
                <w:rFonts w:ascii="Lato" w:hAnsi="Lato" w:cs="Lato"/>
                <w:b w:val="0"/>
                <w:i w:val="0"/>
                <w:color w:val="2B2F33"/>
                <w:sz w:val="17"/>
              </w:rPr>
              <w:t>Low</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2</w:t>
            </w:r>
          </w:p>
        </w:tc>
        <w:tc>
          <w:tcPr>
            <w:tcW w:type="dxa" w:w="4082"/>
            <w:shd w:val="clear" w:color="auto" w:fill="F4F7F9"/>
          </w:tcPr>
          <w:p>
            <w:pPr>
              <w:spacing w:after="20" w:before="0"/>
            </w:pPr>
            <w:r/>
            <w:r>
              <w:rPr>
                <w:rFonts w:ascii="Lato" w:hAnsi="Lato" w:cs="Lato"/>
                <w:b w:val="0"/>
                <w:i w:val="0"/>
                <w:color w:val="2B2F33"/>
                <w:sz w:val="17"/>
              </w:rPr>
              <w:t>Proof of Ownership and Value — new claims condition (Sections 1–11)</w:t>
            </w:r>
          </w:p>
        </w:tc>
        <w:tc>
          <w:tcPr>
            <w:tcW w:type="dxa" w:w="2268"/>
            <w:shd w:val="clear" w:color="auto" w:fill="F4F7F9"/>
          </w:tcPr>
          <w:p>
            <w:pPr>
              <w:spacing w:after="20" w:before="0"/>
            </w:pPr>
            <w:r/>
            <w:r>
              <w:rPr>
                <w:rFonts w:ascii="Lato" w:hAnsi="Lato" w:cs="Lato"/>
                <w:b w:val="0"/>
                <w:i w:val="0"/>
                <w:color w:val="2B2F33"/>
                <w:sz w:val="16"/>
              </w:rPr>
              <w:t>Policy Claims Conditions (Sections 1–11)</w:t>
            </w:r>
          </w:p>
        </w:tc>
        <w:tc>
          <w:tcPr>
            <w:tcW w:type="dxa" w:w="1361"/>
            <w:shd w:val="clear" w:color="auto" w:fill="F4F7F9"/>
          </w:tcPr>
          <w:p>
            <w:pPr>
              <w:spacing w:after="20" w:before="0"/>
            </w:pPr>
            <w:r/>
            <w:r>
              <w:rPr>
                <w:rFonts w:ascii="Lato" w:hAnsi="Lato" w:cs="Lato"/>
                <w:b w:val="0"/>
                <w:i w:val="0"/>
                <w:color w:val="2B2F33"/>
                <w:sz w:val="17"/>
              </w:rPr>
              <w:t>Low–Med</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3</w:t>
            </w:r>
          </w:p>
        </w:tc>
        <w:tc>
          <w:tcPr>
            <w:tcW w:type="dxa" w:w="4082"/>
          </w:tcPr>
          <w:p>
            <w:pPr>
              <w:spacing w:after="20" w:before="0"/>
            </w:pPr>
            <w:r/>
            <w:r>
              <w:rPr>
                <w:rFonts w:ascii="Lato" w:hAnsi="Lato" w:cs="Lato"/>
                <w:b w:val="0"/>
                <w:i w:val="0"/>
                <w:color w:val="2B2F33"/>
                <w:sz w:val="17"/>
              </w:rPr>
              <w:t>Money – Premises extension (Section 8 Money)</w:t>
            </w:r>
          </w:p>
        </w:tc>
        <w:tc>
          <w:tcPr>
            <w:tcW w:type="dxa" w:w="2268"/>
          </w:tcPr>
          <w:p>
            <w:pPr>
              <w:spacing w:after="20" w:before="0"/>
            </w:pPr>
            <w:r/>
            <w:r>
              <w:rPr>
                <w:rFonts w:ascii="Lato" w:hAnsi="Lato" w:cs="Lato"/>
                <w:b w:val="0"/>
                <w:i w:val="0"/>
                <w:color w:val="2B2F33"/>
                <w:sz w:val="16"/>
              </w:rPr>
              <w:t>Section 8 — Money</w:t>
            </w:r>
          </w:p>
        </w:tc>
        <w:tc>
          <w:tcPr>
            <w:tcW w:type="dxa" w:w="1361"/>
          </w:tcPr>
          <w:p>
            <w:pPr>
              <w:spacing w:after="20" w:before="0"/>
            </w:pPr>
            <w:r/>
            <w:r>
              <w:rPr>
                <w:rFonts w:ascii="Lato" w:hAnsi="Lato" w:cs="Lato"/>
                <w:b w:val="0"/>
                <w:i w:val="0"/>
                <w:color w:val="2B2F33"/>
                <w:sz w:val="17"/>
              </w:rPr>
              <w:t>Low–Med</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4</w:t>
            </w:r>
          </w:p>
        </w:tc>
        <w:tc>
          <w:tcPr>
            <w:tcW w:type="dxa" w:w="4082"/>
            <w:shd w:val="clear" w:color="auto" w:fill="F4F7F9"/>
          </w:tcPr>
          <w:p>
            <w:pPr>
              <w:spacing w:after="20" w:before="0"/>
            </w:pPr>
            <w:r/>
            <w:r>
              <w:rPr>
                <w:rFonts w:ascii="Lato" w:hAnsi="Lato" w:cs="Lato"/>
                <w:b w:val="0"/>
                <w:i w:val="0"/>
                <w:color w:val="2B2F33"/>
                <w:sz w:val="17"/>
              </w:rPr>
              <w:t>Money – Touring, Festivals and Events extension (Section 8 Money)</w:t>
            </w:r>
          </w:p>
        </w:tc>
        <w:tc>
          <w:tcPr>
            <w:tcW w:type="dxa" w:w="2268"/>
            <w:shd w:val="clear" w:color="auto" w:fill="F4F7F9"/>
          </w:tcPr>
          <w:p>
            <w:pPr>
              <w:spacing w:after="20" w:before="0"/>
            </w:pPr>
            <w:r/>
            <w:r>
              <w:rPr>
                <w:rFonts w:ascii="Lato" w:hAnsi="Lato" w:cs="Lato"/>
                <w:b w:val="0"/>
                <w:i w:val="0"/>
                <w:color w:val="2B2F33"/>
                <w:sz w:val="16"/>
              </w:rPr>
              <w:t>Section 8 — Money</w:t>
            </w:r>
          </w:p>
        </w:tc>
        <w:tc>
          <w:tcPr>
            <w:tcW w:type="dxa" w:w="1361"/>
            <w:shd w:val="clear" w:color="auto" w:fill="F4F7F9"/>
          </w:tcPr>
          <w:p>
            <w:pPr>
              <w:spacing w:after="20" w:before="0"/>
            </w:pPr>
            <w:r/>
            <w:r>
              <w:rPr>
                <w:rFonts w:ascii="Lato" w:hAnsi="Lato" w:cs="Lato"/>
                <w:b w:val="0"/>
                <w:i w:val="0"/>
                <w:color w:val="2B2F33"/>
                <w:sz w:val="17"/>
              </w:rPr>
              <w:t>Medium</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5</w:t>
            </w:r>
          </w:p>
        </w:tc>
        <w:tc>
          <w:tcPr>
            <w:tcW w:type="dxa" w:w="4082"/>
          </w:tcPr>
          <w:p>
            <w:pPr>
              <w:spacing w:after="20" w:before="0"/>
            </w:pPr>
            <w:r/>
            <w:r>
              <w:rPr>
                <w:rFonts w:ascii="Lato" w:hAnsi="Lato" w:cs="Lato"/>
                <w:b w:val="0"/>
                <w:i w:val="0"/>
                <w:color w:val="2B2F33"/>
                <w:sz w:val="17"/>
              </w:rPr>
              <w:t>'Employee' definition broadened (Section 13 Commercial Legal Expenses)</w:t>
            </w:r>
          </w:p>
        </w:tc>
        <w:tc>
          <w:tcPr>
            <w:tcW w:type="dxa" w:w="2268"/>
          </w:tcPr>
          <w:p>
            <w:pPr>
              <w:spacing w:after="20" w:before="0"/>
            </w:pPr>
            <w:r/>
            <w:r>
              <w:rPr>
                <w:rFonts w:ascii="Lato" w:hAnsi="Lato" w:cs="Lato"/>
                <w:b w:val="0"/>
                <w:i w:val="0"/>
                <w:color w:val="2B2F33"/>
                <w:sz w:val="16"/>
              </w:rPr>
              <w:t>Section 13 — Commercial Legal Expenses (Definitions)</w:t>
            </w:r>
          </w:p>
        </w:tc>
        <w:tc>
          <w:tcPr>
            <w:tcW w:type="dxa" w:w="1361"/>
          </w:tcPr>
          <w:p>
            <w:pPr>
              <w:spacing w:after="20" w:before="0"/>
            </w:pPr>
            <w:r/>
            <w:r>
              <w:rPr>
                <w:rFonts w:ascii="Lato" w:hAnsi="Lato" w:cs="Lato"/>
                <w:b w:val="0"/>
                <w:i w:val="0"/>
                <w:color w:val="2B2F33"/>
                <w:sz w:val="17"/>
              </w:rPr>
              <w:t>Low–Med</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6</w:t>
            </w:r>
          </w:p>
        </w:tc>
        <w:tc>
          <w:tcPr>
            <w:tcW w:type="dxa" w:w="4082"/>
            <w:shd w:val="clear" w:color="auto" w:fill="F4F7F9"/>
          </w:tcPr>
          <w:p>
            <w:pPr>
              <w:spacing w:after="20" w:before="0"/>
            </w:pPr>
            <w:r/>
            <w:r>
              <w:rPr>
                <w:rFonts w:ascii="Lato" w:hAnsi="Lato" w:cs="Lato"/>
                <w:b w:val="0"/>
                <w:i w:val="0"/>
                <w:color w:val="2B2F33"/>
                <w:sz w:val="17"/>
              </w:rPr>
              <w:t>'Computer System' definition aligned to Section 15 (Section 12 Media Liability)</w:t>
            </w:r>
          </w:p>
        </w:tc>
        <w:tc>
          <w:tcPr>
            <w:tcW w:type="dxa" w:w="2268"/>
            <w:shd w:val="clear" w:color="auto" w:fill="F4F7F9"/>
          </w:tcPr>
          <w:p>
            <w:pPr>
              <w:spacing w:after="20" w:before="0"/>
            </w:pPr>
            <w:r/>
            <w:r>
              <w:rPr>
                <w:rFonts w:ascii="Lato" w:hAnsi="Lato" w:cs="Lato"/>
                <w:b w:val="0"/>
                <w:i w:val="0"/>
                <w:color w:val="2B2F33"/>
                <w:sz w:val="16"/>
              </w:rPr>
              <w:t>Section 12 — Media Liability (Definitions)</w:t>
            </w:r>
          </w:p>
        </w:tc>
        <w:tc>
          <w:tcPr>
            <w:tcW w:type="dxa" w:w="1361"/>
            <w:shd w:val="clear" w:color="auto" w:fill="F4F7F9"/>
          </w:tcPr>
          <w:p>
            <w:pPr>
              <w:spacing w:after="20" w:before="0"/>
            </w:pPr>
            <w:r/>
            <w:r>
              <w:rPr>
                <w:rFonts w:ascii="Lato" w:hAnsi="Lato" w:cs="Lato"/>
                <w:b w:val="0"/>
                <w:i w:val="0"/>
                <w:color w:val="2B2F33"/>
                <w:sz w:val="17"/>
              </w:rPr>
              <w:t>Medium</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7</w:t>
            </w:r>
          </w:p>
        </w:tc>
        <w:tc>
          <w:tcPr>
            <w:tcW w:type="dxa" w:w="4082"/>
          </w:tcPr>
          <w:p>
            <w:pPr>
              <w:spacing w:after="20" w:before="0"/>
            </w:pPr>
            <w:r/>
            <w:r>
              <w:rPr>
                <w:rFonts w:ascii="Lato" w:hAnsi="Lato" w:cs="Lato"/>
                <w:b w:val="0"/>
                <w:i w:val="0"/>
                <w:color w:val="2B2F33"/>
                <w:sz w:val="17"/>
              </w:rPr>
              <w:t>Representation Costs at Investigations &amp; Inquiries (Section 12)</w:t>
            </w:r>
          </w:p>
        </w:tc>
        <w:tc>
          <w:tcPr>
            <w:tcW w:type="dxa" w:w="2268"/>
          </w:tcPr>
          <w:p>
            <w:pPr>
              <w:spacing w:after="20" w:before="0"/>
            </w:pPr>
            <w:r/>
            <w:r>
              <w:rPr>
                <w:rFonts w:ascii="Lato" w:hAnsi="Lato" w:cs="Lato"/>
                <w:b w:val="0"/>
                <w:i w:val="0"/>
                <w:color w:val="2B2F33"/>
                <w:sz w:val="16"/>
              </w:rPr>
              <w:t>Section 12 — Media Liability</w:t>
            </w:r>
          </w:p>
        </w:tc>
        <w:tc>
          <w:tcPr>
            <w:tcW w:type="dxa" w:w="1361"/>
          </w:tcPr>
          <w:p>
            <w:pPr>
              <w:spacing w:after="20" w:before="0"/>
            </w:pPr>
            <w:r/>
            <w:r>
              <w:rPr>
                <w:rFonts w:ascii="Lato" w:hAnsi="Lato" w:cs="Lato"/>
                <w:b w:val="0"/>
                <w:i w:val="0"/>
                <w:color w:val="2B2F33"/>
                <w:sz w:val="17"/>
              </w:rPr>
              <w:t>Low</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8</w:t>
            </w:r>
          </w:p>
        </w:tc>
        <w:tc>
          <w:tcPr>
            <w:tcW w:type="dxa" w:w="4082"/>
            <w:shd w:val="clear" w:color="auto" w:fill="F4F7F9"/>
          </w:tcPr>
          <w:p>
            <w:pPr>
              <w:spacing w:after="20" w:before="0"/>
            </w:pPr>
            <w:r/>
            <w:r>
              <w:rPr>
                <w:rFonts w:ascii="Lato" w:hAnsi="Lato" w:cs="Lato"/>
                <w:b w:val="0"/>
                <w:i w:val="0"/>
                <w:color w:val="2B2F33"/>
                <w:sz w:val="17"/>
              </w:rPr>
              <w:t>Costs for the Protection of Journalistic Sources (Section 12)</w:t>
            </w:r>
          </w:p>
        </w:tc>
        <w:tc>
          <w:tcPr>
            <w:tcW w:type="dxa" w:w="2268"/>
            <w:shd w:val="clear" w:color="auto" w:fill="F4F7F9"/>
          </w:tcPr>
          <w:p>
            <w:pPr>
              <w:spacing w:after="20" w:before="0"/>
            </w:pPr>
            <w:r/>
            <w:r>
              <w:rPr>
                <w:rFonts w:ascii="Lato" w:hAnsi="Lato" w:cs="Lato"/>
                <w:b w:val="0"/>
                <w:i w:val="0"/>
                <w:color w:val="2B2F33"/>
                <w:sz w:val="16"/>
              </w:rPr>
              <w:t>Section 12 — Media Liability</w:t>
            </w:r>
          </w:p>
        </w:tc>
        <w:tc>
          <w:tcPr>
            <w:tcW w:type="dxa" w:w="1361"/>
            <w:shd w:val="clear" w:color="auto" w:fill="F4F7F9"/>
          </w:tcPr>
          <w:p>
            <w:pPr>
              <w:spacing w:after="20" w:before="0"/>
            </w:pPr>
            <w:r/>
            <w:r>
              <w:rPr>
                <w:rFonts w:ascii="Lato" w:hAnsi="Lato" w:cs="Lato"/>
                <w:b w:val="0"/>
                <w:i w:val="0"/>
                <w:color w:val="2B2F33"/>
                <w:sz w:val="17"/>
              </w:rPr>
              <w:t>Low</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9</w:t>
            </w:r>
          </w:p>
        </w:tc>
        <w:tc>
          <w:tcPr>
            <w:tcW w:type="dxa" w:w="4082"/>
          </w:tcPr>
          <w:p>
            <w:pPr>
              <w:spacing w:after="20" w:before="0"/>
            </w:pPr>
            <w:r/>
            <w:r>
              <w:rPr>
                <w:rFonts w:ascii="Lato" w:hAnsi="Lato" w:cs="Lato"/>
                <w:b w:val="0"/>
                <w:i w:val="0"/>
                <w:color w:val="2B2F33"/>
                <w:sz w:val="17"/>
              </w:rPr>
              <w:t>Criminal &amp; Regulatory Defence Costs cross-reference + contribution (Section 12)</w:t>
            </w:r>
          </w:p>
        </w:tc>
        <w:tc>
          <w:tcPr>
            <w:tcW w:type="dxa" w:w="2268"/>
          </w:tcPr>
          <w:p>
            <w:pPr>
              <w:spacing w:after="20" w:before="0"/>
            </w:pPr>
            <w:r/>
            <w:r>
              <w:rPr>
                <w:rFonts w:ascii="Lato" w:hAnsi="Lato" w:cs="Lato"/>
                <w:b w:val="0"/>
                <w:i w:val="0"/>
                <w:color w:val="2B2F33"/>
                <w:sz w:val="16"/>
              </w:rPr>
              <w:t>Section 12 — Media Liability</w:t>
            </w:r>
          </w:p>
        </w:tc>
        <w:tc>
          <w:tcPr>
            <w:tcW w:type="dxa" w:w="1361"/>
          </w:tcPr>
          <w:p>
            <w:pPr>
              <w:spacing w:after="20" w:before="0"/>
            </w:pPr>
            <w:r/>
            <w:r>
              <w:rPr>
                <w:rFonts w:ascii="Lato" w:hAnsi="Lato" w:cs="Lato"/>
                <w:b w:val="0"/>
                <w:i w:val="0"/>
                <w:color w:val="2B2F33"/>
                <w:sz w:val="17"/>
              </w:rPr>
              <w:t>Low–Med</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10</w:t>
            </w:r>
          </w:p>
        </w:tc>
        <w:tc>
          <w:tcPr>
            <w:tcW w:type="dxa" w:w="4082"/>
            <w:shd w:val="clear" w:color="auto" w:fill="F4F7F9"/>
          </w:tcPr>
          <w:p>
            <w:pPr>
              <w:spacing w:after="20" w:before="0"/>
            </w:pPr>
            <w:r/>
            <w:r>
              <w:rPr>
                <w:rFonts w:ascii="Lato" w:hAnsi="Lato" w:cs="Lato"/>
                <w:b w:val="0"/>
                <w:i w:val="0"/>
                <w:color w:val="2B2F33"/>
                <w:sz w:val="17"/>
              </w:rPr>
              <w:t>Distributors &amp; Purchasers extension (Section 12)</w:t>
            </w:r>
          </w:p>
        </w:tc>
        <w:tc>
          <w:tcPr>
            <w:tcW w:type="dxa" w:w="2268"/>
            <w:shd w:val="clear" w:color="auto" w:fill="F4F7F9"/>
          </w:tcPr>
          <w:p>
            <w:pPr>
              <w:spacing w:after="20" w:before="0"/>
            </w:pPr>
            <w:r/>
            <w:r>
              <w:rPr>
                <w:rFonts w:ascii="Lato" w:hAnsi="Lato" w:cs="Lato"/>
                <w:b w:val="0"/>
                <w:i w:val="0"/>
                <w:color w:val="2B2F33"/>
                <w:sz w:val="16"/>
              </w:rPr>
              <w:t>Section 12 — Media Liability</w:t>
            </w:r>
          </w:p>
        </w:tc>
        <w:tc>
          <w:tcPr>
            <w:tcW w:type="dxa" w:w="1361"/>
            <w:shd w:val="clear" w:color="auto" w:fill="F4F7F9"/>
          </w:tcPr>
          <w:p>
            <w:pPr>
              <w:spacing w:after="20" w:before="0"/>
            </w:pPr>
            <w:r/>
            <w:r>
              <w:rPr>
                <w:rFonts w:ascii="Lato" w:hAnsi="Lato" w:cs="Lato"/>
                <w:b w:val="0"/>
                <w:i w:val="0"/>
                <w:color w:val="2B2F33"/>
                <w:sz w:val="17"/>
              </w:rPr>
              <w:t>Medium</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11</w:t>
            </w:r>
          </w:p>
        </w:tc>
        <w:tc>
          <w:tcPr>
            <w:tcW w:type="dxa" w:w="4082"/>
          </w:tcPr>
          <w:p>
            <w:pPr>
              <w:spacing w:after="20" w:before="0"/>
            </w:pPr>
            <w:r/>
            <w:r>
              <w:rPr>
                <w:rFonts w:ascii="Lato" w:hAnsi="Lato" w:cs="Lato"/>
                <w:b w:val="0"/>
                <w:i w:val="0"/>
                <w:color w:val="2B2F33"/>
                <w:sz w:val="17"/>
              </w:rPr>
              <w:t>Worldwide Territory &amp; Jurisdiction (Optional) extension (Section 12)</w:t>
            </w:r>
          </w:p>
        </w:tc>
        <w:tc>
          <w:tcPr>
            <w:tcW w:type="dxa" w:w="2268"/>
          </w:tcPr>
          <w:p>
            <w:pPr>
              <w:spacing w:after="20" w:before="0"/>
            </w:pPr>
            <w:r/>
            <w:r>
              <w:rPr>
                <w:rFonts w:ascii="Lato" w:hAnsi="Lato" w:cs="Lato"/>
                <w:b w:val="0"/>
                <w:i w:val="0"/>
                <w:color w:val="2B2F33"/>
                <w:sz w:val="16"/>
              </w:rPr>
              <w:t>Section 12 — Media Liability</w:t>
            </w:r>
          </w:p>
        </w:tc>
        <w:tc>
          <w:tcPr>
            <w:tcW w:type="dxa" w:w="1361"/>
          </w:tcPr>
          <w:p>
            <w:pPr>
              <w:spacing w:after="20" w:before="0"/>
            </w:pPr>
            <w:r/>
            <w:r>
              <w:rPr>
                <w:rFonts w:ascii="Lato" w:hAnsi="Lato" w:cs="Lato"/>
                <w:b/>
                <w:i w:val="0"/>
                <w:color w:val="C0563F"/>
                <w:sz w:val="17"/>
              </w:rPr>
              <w:t>HIGH (US/Can)</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12</w:t>
            </w:r>
          </w:p>
        </w:tc>
        <w:tc>
          <w:tcPr>
            <w:tcW w:type="dxa" w:w="4082"/>
            <w:shd w:val="clear" w:color="auto" w:fill="F4F7F9"/>
          </w:tcPr>
          <w:p>
            <w:pPr>
              <w:spacing w:after="20" w:before="0"/>
            </w:pPr>
            <w:r/>
            <w:r>
              <w:rPr>
                <w:rFonts w:ascii="Lato" w:hAnsi="Lato" w:cs="Lato"/>
                <w:b w:val="0"/>
                <w:i w:val="0"/>
                <w:color w:val="2B2F33"/>
                <w:sz w:val="17"/>
              </w:rPr>
              <w:t>King's Counsel determination clause (Section 12 disputes)</w:t>
            </w:r>
          </w:p>
        </w:tc>
        <w:tc>
          <w:tcPr>
            <w:tcW w:type="dxa" w:w="2268"/>
            <w:shd w:val="clear" w:color="auto" w:fill="F4F7F9"/>
          </w:tcPr>
          <w:p>
            <w:pPr>
              <w:spacing w:after="20" w:before="0"/>
            </w:pPr>
            <w:r/>
            <w:r>
              <w:rPr>
                <w:rFonts w:ascii="Lato" w:hAnsi="Lato" w:cs="Lato"/>
                <w:b w:val="0"/>
                <w:i w:val="0"/>
                <w:color w:val="2B2F33"/>
                <w:sz w:val="16"/>
              </w:rPr>
              <w:t>Section 12 — Media Liability</w:t>
            </w:r>
          </w:p>
        </w:tc>
        <w:tc>
          <w:tcPr>
            <w:tcW w:type="dxa" w:w="1361"/>
            <w:shd w:val="clear" w:color="auto" w:fill="F4F7F9"/>
          </w:tcPr>
          <w:p>
            <w:pPr>
              <w:spacing w:after="20" w:before="0"/>
            </w:pPr>
            <w:r/>
            <w:r>
              <w:rPr>
                <w:rFonts w:ascii="Lato" w:hAnsi="Lato" w:cs="Lato"/>
                <w:b w:val="0"/>
                <w:i w:val="0"/>
                <w:color w:val="2B2F33"/>
                <w:sz w:val="17"/>
              </w:rPr>
              <w:t>Low</w:t>
            </w:r>
          </w:p>
        </w:tc>
        <w:tc>
          <w:tcPr>
            <w:tcW w:type="dxa" w:w="1984"/>
            <w:shd w:val="clear" w:color="auto" w:fill="F4F7F9"/>
          </w:tcPr>
          <w:p>
            <w:pPr>
              <w:spacing w:after="20" w:before="0"/>
            </w:pPr>
            <w:r/>
            <w:r>
              <w:rPr>
                <w:rFonts w:ascii="Lato" w:hAnsi="Lato" w:cs="Lato"/>
                <w:b w:val="0"/>
                <w:i w:val="0"/>
                <w:color w:val="2B2F33"/>
                <w:sz w:val="16"/>
              </w:rPr>
              <w:t>Awaiting UW review</w:t>
            </w:r>
          </w:p>
        </w:tc>
      </w:tr>
      <w:tr>
        <w:tc>
          <w:tcPr>
            <w:tcW w:type="dxa" w:w="510"/>
          </w:tcPr>
          <w:p>
            <w:pPr>
              <w:spacing w:after="20" w:before="0"/>
            </w:pPr>
            <w:r/>
            <w:r>
              <w:rPr>
                <w:rFonts w:ascii="Lato" w:hAnsi="Lato" w:cs="Lato"/>
                <w:b w:val="0"/>
                <w:i w:val="0"/>
                <w:color w:val="2B2F33"/>
                <w:sz w:val="17"/>
              </w:rPr>
              <w:t>13</w:t>
            </w:r>
          </w:p>
        </w:tc>
        <w:tc>
          <w:tcPr>
            <w:tcW w:type="dxa" w:w="4082"/>
          </w:tcPr>
          <w:p>
            <w:pPr>
              <w:spacing w:after="20" w:before="0"/>
            </w:pPr>
            <w:r/>
            <w:r>
              <w:rPr>
                <w:rFonts w:ascii="Lato" w:hAnsi="Lato" w:cs="Lato"/>
                <w:b w:val="0"/>
                <w:i w:val="0"/>
                <w:color w:val="2B2F33"/>
                <w:sz w:val="17"/>
              </w:rPr>
              <w:t>Pollution negligent-advice write-back (Section 12)</w:t>
            </w:r>
          </w:p>
        </w:tc>
        <w:tc>
          <w:tcPr>
            <w:tcW w:type="dxa" w:w="2268"/>
          </w:tcPr>
          <w:p>
            <w:pPr>
              <w:spacing w:after="20" w:before="0"/>
            </w:pPr>
            <w:r/>
            <w:r>
              <w:rPr>
                <w:rFonts w:ascii="Lato" w:hAnsi="Lato" w:cs="Lato"/>
                <w:b w:val="0"/>
                <w:i w:val="0"/>
                <w:color w:val="2B2F33"/>
                <w:sz w:val="16"/>
              </w:rPr>
              <w:t>Section 12 — Media Liability (Seepage &amp; Pollution exclusion)</w:t>
            </w:r>
          </w:p>
        </w:tc>
        <w:tc>
          <w:tcPr>
            <w:tcW w:type="dxa" w:w="1361"/>
          </w:tcPr>
          <w:p>
            <w:pPr>
              <w:spacing w:after="20" w:before="0"/>
            </w:pPr>
            <w:r/>
            <w:r>
              <w:rPr>
                <w:rFonts w:ascii="Lato" w:hAnsi="Lato" w:cs="Lato"/>
                <w:b w:val="0"/>
                <w:i w:val="0"/>
                <w:color w:val="2B2F33"/>
                <w:sz w:val="17"/>
              </w:rPr>
              <w:t>Medium</w:t>
            </w:r>
          </w:p>
        </w:tc>
        <w:tc>
          <w:tcPr>
            <w:tcW w:type="dxa" w:w="1984"/>
          </w:tcPr>
          <w:p>
            <w:pPr>
              <w:spacing w:after="20" w:before="0"/>
            </w:pPr>
            <w:r/>
            <w:r>
              <w:rPr>
                <w:rFonts w:ascii="Lato" w:hAnsi="Lato" w:cs="Lato"/>
                <w:b w:val="0"/>
                <w:i w:val="0"/>
                <w:color w:val="2B2F33"/>
                <w:sz w:val="16"/>
              </w:rPr>
              <w:t>Awaiting UW review</w:t>
            </w:r>
          </w:p>
        </w:tc>
      </w:tr>
      <w:tr>
        <w:tc>
          <w:tcPr>
            <w:tcW w:type="dxa" w:w="510"/>
            <w:shd w:val="clear" w:color="auto" w:fill="F4F7F9"/>
          </w:tcPr>
          <w:p>
            <w:pPr>
              <w:spacing w:after="20" w:before="0"/>
            </w:pPr>
            <w:r/>
            <w:r>
              <w:rPr>
                <w:rFonts w:ascii="Lato" w:hAnsi="Lato" w:cs="Lato"/>
                <w:b w:val="0"/>
                <w:i w:val="0"/>
                <w:color w:val="2B2F33"/>
                <w:sz w:val="17"/>
              </w:rPr>
              <w:t>14</w:t>
            </w:r>
          </w:p>
        </w:tc>
        <w:tc>
          <w:tcPr>
            <w:tcW w:type="dxa" w:w="4082"/>
            <w:shd w:val="clear" w:color="auto" w:fill="F4F7F9"/>
          </w:tcPr>
          <w:p>
            <w:pPr>
              <w:spacing w:after="20" w:before="0"/>
            </w:pPr>
            <w:r/>
            <w:r>
              <w:rPr>
                <w:rFonts w:ascii="Lato" w:hAnsi="Lato" w:cs="Lato"/>
                <w:b w:val="0"/>
                <w:i w:val="0"/>
                <w:color w:val="2B2F33"/>
                <w:sz w:val="17"/>
              </w:rPr>
              <w:t>Presentational / labelling refinements (technical)</w:t>
            </w:r>
          </w:p>
        </w:tc>
        <w:tc>
          <w:tcPr>
            <w:tcW w:type="dxa" w:w="2268"/>
            <w:shd w:val="clear" w:color="auto" w:fill="F4F7F9"/>
          </w:tcPr>
          <w:p>
            <w:pPr>
              <w:spacing w:after="20" w:before="0"/>
            </w:pPr>
            <w:r/>
            <w:r>
              <w:rPr>
                <w:rFonts w:ascii="Lato" w:hAnsi="Lato" w:cs="Lato"/>
                <w:b w:val="0"/>
                <w:i w:val="0"/>
                <w:color w:val="2B2F33"/>
                <w:sz w:val="16"/>
              </w:rPr>
              <w:t>Section 3 (BI) + Section 15 (Cyber) + Contents</w:t>
            </w:r>
          </w:p>
        </w:tc>
        <w:tc>
          <w:tcPr>
            <w:tcW w:type="dxa" w:w="1361"/>
            <w:shd w:val="clear" w:color="auto" w:fill="F4F7F9"/>
          </w:tcPr>
          <w:p>
            <w:pPr>
              <w:spacing w:after="20" w:before="0"/>
            </w:pPr>
            <w:r/>
            <w:r>
              <w:rPr>
                <w:rFonts w:ascii="Lato" w:hAnsi="Lato" w:cs="Lato"/>
                <w:b w:val="0"/>
                <w:i w:val="0"/>
                <w:color w:val="2B2F33"/>
                <w:sz w:val="17"/>
              </w:rPr>
              <w:t>Nil–Low</w:t>
            </w:r>
          </w:p>
        </w:tc>
        <w:tc>
          <w:tcPr>
            <w:tcW w:type="dxa" w:w="1984"/>
            <w:shd w:val="clear" w:color="auto" w:fill="F4F7F9"/>
          </w:tcPr>
          <w:p>
            <w:pPr>
              <w:spacing w:after="20" w:before="0"/>
            </w:pPr>
            <w:r/>
            <w:r>
              <w:rPr>
                <w:rFonts w:ascii="Lato" w:hAnsi="Lato" w:cs="Lato"/>
                <w:b w:val="0"/>
                <w:i w:val="0"/>
                <w:color w:val="2B2F33"/>
                <w:sz w:val="16"/>
              </w:rPr>
              <w:t>Awaiting UW review</w:t>
            </w:r>
          </w:p>
        </w:tc>
      </w:tr>
    </w:tbl>
    <w:p>
      <w:r>
        <w:br w:type="page"/>
      </w:r>
    </w:p>
    <w:p>
      <w:pPr>
        <w:keepNext/>
        <w:spacing w:before="280" w:after="40"/>
        <w:pBdr>
          <w:bottom w:val="single" w:sz="8" w:space="2" w:color="B88A3C"/>
        </w:pBdr>
      </w:pPr>
      <w:r>
        <w:rPr>
          <w:rFonts w:ascii="Lato" w:hAnsi="Lato" w:cs="Lato"/>
          <w:b/>
          <w:i w:val="0"/>
          <w:color w:val="00648B"/>
          <w:sz w:val="30"/>
        </w:rPr>
        <w:t>Enhancement detail cards</w:t>
      </w:r>
    </w:p>
    <w:p>
      <w:pPr>
        <w:keepNext/>
        <w:spacing w:before="180" w:after="40"/>
      </w:pPr>
      <w:r>
        <w:rPr>
          <w:rFonts w:ascii="Lato" w:hAnsi="Lato" w:cs="Lato"/>
          <w:b/>
          <w:i w:val="0"/>
          <w:color w:val="00648B"/>
          <w:sz w:val="23"/>
        </w:rPr>
        <w:t>1. Admission of Liability — claims condition (Sections 1–11)</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Policy Claims Conditions (Sections 1–11)</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Conduct of Claims / Admission of Liability clause</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The previous BLANKET condition precedent ('the Insured must not admit liability…') was replaced with an ordinary condition qualified so the Insurer may only rely on a breach to the extent it has been prejudiced.</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Fairness / Insurance Act 2015 alignment; avoids disproportionate forfeiture of an otherwise valid claim for a technical breach.</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Market practice / ICOBS fair-treatment expectations (not a competitor copy).</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 — mildly reduces the Insurer's contractual remedy; favourable to the insured.</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 claims &amp; underwriting to confirm the relaxation of the condition-precedent status is acceptable.</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2. Proof of Ownership and Value — new claims condition (Sections 1–11)</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Policy Claims Conditions (Sections 1–11)</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Inserted between 'Notification to the Police' and 'Terms of Settlement'</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New condition requiring the Insured, on request, to produce reasonable proof of ownership and value of property the subject of a claim.</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Claims-handling hygiene for theft / property / equipment claims; reduces disputed-value claims.</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Market norm; mirrors money/property security conditions in Tysers and Entertainment Elite.</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Low–medium — confirm intended as an ordinary condition (NOT a condition precedent).</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 confirm status (ordinary condition vs CP).</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3. Money – Premises extension (Section 8 Money)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8 — Money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Inserted after the 'Loss of Keys' clause (first of two new Schedule-referenced extensions)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Extends cover to Damage to Money belonging to/for which the Insured is responsible whilst at the Premises, up to the Schedule sub-limit; expressly does not reduce, replace or restrict existing Money cover.</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Restructure of Money into two clean, Schedule-referenced sub-limits (Premises vs Touring/Events).</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Entertainment Elite event-money section + the 0523 'Venue' enhancement.</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Low–medium — Schedule sub-limit set by underwriting.</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 underwriting to set sub-limit and confirm appetite.</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4. Money – Touring, Festivals and Events extension (Section 8 Money)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8 — Money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Inserted after 'Money – Premises'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Covers Money in transit / temporary storage / locked safe / personal custody at any venue, festival site, box office or touring/event location, including: (a) damage to safes, containers, money belts; (b) damage to clothing, personal effects and personal Money following assault/violence; and (c) employee dishonesty discovered within 12 months. Schedule sub-limit; does not reduce existing cover.</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Touring/festival/event Money exposure not clearly addressed in the base wording.</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Entertainment Elite Money Section (theft, safes, assault, employee dishonesty GBP 25k); 0523 wording.</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Medium — dishonesty and assault heads; Schedule sub-limit and conditions to be set by underwriting.</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 underwriting to confirm heads, sub-limit and dishonesty discovery period.</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5. 'Employee' definition broadened (Section 13 Commercial Legal Expenses)</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13 — Commercial Legal Expenses (Definitions)</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Replaces the narrow S13 'Employee' definition</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Broadened to include labour-only / self-employed-supplying-labour, hired or borrowed staff, and voluntary helpers, work-experience / training-scheme participants, secondees, students and prospective employees being assessed.</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Aligns the S13 employee class with the broader definitions used elsewhere and by competitors (the general, S12 and S14 definitions were already broad).</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(p9) and Yutree (p88) broad 'employee' definitions.</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Low–medium — widens the protected legal-expenses class.</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 confirm acceptable widening of the S13 employee class.</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6. 'Computer System' definition aligned to Section 15 (Section 12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 (Definitions)</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Replaces the narrow S12 'Computer System' definition</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Broad definition (computer/computing, electronic, wireless, web and cloud systems, hardware/software/firmware/data/networks) expressly stated to be consistent with the meaning of 'Computer System' in Section 15 (CyberGuard™).</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Removes an inconsistency between S12 and the standalone cyber section; avoids coverage gaps/overlaps.</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Internal consistency with the broad S15 CyberGuard definition.</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Medium — broadens the S12 computer-related triggers.</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underwriting to confirm the wider definition is intended for Media Liability.</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7. Representation Costs at Investigations &amp; Inquiries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extension after the IP-pursuit clause</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Up to GBP 25,000 in the aggregate, with prior written consent, for attendance/representation at an official examination, investigation or inquiry likely to give rise to a claim. Forms part of, and does not increase, the Indemnity Limit.</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Regulators increasingly investigate content/advertising; S12 alone otherwise looked narrower.</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clause 8.15 (GBP 25,000).</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 — small sub-limit; consent condition.</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confirm sub-limit and consent mechanics.</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8. Costs for the Protection of Journalistic Sources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extension following Representation Costs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Up to the Schedule sub-limit, with prior written consent, for legal costs to oppose a subpoena/court order requiring disclosure of a confidential journalistic source, where counsel advises reasonable grounds to oppose. Within the Indemnity Limit.</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Broker-sensitive cover for editorial, news and publishing clients.</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clause 8.13.</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 — low-frequency; consent + counsel test.</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confirm sub-limit.</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9. Criminal &amp; Regulatory Defence Costs cross-reference + contribution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clause following Source-Protection costs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Signposts that criminal/regulatory defence may be available under S13 (Legal Expenses) and S14 (Management Liability), and adds an Insurer contribution up to the Schedule sub-limit (excess of S13/S14), excluding fines, penalties and costs after a plea/finding of guilt.</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On a section-by-section read of S12 alone, TMHCC looked narrower than competitors that fund statutory defence.</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(statutory defence GBP 1m); Yutree (criminal-prosecution defence GBP 250k).</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Low–medium — largely a clarifying cross-reference; small contribution.</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confirm interaction with S13/S14 and sub-limit.</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10. Distributors &amp; Purchasers extension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extension after 'Indemnity to Principals'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Extends indemnity to purchasers/co-producers/licensees/distributors of the Insured's Media Material (only where the Insured is contractually obliged), capped at 5x the Indemnity Limit in the aggregate, subject to Insurer control of defence and notification during the period.</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Production/distribution clients expect their distribution chain to be protected.</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clause 8.7 (up to 5x the limit).</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Medium — 5x aggregate exposure; control-of-defence condition essential.</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confirm acceptable aggregate multiple.</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11. Worldwide Territory &amp; Jurisdiction (Optional) extension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optional extension after Distributors &amp; Purchasers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Schedule-operative only. Where operative, amends the Geographical Limits to anywhere in the world and the Jurisdiction to worldwide; USA/Canada actions covered only if 'USA/Canada Jurisdiction' is ADDITIONALLY stated operative. Default remains worldwide ex-US/Canada.</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Media clients with global digital distribution can face actions outside the default jurisdiction (was Gap 2).</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Tysers PI is worldwide.</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HIGH if US/Canada operative — price, sub-limit and higher excess; retain ex-US/Canada as default.</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underwriting + confirm reinsurance treaty territory before offering US/Canada.</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12. King's Counsel determination clause (Section 12 disputes)</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New clause after the S12 dispute/mediation provision</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On a defence/settlement dispute, either party may refer the matter to a mutually-agreed King's Counsel of the English Bar (or Bar Council appointee) whose opinion binds both parties; costs allocated fairly.</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Drafting-clarity improvement; reduces coverage friction on defence disputes.</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Yutree King's Counsel arbitration clause.</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Low — procedural.</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confirm cost-allocation wording.</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13. Pollution negligent-advice write-back (Section 12)</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12 — Media Liability (Seepage &amp; Pollution exclusion)</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Proviso added to the S12 Seepage &amp; Pollution exclusion</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The exclusion does not apply to a claim arising solely from a negligent act/error/omission in the Insured's Media Business Services (not from the Insured's own pollution), expressly NOT extending to Bodily Injury, property damage or clean-up/remediation costs; Schedule sub-limit.</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Closes a genuine E&amp;O gap created by the outright pollution exclusion (negligent advice/specification).</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Yutree pollution write-back for the insured's own negligence.</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Medium — drafting must keep BI, property damage and contamination excluded; cap tightly.</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Yes (S12) — careful legal drafting review essential.</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w:t>
            </w:r>
          </w:p>
        </w:tc>
      </w:tr>
    </w:tbl>
    <w:p>
      <w:pPr>
        <w:spacing w:after="120"/>
      </w:pPr>
    </w:p>
    <w:p>
      <w:pPr>
        <w:keepNext/>
        <w:spacing w:before="180" w:after="40"/>
      </w:pPr>
      <w:r>
        <w:rPr>
          <w:rFonts w:ascii="Lato" w:hAnsi="Lato" w:cs="Lato"/>
          <w:b/>
          <w:i w:val="0"/>
          <w:color w:val="00648B"/>
          <w:sz w:val="23"/>
        </w:rPr>
        <w:t>14. Presentational / labelling refinements (technical)</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7"/>
              </w:rPr>
              <w:t>Section</w:t>
            </w:r>
          </w:p>
        </w:tc>
        <w:tc>
          <w:tcPr>
            <w:tcW w:type="dxa" w:w="7938"/>
          </w:tcPr>
          <w:p>
            <w:pPr>
              <w:spacing w:after="20" w:before="0"/>
            </w:pPr>
            <w:r/>
            <w:r>
              <w:rPr>
                <w:rFonts w:ascii="Lato" w:hAnsi="Lato" w:cs="Lato"/>
                <w:b w:val="0"/>
                <w:i w:val="0"/>
                <w:color w:val="2B2F33"/>
                <w:sz w:val="17"/>
              </w:rPr>
              <w:t>Section 3 (BI) + Section 15 (Cyber) + Contents</w:t>
            </w:r>
          </w:p>
        </w:tc>
      </w:tr>
      <w:tr>
        <w:tc>
          <w:tcPr>
            <w:tcW w:type="dxa" w:w="2268"/>
          </w:tcPr>
          <w:p>
            <w:pPr>
              <w:spacing w:after="20" w:before="0"/>
            </w:pPr>
            <w:r/>
            <w:r>
              <w:rPr>
                <w:rFonts w:ascii="Lato" w:hAnsi="Lato" w:cs="Lato"/>
                <w:b/>
                <w:i w:val="0"/>
                <w:color w:val="00648B"/>
                <w:sz w:val="17"/>
              </w:rPr>
              <w:t>Clause / location</w:t>
            </w:r>
          </w:p>
        </w:tc>
        <w:tc>
          <w:tcPr>
            <w:tcW w:type="dxa" w:w="7938"/>
          </w:tcPr>
          <w:p>
            <w:pPr>
              <w:spacing w:after="20" w:before="0"/>
            </w:pPr>
            <w:r/>
            <w:r>
              <w:rPr>
                <w:rFonts w:ascii="Lato" w:hAnsi="Lato" w:cs="Lato"/>
                <w:b w:val="0"/>
                <w:i w:val="0"/>
                <w:color w:val="2B2F33"/>
                <w:sz w:val="17"/>
              </w:rPr>
              <w:t>Definitions / headings</w:t>
            </w:r>
          </w:p>
        </w:tc>
      </w:tr>
      <w:tr>
        <w:tc>
          <w:tcPr>
            <w:tcW w:type="dxa" w:w="2268"/>
          </w:tcPr>
          <w:p>
            <w:pPr>
              <w:spacing w:after="20" w:before="0"/>
            </w:pPr>
            <w:r/>
            <w:r>
              <w:rPr>
                <w:rFonts w:ascii="Lato" w:hAnsi="Lato" w:cs="Lato"/>
                <w:b/>
                <w:i w:val="0"/>
                <w:color w:val="00648B"/>
                <w:sz w:val="17"/>
              </w:rPr>
              <w:t>Wording inserted / amended</w:t>
            </w:r>
          </w:p>
        </w:tc>
        <w:tc>
          <w:tcPr>
            <w:tcW w:type="dxa" w:w="7938"/>
          </w:tcPr>
          <w:p>
            <w:pPr>
              <w:spacing w:after="20" w:before="0"/>
            </w:pPr>
            <w:r/>
            <w:r>
              <w:rPr>
                <w:rFonts w:ascii="Lato" w:hAnsi="Lato" w:cs="Lato"/>
                <w:b w:val="0"/>
                <w:i w:val="0"/>
                <w:color w:val="2B2F33"/>
                <w:sz w:val="17"/>
              </w:rPr>
              <w:t>'Accounts Receivable' re-labelled '(Book Debts)' in S3; Section 15 standardised to 'CyberGuard™ (Cyber Liability)' in the body heading and Contents.</w:t>
            </w:r>
          </w:p>
        </w:tc>
      </w:tr>
      <w:tr>
        <w:tc>
          <w:tcPr>
            <w:tcW w:type="dxa" w:w="2268"/>
          </w:tcPr>
          <w:p>
            <w:pPr>
              <w:spacing w:after="20" w:before="0"/>
            </w:pPr>
            <w:r/>
            <w:r>
              <w:rPr>
                <w:rFonts w:ascii="Lato" w:hAnsi="Lato" w:cs="Lato"/>
                <w:b/>
                <w:i w:val="0"/>
                <w:color w:val="00648B"/>
                <w:sz w:val="17"/>
              </w:rPr>
              <w:t>Why it was added</w:t>
            </w:r>
          </w:p>
        </w:tc>
        <w:tc>
          <w:tcPr>
            <w:tcW w:type="dxa" w:w="7938"/>
          </w:tcPr>
          <w:p>
            <w:pPr>
              <w:spacing w:after="20" w:before="0"/>
            </w:pPr>
            <w:r/>
            <w:r>
              <w:rPr>
                <w:rFonts w:ascii="Lato" w:hAnsi="Lato" w:cs="Lato"/>
                <w:b w:val="0"/>
                <w:i w:val="0"/>
                <w:color w:val="2B2F33"/>
                <w:sz w:val="17"/>
              </w:rPr>
              <w:t>Like-for-like clarity (Allianz names 'Book Debts'); consistent cyber-section naming.</w:t>
            </w:r>
          </w:p>
        </w:tc>
      </w:tr>
      <w:tr>
        <w:tc>
          <w:tcPr>
            <w:tcW w:type="dxa" w:w="2268"/>
          </w:tcPr>
          <w:p>
            <w:pPr>
              <w:spacing w:after="20" w:before="0"/>
            </w:pPr>
            <w:r/>
            <w:r>
              <w:rPr>
                <w:rFonts w:ascii="Lato" w:hAnsi="Lato" w:cs="Lato"/>
                <w:b/>
                <w:i w:val="0"/>
                <w:color w:val="00648B"/>
                <w:sz w:val="17"/>
              </w:rPr>
              <w:t>Gap / competitor support</w:t>
            </w:r>
          </w:p>
        </w:tc>
        <w:tc>
          <w:tcPr>
            <w:tcW w:type="dxa" w:w="7938"/>
          </w:tcPr>
          <w:p>
            <w:pPr>
              <w:spacing w:after="20" w:before="0"/>
            </w:pPr>
            <w:r/>
            <w:r>
              <w:rPr>
                <w:rFonts w:ascii="Lato" w:hAnsi="Lato" w:cs="Lato"/>
                <w:b w:val="0"/>
                <w:i w:val="0"/>
                <w:color w:val="2B2F33"/>
                <w:sz w:val="17"/>
              </w:rPr>
              <w:t>Allianz (Book Debts head); internal consistency.</w:t>
            </w:r>
          </w:p>
        </w:tc>
      </w:tr>
      <w:tr>
        <w:tc>
          <w:tcPr>
            <w:tcW w:type="dxa" w:w="2268"/>
          </w:tcPr>
          <w:p>
            <w:pPr>
              <w:spacing w:after="20" w:before="0"/>
            </w:pPr>
            <w:r/>
            <w:r>
              <w:rPr>
                <w:rFonts w:ascii="Lato" w:hAnsi="Lato" w:cs="Lato"/>
                <w:b/>
                <w:i w:val="0"/>
                <w:color w:val="00648B"/>
                <w:sz w:val="17"/>
              </w:rPr>
              <w:t>Underwriting / legal risk</w:t>
            </w:r>
          </w:p>
        </w:tc>
        <w:tc>
          <w:tcPr>
            <w:tcW w:type="dxa" w:w="7938"/>
          </w:tcPr>
          <w:p>
            <w:pPr>
              <w:spacing w:after="20" w:before="0"/>
            </w:pPr>
            <w:r/>
            <w:r>
              <w:rPr>
                <w:rFonts w:ascii="Lato" w:hAnsi="Lato" w:cs="Lato"/>
                <w:b w:val="0"/>
                <w:i w:val="0"/>
                <w:color w:val="2B2F33"/>
                <w:sz w:val="17"/>
              </w:rPr>
              <w:t>Nil–low — labelling only; no change to cover intended.</w:t>
            </w:r>
          </w:p>
        </w:tc>
      </w:tr>
      <w:tr>
        <w:tc>
          <w:tcPr>
            <w:tcW w:type="dxa" w:w="2268"/>
          </w:tcPr>
          <w:p>
            <w:pPr>
              <w:spacing w:after="20" w:before="0"/>
            </w:pPr>
            <w:r/>
            <w:r>
              <w:rPr>
                <w:rFonts w:ascii="Lato" w:hAnsi="Lato" w:cs="Lato"/>
                <w:b/>
                <w:i w:val="0"/>
                <w:color w:val="00648B"/>
                <w:sz w:val="17"/>
              </w:rPr>
              <w:t>Sign-off required</w:t>
            </w:r>
          </w:p>
        </w:tc>
        <w:tc>
          <w:tcPr>
            <w:tcW w:type="dxa" w:w="7938"/>
          </w:tcPr>
          <w:p>
            <w:pPr>
              <w:spacing w:after="20" w:before="0"/>
            </w:pPr>
            <w:r/>
            <w:r>
              <w:rPr>
                <w:rFonts w:ascii="Lato" w:hAnsi="Lato" w:cs="Lato"/>
                <w:b w:val="0"/>
                <w:i w:val="0"/>
                <w:color w:val="2B2F33"/>
                <w:sz w:val="17"/>
              </w:rPr>
              <w:t>Confirm no cover change is implied by the relabelling.</w:t>
            </w:r>
          </w:p>
        </w:tc>
      </w:tr>
      <w:tr>
        <w:tc>
          <w:tcPr>
            <w:tcW w:type="dxa" w:w="2268"/>
          </w:tcPr>
          <w:p>
            <w:pPr>
              <w:spacing w:after="20" w:before="0"/>
            </w:pPr>
            <w:r/>
            <w:r>
              <w:rPr>
                <w:rFonts w:ascii="Lato" w:hAnsi="Lato" w:cs="Lato"/>
                <w:b/>
                <w:i w:val="0"/>
                <w:color w:val="00648B"/>
                <w:sz w:val="17"/>
              </w:rPr>
              <w:t>Status</w:t>
            </w:r>
          </w:p>
        </w:tc>
        <w:tc>
          <w:tcPr>
            <w:tcW w:type="dxa" w:w="7938"/>
          </w:tcPr>
          <w:p>
            <w:pPr>
              <w:spacing w:after="20" w:before="0"/>
            </w:pPr>
            <w:r/>
            <w:r>
              <w:rPr>
                <w:rFonts w:ascii="Lato" w:hAnsi="Lato" w:cs="Lato"/>
                <w:b/>
                <w:i w:val="0"/>
                <w:color w:val="C0563F"/>
                <w:sz w:val="17"/>
              </w:rPr>
              <w:t>Not accepted — awaiting UW review (technical)</w:t>
            </w:r>
          </w:p>
        </w:tc>
      </w:tr>
    </w:tbl>
    <w:p>
      <w:pPr>
        <w:spacing w:after="120"/>
      </w:pP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UW REVIEW ENHANCEMENT REGISTER — these items are tracked but NOT accepted; each requires underwriting/legal sign-off. Companion to the Full Redline (Phase 01).</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33"/>
      <w:gridCol w:w="4933"/>
    </w:tblGrid>
    <w:tr>
      <w:tc>
        <w:tcPr>
          <w:tcW w:type="dxa" w:w="7301"/>
          <w:vAlign w:val="center"/>
        </w:tcPr>
        <w:p>
          <w:pPr>
            <w:spacing w:after="0"/>
          </w:pPr>
          <w:r>
            <w:rPr>
              <w:rFonts w:ascii="Lato" w:hAnsi="Lato" w:cs="Lato"/>
              <w:b/>
              <w:i w:val="0"/>
              <w:color w:val="6C7378"/>
              <w:sz w:val="16"/>
            </w:rPr>
            <w:t>TMHCC Media &amp; Music Combined — UW Enhancement Register</w:t>
          </w:r>
        </w:p>
      </w:tc>
      <w:tc>
        <w:tcPr>
          <w:tcW w:type="dxa" w:w="2565"/>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