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drawing>
          <wp:inline xmlns:a="http://schemas.openxmlformats.org/drawingml/2006/main" xmlns:pic="http://schemas.openxmlformats.org/drawingml/2006/picture">
            <wp:extent cx="582188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hcc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188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spacing w:after="40"/>
      </w:pPr>
      <w:r>
        <w:rPr>
          <w:rFonts w:ascii="Lato" w:hAnsi="Lato" w:cs="Lato"/>
          <w:b/>
          <w:i w:val="0"/>
          <w:color w:val="B88A3C"/>
          <w:sz w:val="22"/>
          <w:caps w:val="true"/>
        </w:rPr>
        <w:t>Phase 00 · Source Inventory</w:t>
      </w:r>
    </w:p>
    <w:p>
      <w:pPr>
        <w:spacing w:after="80"/>
        <w:pBdr>
          <w:bottom w:val="single" w:sz="14" w:space="2" w:color="B88A3C"/>
        </w:pBdr>
      </w:pPr>
      <w:r>
        <w:rPr>
          <w:rFonts w:ascii="Lato" w:hAnsi="Lato" w:cs="Lato"/>
          <w:b/>
          <w:i w:val="0"/>
          <w:color w:val="00648B"/>
          <w:sz w:val="60"/>
        </w:rPr>
        <w:t>Source Inventory &amp; Workplan</w:t>
      </w:r>
    </w:p>
    <w:p>
      <w:pPr>
        <w:spacing w:after="280" w:before="120"/>
      </w:pPr>
      <w:r>
        <w:rPr>
          <w:rFonts w:ascii="Lato" w:hAnsi="Lato" w:cs="Lato"/>
          <w:b w:val="0"/>
          <w:i w:val="0"/>
          <w:color w:val="2B2F33"/>
          <w:sz w:val="26"/>
        </w:rPr>
        <w:t>Documents reviewed, baseline/final identification, and the eight-phase workplan</w:t>
      </w:r>
    </w:p>
    <w:p>
      <w:pPr>
        <w:keepNext/>
        <w:spacing w:before="120" w:after="20"/>
      </w:pPr>
      <w:r>
        <w:rPr>
          <w:rFonts w:ascii="Lato" w:hAnsi="Lato" w:cs="Lato"/>
          <w:b/>
          <w:i w:val="0"/>
          <w:color w:val="B88A3C"/>
          <w:sz w:val="20"/>
        </w:rPr>
        <w:t>Wordings reviewed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TMHCC 0223C (baseline) · TMHCC final (58b8340)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Six competitors: Tysers, Yutree, Liberty, Allianz, AXA XL, Entertainment Elite</w:t>
      </w:r>
    </w:p>
    <w:p>
      <w:pPr>
        <w:spacing w:after="200"/>
      </w:pP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Prepared as the first step of the TMHCC full-redline reset + six-insurer legal review + PolicyBridge workflow blueprint.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TRUE baseline: TMHCC 0223C. Final wording: TMHCC Media &amp; Music Combined at commit 58b8340.</w:t>
      </w:r>
    </w:p>
    <w:p>
      <w:pPr>
        <w:spacing w:after="60" w:before="0"/>
      </w:pPr>
      <w:r>
        <w:rPr>
          <w:rFonts w:ascii="Lato" w:hAnsi="Lato" w:cs="Lato"/>
          <w:b w:val="0"/>
          <w:i/>
          <w:color w:val="6C7378"/>
          <w:sz w:val="17"/>
        </w:rPr>
        <w:t>No cover invented; comparisons are by legal effect, grounded in the parsed wordings.</w:t>
      </w:r>
    </w:p>
    <w:p>
      <w:r>
        <w:br w:type="page"/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1. Documents found and reviewed</w:t>
      </w:r>
    </w:p>
    <w:tbl>
      <w:tblPr>
        <w:tblW w:type="dxa" w:w="1020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3742"/>
        <w:gridCol w:w="1701"/>
        <w:gridCol w:w="4763"/>
      </w:tblGrid>
      <w:tr>
        <w:tc>
          <w:tcPr>
            <w:tcW w:type="dxa" w:w="374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Document</w:t>
            </w:r>
          </w:p>
        </w:tc>
        <w:tc>
          <w:tcPr>
            <w:tcW w:type="dxa" w:w="170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476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Location / notes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0223C — OLD wording (TRUE BASELINE)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/app/work/source/OLD_0223C.docx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The true comparison baseline. 2713 non-empty paragraphs; 13-section structure (Information Technology = old Section 4).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TMHCC final wording (commit 58b8340)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/app/deliverables/TMHCC_Media_Combined_0526_FINAL_Clean.docx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Latest clean final wording (round-9 state at commit 58b8340). 3805 non-empty paragraphs; 15-section structure.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1 — Tysers 'Focus' Media (capacity Zurich)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/app/work/compare/src/Tysers.pdf + txt/Tysers.txt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9 sections; full media package incl. PI/E&amp;O and Personal Accident &amp; Business Travel.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2 — Yutree Media &amp; Entertainment (capacity AXA)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/app/work/compare/src/Yutree.pdf + txt/Yutree.txt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12 sections; media package incl. PI-Media/PI-Events; broad Abuse definition + exclusion.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3 — Liberty Entertainment Combined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/app/work/compare/src/Liberty.pdf + txt/Liberty.txt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6 sections; property/BI/liability package (no media/PI/cyber/legal/mgmt).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4 — Allianz Entertainment 'Complete'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/app/work/compare/src/Allianz.pdf + txt/Allianz.txt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8 sections (+ Terrorism); property/BI/liability package; splits ICOW/Book Debts.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5 — AXA XL Media &amp; Entertainment Combined Corporate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/app/work/compare/src/AXAXL.pdf + txt/AXAXL.txt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3 operative sections (MD/BI/Liability); terrorism &amp; punitive excluded absolutely; broad cyber exclusion; explicit Abuse exclusion 7.8.1.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Competitor 6 — Entertainment Elite (v3.2)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/app/work/r9/src/EntertainmentElite.pdf + txt/EntertainmentElite.txt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8 sections; property/BI/Money/liability/terrorism; detailed event-Money section (source of the Money restructure).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Current coverage comparison (client-facing)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/app/deliverables/TMHCC_Media_Coverage_Comparison_FULL.docx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Round-8/9 6-competitor matrix. To be REBUILT in Phase 04 (cleaner one-page matrix + appendix).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Current gap-fill / enhancement strategy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/app/deliverables/TMHCC_Media_GapFill_Enhancement_Strategy.docx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Round-8/9 internal gap analysis. To be UPDATED in Phase 05 from the refreshed legal review.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Current summary of cover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/app/deliverables/TMHCC_Media_Combined_Summary_of_Cover_FINAL.docx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Round-8/9 summary of cover (final wording only).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Current summary of changes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/app/deliverables/TMHCC_Media_Combined_Summary_of_Changes_FINAL.docx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Round-8 summary of changes. NOTE: prior change docs were NOT a holistic 0223C→final redline — the reason for Phases 01–02.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Existing tracked-changes versions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C0563F"/>
                <w:sz w:val="16"/>
              </w:rPr>
              <w:t>Found — NOT used as the redline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/app/deliverables/TMHCC_Media_Combined_0526_FINAL_TrackedChanges.docx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Prior tracked-changes showed only recent enhancements on a clean 0526 baseline; NOT relied upon. Phase 01 regenerates the full 0223C→final redline from scratch.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Grounded competitor analysis data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/app/work/compare/cmpdata.py + /app/work/r8/cmpdata9.py + r8data.py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Section matrix, media-feature matrix, exclusions, conditions, sub-limits, competitor profiles, gaps — all derived from the parsed wordings (reused + refined this round).</w:t>
            </w:r>
          </w:p>
        </w:tc>
      </w:tr>
      <w:tr>
        <w:tc>
          <w:tcPr>
            <w:tcW w:type="dxa" w:w="374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Branding template</w:t>
            </w:r>
          </w:p>
        </w:tc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/app/work/source/TEMPLATE_SummaryOfCover.docx + /app/work/compare/tpl/Template.docx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Tokio Marine HCC branding (logo, Lato, teal/gold/rust palette, legend) used for all generated documents.</w:t>
            </w:r>
          </w:p>
        </w:tc>
      </w:tr>
      <w:tr>
        <w:tc>
          <w:tcPr>
            <w:tcW w:type="dxa" w:w="374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6"/>
              </w:rPr>
              <w:t>PolicyBridge app project files</w:t>
            </w:r>
          </w:p>
        </w:tc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Found</w:t>
            </w:r>
          </w:p>
        </w:tc>
        <w:tc>
          <w:tcPr>
            <w:tcW w:type="dxa" w:w="4763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/app/backend (FastAPI Document Centre) + /app/frontend (React)</w:t>
            </w:r>
          </w:p>
          <w:p>
            <w:pPr>
              <w:spacing w:after="20" w:before="0"/>
            </w:pPr>
            <w:r>
              <w:rPr>
                <w:rFonts w:ascii="Lato" w:hAnsi="Lato" w:cs="Lato"/>
                <w:b w:val="0"/>
                <w:i w:val="0"/>
                <w:color w:val="2B2F33"/>
                <w:sz w:val="15"/>
              </w:rPr>
              <w:t>Used ONLY for the Phase 07 audit/rebuild prompt; not modified by this workflow.</w:t>
            </w:r>
          </w:p>
        </w:tc>
      </w:tr>
    </w:tbl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2. Baseline and final wording identification</w:t>
      </w: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1F5"/>
            <w:tcBorders>
              <w:top w:val="single" w:sz="4" w:space="0" w:color="00648B"/>
              <w:left w:val="single" w:sz="22" w:space="0" w:color="00648B"/>
              <w:bottom w:val="single" w:sz="4" w:space="0" w:color="00648B"/>
              <w:right w:val="single" w:sz="4" w:space="0" w:color="00648B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9"/>
              </w:rPr>
              <w:t xml:space="preserve">TRUE comparison baseline: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0223C old wording — /app/work/source/OLD_0223C.docx. This 13-section wording (with a standalone Information Technology Section 4) is the genuine prior contract clients are migrating FROM.</w:t>
            </w:r>
          </w:p>
        </w:tc>
      </w:tr>
    </w:tbl>
    <w:p>
      <w:pPr>
        <w:spacing w:after="80"/>
      </w:pPr>
    </w:p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FF6E6"/>
            <w:tcBorders>
              <w:top w:val="single" w:sz="4" w:space="0" w:color="B88A3C"/>
              <w:left w:val="single" w:sz="22" w:space="0" w:color="B88A3C"/>
              <w:bottom w:val="single" w:sz="4" w:space="0" w:color="B88A3C"/>
              <w:right w:val="single" w:sz="4" w:space="0" w:color="B88A3C"/>
            </w:tcBorders>
          </w:tcPr>
          <w:p>
            <w:pPr>
              <w:spacing w:after="40" w:before="40"/>
            </w:pPr>
            <w:r/>
            <w:r>
              <w:rPr>
                <w:rFonts w:ascii="Lato" w:hAnsi="Lato" w:cs="Lato"/>
                <w:b/>
                <w:i w:val="0"/>
                <w:color w:val="B88A3C"/>
                <w:sz w:val="19"/>
              </w:rPr>
              <w:t xml:space="preserve">Final wording (commit 58b8340):  </w:t>
            </w:r>
            <w:r>
              <w:rPr>
                <w:rFonts w:ascii="Lato" w:hAnsi="Lato" w:cs="Lato"/>
                <w:b w:val="0"/>
                <w:i w:val="0"/>
                <w:color w:val="2B2F33"/>
                <w:sz w:val="19"/>
              </w:rPr>
              <w:t>TMHCC Media &amp; Music Combined final clean wording — /app/deliverables/TMHCC_Media_Combined_0526_FINAL_Clean.docx. 15-section structure. The repository HEAD is a few auto-commits ahead of 58b8340 but the working-tree final clean wording is the round-9 state and is treated as the final wording for this comparison (assumption logged below).</w:t>
            </w:r>
          </w:p>
        </w:tc>
      </w:tr>
    </w:tbl>
    <w:p>
      <w:pPr>
        <w:spacing w:after="80"/>
      </w:pP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3. Six competitor wordings under review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Tysers ‘Focus’ Media (capacity Zurich) — 9 sections, full media package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Yutree Media &amp; Entertainment (capacity AXA) — 12 sections, broad Abuse definition + exclusion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Liberty Entertainment Combined — 6 sections, property/BI/liability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Allianz Entertainment ‘Complete’ — 8 sections (+Terrorism), property/BI/liability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AXA XL Media &amp; Entertainment Combined Corporate — 3 operative sections; explicit Abuse exclusion (7.8.1)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Entertainment Elite (v3.2) — 8 sections, detailed event-Money section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4. Existing supporting documents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Coverage comparison: </w:t>
      </w:r>
      <w:r>
        <w:rPr>
          <w:rFonts w:ascii="Lato" w:hAnsi="Lato" w:cs="Lato"/>
          <w:b w:val="0"/>
          <w:i w:val="0"/>
          <w:color w:val="2B2F33"/>
          <w:sz w:val="19"/>
        </w:rPr>
        <w:t>Coverage comparison (client-facing) — present; to be REBUILT (Phase 04).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Gap-fill strategy: </w:t>
      </w:r>
      <w:r>
        <w:rPr>
          <w:rFonts w:ascii="Lato" w:hAnsi="Lato" w:cs="Lato"/>
          <w:b w:val="0"/>
          <w:i w:val="0"/>
          <w:color w:val="2B2F33"/>
          <w:sz w:val="19"/>
        </w:rPr>
        <w:t>Gap-fill / enhancement strategy — present; to be UPDATED (Phase 05).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Summary of cover: </w:t>
      </w:r>
      <w:r>
        <w:rPr>
          <w:rFonts w:ascii="Lato" w:hAnsi="Lato" w:cs="Lato"/>
          <w:b w:val="0"/>
          <w:i w:val="0"/>
          <w:color w:val="2B2F33"/>
          <w:sz w:val="19"/>
        </w:rPr>
        <w:t>Summary of cover — present (final wording only).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/>
          <w:i w:val="0"/>
          <w:color w:val="00648B"/>
          <w:sz w:val="19"/>
        </w:rPr>
        <w:t xml:space="preserve">Summary of changes: </w:t>
      </w:r>
      <w:r>
        <w:rPr>
          <w:rFonts w:ascii="Lato" w:hAnsi="Lato" w:cs="Lato"/>
          <w:b w:val="0"/>
          <w:i w:val="0"/>
          <w:color w:val="2B2F33"/>
          <w:sz w:val="19"/>
        </w:rPr>
        <w:t>Summary of changes — present, but NOT a holistic 0223C→final redline.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5. Existing tracked changes — and why they are NOT relied upon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An existing TrackedChanges document is present (TMHCC_Media_Combined_0526_FINAL_TrackedChanges.docx). It shows only the recent enhancement edits applied to an already-clean 0526 baseline — NOT the full set of changes from 0223C. It is therefore NOT used as the redline. Phase 01 regenerates a complete 0223C→final tracked-changes redline directly from the two wordings.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6. UW enhancements — identifiable?</w:t>
      </w:r>
    </w:p>
    <w:p>
      <w:pPr>
        <w:spacing w:after="80" w:before="0"/>
      </w:pPr>
      <w:r>
        <w:rPr>
          <w:rFonts w:ascii="Lato" w:hAnsi="Lato" w:cs="Lato"/>
          <w:b w:val="0"/>
          <w:i w:val="0"/>
          <w:color w:val="2B2F33"/>
          <w:sz w:val="19"/>
        </w:rPr>
        <w:t>Yes. The rounds 7–9 enhancements still requiring underwriting/legal review are individually identifiable from the wording-build engine and have been catalogued. In the Phase 01 redline they are tagged under a separate tracked-change author ('UW Review Enhancement', yellow-highlighted) and listed in the UW Enhancement Register (14 items).</w:t>
      </w:r>
    </w:p>
    <w:tbl>
      <w:tblPr>
        <w:tblW w:type="dxa" w:w="1020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6804"/>
        <w:gridCol w:w="3402"/>
      </w:tblGrid>
      <w:tr>
        <w:tc>
          <w:tcPr>
            <w:tcW w:type="dxa" w:w="6803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Auto-detected in redline</w:t>
            </w:r>
          </w:p>
        </w:tc>
        <w:tc>
          <w:tcPr>
            <w:tcW w:type="dxa" w:w="3402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Count of tagged paragraphs</w:t>
            </w:r>
          </w:p>
        </w:tc>
      </w:tr>
      <w:tr>
        <w:tc>
          <w:tcPr>
            <w:tcW w:type="dxa" w:w="680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Computer System definition aligned to S15 (S12)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</w:t>
            </w:r>
          </w:p>
        </w:tc>
      </w:tr>
      <w:tr>
        <w:tc>
          <w:tcPr>
            <w:tcW w:type="dxa" w:w="680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Costs for the Protection of Journalistic Sources (S12)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2</w:t>
            </w:r>
          </w:p>
        </w:tc>
      </w:tr>
      <w:tr>
        <w:tc>
          <w:tcPr>
            <w:tcW w:type="dxa" w:w="680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Criminal &amp; Regulatory Defence Costs cross-reference (S12)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3</w:t>
            </w:r>
          </w:p>
        </w:tc>
      </w:tr>
      <w:tr>
        <w:tc>
          <w:tcPr>
            <w:tcW w:type="dxa" w:w="680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Distributors &amp; Purchasers extension (S12)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2</w:t>
            </w:r>
          </w:p>
        </w:tc>
      </w:tr>
      <w:tr>
        <w:tc>
          <w:tcPr>
            <w:tcW w:type="dxa" w:w="680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Employee definition broadened (S13 Legal Expenses)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</w:t>
            </w:r>
          </w:p>
        </w:tc>
      </w:tr>
      <w:tr>
        <w:tc>
          <w:tcPr>
            <w:tcW w:type="dxa" w:w="680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King's Counsel determination clause (S12)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</w:t>
            </w:r>
          </w:p>
        </w:tc>
      </w:tr>
      <w:tr>
        <w:tc>
          <w:tcPr>
            <w:tcW w:type="dxa" w:w="680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Money - Premises extension (S8)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</w:t>
            </w:r>
          </w:p>
        </w:tc>
      </w:tr>
      <w:tr>
        <w:tc>
          <w:tcPr>
            <w:tcW w:type="dxa" w:w="680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Money - Touring, Festivals and Events extension (S8)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5</w:t>
            </w:r>
          </w:p>
        </w:tc>
      </w:tr>
      <w:tr>
        <w:tc>
          <w:tcPr>
            <w:tcW w:type="dxa" w:w="680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Money extensions (S8)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2</w:t>
            </w:r>
          </w:p>
        </w:tc>
      </w:tr>
      <w:tr>
        <w:tc>
          <w:tcPr>
            <w:tcW w:type="dxa" w:w="680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Pollution negligent-advice write-back (S12)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1</w:t>
            </w:r>
          </w:p>
        </w:tc>
      </w:tr>
      <w:tr>
        <w:tc>
          <w:tcPr>
            <w:tcW w:type="dxa" w:w="680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Proof of Ownership and Value (claims condition, S1-11)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5</w:t>
            </w:r>
          </w:p>
        </w:tc>
      </w:tr>
      <w:tr>
        <w:tc>
          <w:tcPr>
            <w:tcW w:type="dxa" w:w="6804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Representation Costs at Investigations &amp; Inquiries (S12)</w:t>
            </w:r>
          </w:p>
        </w:tc>
        <w:tc>
          <w:tcPr>
            <w:tcW w:type="dxa" w:w="3402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2</w:t>
            </w:r>
          </w:p>
        </w:tc>
      </w:tr>
      <w:tr>
        <w:tc>
          <w:tcPr>
            <w:tcW w:type="dxa" w:w="6804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Worldwide Territory &amp; Jurisdiction (Optional) (S12)</w:t>
            </w:r>
          </w:p>
        </w:tc>
        <w:tc>
          <w:tcPr>
            <w:tcW w:type="dxa" w:w="3402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6"/>
              </w:rPr>
              <w:t>2</w:t>
            </w:r>
          </w:p>
        </w:tc>
      </w:tr>
    </w:tbl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7. Missing files / uncertainty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Policy Schedules (limits, excesses, sub-limit figures, section toggles) were NOT supplied — section availability and sub-limits reflect the wording booklets only; Schedule-driven figures are flagged 'per Schedule'.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The repository HEAD (2e0aba9) is a few auto-commits ahead of 58b8340; the working-tree final clean wording is treated as the 58b8340 final (no wording difference observed in the auto-commits).</w:t>
      </w:r>
    </w:p>
    <w:p>
      <w:pPr>
        <w:pStyle w:val="ListBullet"/>
        <w:spacing w:after="40"/>
        <w:ind w:left="340"/>
      </w:pPr>
      <w:r>
        <w:rPr>
          <w:rFonts w:ascii="Lato" w:hAnsi="Lato" w:cs="Lato"/>
          <w:b w:val="0"/>
          <w:i w:val="0"/>
          <w:color w:val="2B2F33"/>
          <w:sz w:val="19"/>
        </w:rPr>
        <w:t>Competitor schedules were not supplied; competitor 'silence' on a peril (e.g. abuse) means no express clause was located, not a confirmed grant of cover — flagged for legal confirmation.</w:t>
      </w:r>
    </w:p>
    <w:p>
      <w:pPr>
        <w:keepNext/>
        <w:spacing w:before="280" w:after="40"/>
        <w:pBdr>
          <w:bottom w:val="single" w:sz="8" w:space="2" w:color="B88A3C"/>
        </w:pBdr>
      </w:pPr>
      <w:r>
        <w:rPr>
          <w:rFonts w:ascii="Lato" w:hAnsi="Lato" w:cs="Lato"/>
          <w:b/>
          <w:i w:val="0"/>
          <w:color w:val="00648B"/>
          <w:sz w:val="30"/>
        </w:rPr>
        <w:t>8. Confirmed eight-phase workplan</w:t>
      </w:r>
    </w:p>
    <w:tbl>
      <w:tblPr>
        <w:tblW w:type="dxa" w:w="10206"/>
        <w:jc w:val="center"/>
        <w:tblBorders>
          <w:top w:val="single" w:sz="4" w:space="0" w:color="D6DCE0"/>
          <w:left w:val="single" w:sz="4" w:space="0" w:color="D6DCE0"/>
          <w:bottom w:val="single" w:sz="4" w:space="0" w:color="D6DCE0"/>
          <w:right w:val="single" w:sz="4" w:space="0" w:color="D6DCE0"/>
          <w:insideH w:val="single" w:sz="4" w:space="0" w:color="D6DCE0"/>
          <w:insideV w:val="single" w:sz="4" w:space="0" w:color="D6DCE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505"/>
      </w:tblGrid>
      <w:tr>
        <w:tc>
          <w:tcPr>
            <w:tcW w:type="dxa" w:w="1701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Phase</w:t>
            </w:r>
          </w:p>
        </w:tc>
        <w:tc>
          <w:tcPr>
            <w:tcW w:type="dxa" w:w="8504"/>
            <w:shd w:val="clear" w:color="auto" w:fill="00648B"/>
          </w:tcPr>
          <w:p>
            <w:pPr>
              <w:spacing w:after="20" w:before="0"/>
              <w:jc w:val="center"/>
            </w:pPr>
            <w:r/>
            <w:r>
              <w:rPr>
                <w:rFonts w:ascii="Lato" w:hAnsi="Lato" w:cs="Lato"/>
                <w:b/>
                <w:i w:val="0"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01</w:t>
            </w:r>
          </w:p>
        </w:tc>
        <w:tc>
          <w:tcPr>
            <w:tcW w:type="dxa" w:w="850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Full 0223C→final tracked-changes redline (from scratch) + clean final + UW Enhancement Register</w:t>
            </w:r>
          </w:p>
        </w:tc>
      </w:tr>
      <w:tr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02</w:t>
            </w:r>
          </w:p>
        </w:tc>
        <w:tc>
          <w:tcPr>
            <w:tcW w:type="dxa" w:w="850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Detailed 0223C→final change summary (per-section, with client-migration implications)</w:t>
            </w:r>
          </w:p>
        </w:tc>
      </w:tr>
      <w:tr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03</w:t>
            </w:r>
          </w:p>
        </w:tc>
        <w:tc>
          <w:tcPr>
            <w:tcW w:type="dxa" w:w="850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Six-insurer legal competitor review reset (incl. dedicated Abuse / Tysers section)</w:t>
            </w:r>
          </w:p>
        </w:tc>
      </w:tr>
      <w:tr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04</w:t>
            </w:r>
          </w:p>
        </w:tc>
        <w:tc>
          <w:tcPr>
            <w:tcW w:type="dxa" w:w="850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Rebuilt six-insurer coverage comparison (clean one-page matrix + appendix)</w:t>
            </w:r>
          </w:p>
        </w:tc>
      </w:tr>
      <w:tr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05</w:t>
            </w:r>
          </w:p>
        </w:tc>
        <w:tc>
          <w:tcPr>
            <w:tcW w:type="dxa" w:w="850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Updated gap-fill strategy (copy-paste wording + exact locations)</w:t>
            </w:r>
          </w:p>
        </w:tc>
      </w:tr>
      <w:tr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06</w:t>
            </w:r>
          </w:p>
        </w:tc>
        <w:tc>
          <w:tcPr>
            <w:tcW w:type="dxa" w:w="850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PolicyBridge Wording Studio workflow playbook</w:t>
            </w:r>
          </w:p>
        </w:tc>
      </w:tr>
      <w:tr>
        <w:tc>
          <w:tcPr>
            <w:tcW w:type="dxa" w:w="1701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07</w:t>
            </w:r>
          </w:p>
        </w:tc>
        <w:tc>
          <w:tcPr>
            <w:tcW w:type="dxa" w:w="8505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PolicyBridge audit/rebuild prompt</w:t>
            </w:r>
          </w:p>
        </w:tc>
      </w:tr>
      <w:tr>
        <w:tc>
          <w:tcPr>
            <w:tcW w:type="dxa" w:w="1701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/>
                <w:i w:val="0"/>
                <w:color w:val="00648B"/>
                <w:sz w:val="17"/>
              </w:rPr>
              <w:t>Phase 08</w:t>
            </w:r>
          </w:p>
        </w:tc>
        <w:tc>
          <w:tcPr>
            <w:tcW w:type="dxa" w:w="8505"/>
            <w:shd w:val="clear" w:color="auto" w:fill="F4F7F9"/>
          </w:tcPr>
          <w:p>
            <w:pPr>
              <w:spacing w:after="20" w:before="0"/>
            </w:pPr>
            <w:r/>
            <w:r>
              <w:rPr>
                <w:rFonts w:ascii="Lato" w:hAnsi="Lato" w:cs="Lato"/>
                <w:b w:val="0"/>
                <w:i w:val="0"/>
                <w:color w:val="2B2F33"/>
                <w:sz w:val="17"/>
              </w:rPr>
              <w:t>Final pack assembly + QA report (+ PDFs)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Lato" w:hAnsi="Lato" w:cs="Lato"/>
        <w:b w:val="0"/>
        <w:i/>
        <w:color w:val="AEB4B8"/>
        <w:sz w:val="13"/>
      </w:rPr>
      <w:t>Phase 00 — Source Inventory &amp; Workplan. Baseline = TMHCC 0223C; Final = commit 58b8340.</w:t>
    </w:r>
  </w:p>
  <w:p>
    <w:pPr>
      <w:jc w:val="center"/>
    </w:pPr>
    <w:r>
      <w:rPr>
        <w:rFonts w:ascii="Lato" w:hAnsi="Lato" w:cs="Lato"/>
        <w:b w:val="0"/>
        <w:i w:val="0"/>
        <w:color w:val="6C7378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pct" w:w="5000"/>
      <w:jc w:val="center"/>
      <w:tblBorders>
        <w:top w:val="none"/>
        <w:left w:val="none"/>
        <w:bottom w:val="none"/>
        <w:right w:val="none"/>
        <w:insideH w:val="none"/>
        <w:insideV w:val="none"/>
      </w:tblBorders>
      <w:tblLayout w:type="fixed"/>
      <w:tblLook w:firstColumn="1" w:firstRow="1" w:lastColumn="0" w:lastRow="0" w:noHBand="0" w:noVBand="1" w:val="04A0"/>
    </w:tblPr>
    <w:tblGrid>
      <w:gridCol w:w="4933"/>
      <w:gridCol w:w="4933"/>
    </w:tblGrid>
    <w:tr>
      <w:tc>
        <w:tcPr>
          <w:tcW w:type="dxa" w:w="7301"/>
          <w:vAlign w:val="center"/>
        </w:tcPr>
        <w:p>
          <w:pPr>
            <w:spacing w:after="0"/>
          </w:pPr>
          <w:r>
            <w:rPr>
              <w:rFonts w:ascii="Lato" w:hAnsi="Lato" w:cs="Lato"/>
              <w:b/>
              <w:i w:val="0"/>
              <w:color w:val="6C7378"/>
              <w:sz w:val="16"/>
            </w:rPr>
            <w:t>TMHCC Media &amp; Music Combined — Source Inventory &amp; Workplan</w:t>
          </w:r>
        </w:p>
      </w:tc>
      <w:tc>
        <w:tcPr>
          <w:tcW w:type="dxa" w:w="2565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329906" cy="30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tmhcc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906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hAnsi="Lato" w:cs="Lato"/>
      <w:color w:val="2B2F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