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582188" cy="540000"/>
            <wp:docPr id="1" name="Picture 1"/>
            <wp:cNvGraphicFramePr>
              <a:graphicFrameLocks noChangeAspect="1"/>
            </wp:cNvGraphicFramePr>
            <a:graphic>
              <a:graphicData uri="http://schemas.openxmlformats.org/drawingml/2006/picture">
                <pic:pic>
                  <pic:nvPicPr>
                    <pic:cNvPr id="0" name="tmhcc_logo.png"/>
                    <pic:cNvPicPr/>
                  </pic:nvPicPr>
                  <pic:blipFill>
                    <a:blip r:embed="rId11"/>
                    <a:stretch>
                      <a:fillRect/>
                    </a:stretch>
                  </pic:blipFill>
                  <pic:spPr>
                    <a:xfrm>
                      <a:off x="0" y="0"/>
                      <a:ext cx="582188" cy="540000"/>
                    </a:xfrm>
                    <a:prstGeom prst="rect"/>
                  </pic:spPr>
                </pic:pic>
              </a:graphicData>
            </a:graphic>
          </wp:inline>
        </w:drawing>
      </w:r>
    </w:p>
    <w:p>
      <w:pPr>
        <w:spacing w:after="600"/>
      </w:pPr>
    </w:p>
    <w:p>
      <w:pPr>
        <w:spacing w:after="40"/>
      </w:pPr>
      <w:r>
        <w:rPr>
          <w:rFonts w:ascii="Lato" w:hAnsi="Lato" w:cs="Lato"/>
          <w:b/>
          <w:i w:val="0"/>
          <w:color w:val="B88A3C"/>
          <w:sz w:val="22"/>
          <w:caps w:val="true"/>
        </w:rPr>
        <w:t>Phase 02 · Change Summary</w:t>
      </w:r>
    </w:p>
    <w:p>
      <w:pPr>
        <w:spacing w:after="80"/>
        <w:pBdr>
          <w:bottom w:val="single" w:sz="14" w:space="2" w:color="B88A3C"/>
        </w:pBdr>
      </w:pPr>
      <w:r>
        <w:rPr>
          <w:rFonts w:ascii="Lato" w:hAnsi="Lato" w:cs="Lato"/>
          <w:b/>
          <w:i w:val="0"/>
          <w:color w:val="00648B"/>
          <w:sz w:val="60"/>
        </w:rPr>
        <w:t>Detailed Change Summary</w:t>
      </w:r>
    </w:p>
    <w:p>
      <w:pPr>
        <w:spacing w:after="280" w:before="120"/>
      </w:pPr>
      <w:r>
        <w:rPr>
          <w:rFonts w:ascii="Lato" w:hAnsi="Lato" w:cs="Lato"/>
          <w:b w:val="0"/>
          <w:i w:val="0"/>
          <w:color w:val="2B2F33"/>
          <w:sz w:val="26"/>
        </w:rPr>
        <w:t>Every material change from TMHCC 0223C to the final wording (commit 58b8340)</w:t>
      </w:r>
    </w:p>
    <w:p>
      <w:pPr>
        <w:keepNext/>
        <w:spacing w:before="120" w:after="20"/>
      </w:pPr>
      <w:r>
        <w:rPr>
          <w:rFonts w:ascii="Lato" w:hAnsi="Lato" w:cs="Lato"/>
          <w:b/>
          <w:i w:val="0"/>
          <w:color w:val="B88A3C"/>
          <w:sz w:val="20"/>
        </w:rPr>
        <w:t>Wordings reviewed</w:t>
      </w:r>
    </w:p>
    <w:p>
      <w:pPr>
        <w:pStyle w:val="ListBullet"/>
        <w:spacing w:after="40"/>
        <w:ind w:left="340"/>
      </w:pPr>
      <w:r>
        <w:rPr>
          <w:rFonts w:ascii="Lato" w:hAnsi="Lato" w:cs="Lato"/>
          <w:b w:val="0"/>
          <w:i w:val="0"/>
          <w:color w:val="2B2F33"/>
          <w:sz w:val="19"/>
        </w:rPr>
        <w:t>TMHCC 0223C baseline</w:t>
      </w:r>
    </w:p>
    <w:p>
      <w:pPr>
        <w:pStyle w:val="ListBullet"/>
        <w:spacing w:after="40"/>
        <w:ind w:left="340"/>
      </w:pPr>
      <w:r>
        <w:rPr>
          <w:rFonts w:ascii="Lato" w:hAnsi="Lato" w:cs="Lato"/>
          <w:b w:val="0"/>
          <w:i w:val="0"/>
          <w:color w:val="2B2F33"/>
          <w:sz w:val="19"/>
        </w:rPr>
        <w:t>TMHCC final wording (commit 58b8340)</w:t>
      </w:r>
    </w:p>
    <w:p>
      <w:pPr>
        <w:spacing w:after="200"/>
      </w:pPr>
    </w:p>
    <w:p>
      <w:pPr>
        <w:spacing w:after="60" w:before="0"/>
      </w:pPr>
      <w:r>
        <w:rPr>
          <w:rFonts w:ascii="Lato" w:hAnsi="Lato" w:cs="Lato"/>
          <w:b w:val="0"/>
          <w:i/>
          <w:color w:val="6C7378"/>
          <w:sz w:val="17"/>
        </w:rPr>
        <w:t>Generated from the full redline: 2713 baseline paragraphs vs 3805 final paragraphs; 2067 insertions, 973 deletions, 118 inline amendments tracked.</w:t>
      </w:r>
    </w:p>
    <w:p>
      <w:pPr>
        <w:spacing w:after="60" w:before="0"/>
      </w:pPr>
      <w:r>
        <w:rPr>
          <w:rFonts w:ascii="Lato" w:hAnsi="Lato" w:cs="Lato"/>
          <w:b w:val="0"/>
          <w:i/>
          <w:color w:val="6C7378"/>
          <w:sz w:val="17"/>
        </w:rPr>
        <w:t>Favourable / Neutral / Restrictive flags and sign-off requirements are shown per change.</w:t>
      </w:r>
    </w:p>
    <w:p>
      <w:pPr>
        <w:spacing w:after="60" w:before="0"/>
      </w:pPr>
      <w:r>
        <w:rPr>
          <w:rFonts w:ascii="Lato" w:hAnsi="Lato" w:cs="Lato"/>
          <w:b w:val="0"/>
          <w:i/>
          <w:color w:val="6C7378"/>
          <w:sz w:val="17"/>
        </w:rPr>
        <w:t>No cover invented; exclusions and conditions not softened.</w:t>
      </w:r>
    </w:p>
    <w:p>
      <w:r>
        <w:br w:type="page"/>
      </w:r>
    </w:p>
    <w:p>
      <w:pPr>
        <w:keepNext/>
        <w:spacing w:before="280" w:after="40"/>
        <w:pBdr>
          <w:bottom w:val="single" w:sz="8" w:space="2" w:color="B88A3C"/>
        </w:pBdr>
      </w:pPr>
      <w:r>
        <w:rPr>
          <w:rFonts w:ascii="Lato" w:hAnsi="Lato" w:cs="Lato"/>
          <w:b/>
          <w:i w:val="0"/>
          <w:color w:val="00648B"/>
          <w:sz w:val="30"/>
        </w:rPr>
        <w:t>A. Section renumbering &amp; relocation map (0223C → final)</w:t>
      </w:r>
    </w:p>
    <w:p>
      <w:pPr>
        <w:spacing w:after="80" w:before="0"/>
      </w:pPr>
      <w:r>
        <w:rPr>
          <w:rFonts w:ascii="Lato" w:hAnsi="Lato" w:cs="Lato"/>
          <w:b w:val="0"/>
          <w:i w:val="0"/>
          <w:color w:val="2B2F33"/>
          <w:sz w:val="19"/>
        </w:rPr>
        <w:t>The single most important migration point: the standalone Information Technology Section (old S4) was removed and its cover consolidated into S1/S2, so every later section is renumbered, and three new sections (S13–S15) were added — 13 sections became 15.</w:t>
      </w:r>
    </w:p>
    <w:tbl>
      <w:tblPr>
        <w:tblW w:type="dxa" w:w="1474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4252"/>
        <w:gridCol w:w="4252"/>
        <w:gridCol w:w="6237"/>
      </w:tblGrid>
      <w:tr>
        <w:tc>
          <w:tcPr>
            <w:tcW w:type="dxa" w:w="4252"/>
            <w:shd w:val="clear" w:color="auto" w:fill="00648B"/>
          </w:tcPr>
          <w:p>
            <w:pPr>
              <w:spacing w:after="20" w:before="0"/>
              <w:jc w:val="center"/>
            </w:pPr>
            <w:r/>
            <w:r>
              <w:rPr>
                <w:rFonts w:ascii="Lato" w:hAnsi="Lato" w:cs="Lato"/>
                <w:b/>
                <w:i w:val="0"/>
                <w:color w:val="FFFFFF"/>
                <w:sz w:val="17"/>
              </w:rPr>
              <w:t>0223C section</w:t>
            </w:r>
          </w:p>
        </w:tc>
        <w:tc>
          <w:tcPr>
            <w:tcW w:type="dxa" w:w="4252"/>
            <w:shd w:val="clear" w:color="auto" w:fill="00648B"/>
          </w:tcPr>
          <w:p>
            <w:pPr>
              <w:spacing w:after="20" w:before="0"/>
              <w:jc w:val="center"/>
            </w:pPr>
            <w:r/>
            <w:r>
              <w:rPr>
                <w:rFonts w:ascii="Lato" w:hAnsi="Lato" w:cs="Lato"/>
                <w:b/>
                <w:i w:val="0"/>
                <w:color w:val="FFFFFF"/>
                <w:sz w:val="17"/>
              </w:rPr>
              <w:t>Final section</w:t>
            </w:r>
          </w:p>
        </w:tc>
        <w:tc>
          <w:tcPr>
            <w:tcW w:type="dxa" w:w="6236"/>
            <w:shd w:val="clear" w:color="auto" w:fill="00648B"/>
          </w:tcPr>
          <w:p>
            <w:pPr>
              <w:spacing w:after="20" w:before="0"/>
              <w:jc w:val="center"/>
            </w:pPr>
            <w:r/>
            <w:r>
              <w:rPr>
                <w:rFonts w:ascii="Lato" w:hAnsi="Lato" w:cs="Lato"/>
                <w:b/>
                <w:i w:val="0"/>
                <w:color w:val="FFFFFF"/>
                <w:sz w:val="17"/>
              </w:rPr>
              <w:t>Note</w:t>
            </w:r>
          </w:p>
        </w:tc>
      </w:tr>
      <w:tr>
        <w:tc>
          <w:tcPr>
            <w:tcW w:type="dxa" w:w="4252"/>
          </w:tcPr>
          <w:p>
            <w:pPr>
              <w:spacing w:after="20" w:before="0"/>
            </w:pPr>
            <w:r/>
            <w:r>
              <w:rPr>
                <w:rFonts w:ascii="Lato" w:hAnsi="Lato" w:cs="Lato"/>
                <w:b w:val="0"/>
                <w:i w:val="0"/>
                <w:color w:val="2B2F33"/>
                <w:sz w:val="16"/>
              </w:rPr>
              <w:t>S1 Business “All Risks”</w:t>
            </w:r>
          </w:p>
        </w:tc>
        <w:tc>
          <w:tcPr>
            <w:tcW w:type="dxa" w:w="4252"/>
          </w:tcPr>
          <w:p>
            <w:pPr>
              <w:spacing w:after="20" w:before="0"/>
            </w:pPr>
            <w:r/>
            <w:r>
              <w:rPr>
                <w:rFonts w:ascii="Lato" w:hAnsi="Lato" w:cs="Lato"/>
                <w:b w:val="0"/>
                <w:i w:val="0"/>
                <w:color w:val="2B2F33"/>
                <w:sz w:val="16"/>
              </w:rPr>
              <w:t>S1 Business “All Risks”</w:t>
            </w:r>
          </w:p>
        </w:tc>
        <w:tc>
          <w:tcPr>
            <w:tcW w:type="dxa" w:w="6237"/>
          </w:tcPr>
          <w:p>
            <w:pPr>
              <w:spacing w:after="20" w:before="0"/>
            </w:pPr>
            <w:r/>
            <w:r>
              <w:rPr>
                <w:rFonts w:ascii="Lato" w:hAnsi="Lato" w:cs="Lato"/>
                <w:b w:val="0"/>
                <w:i w:val="0"/>
                <w:color w:val="2B2F33"/>
                <w:sz w:val="16"/>
              </w:rPr>
              <w:t>Retained; now also houses IT-property cover.</w:t>
            </w:r>
          </w:p>
        </w:tc>
      </w:tr>
      <w:tr>
        <w:tc>
          <w:tcPr>
            <w:tcW w:type="dxa" w:w="4252"/>
            <w:shd w:val="clear" w:color="auto" w:fill="F4F7F9"/>
          </w:tcPr>
          <w:p>
            <w:pPr>
              <w:spacing w:after="20" w:before="0"/>
            </w:pPr>
            <w:r/>
            <w:r>
              <w:rPr>
                <w:rFonts w:ascii="Lato" w:hAnsi="Lato" w:cs="Lato"/>
                <w:b w:val="0"/>
                <w:i w:val="0"/>
                <w:color w:val="2B2F33"/>
                <w:sz w:val="16"/>
              </w:rPr>
              <w:t>S2 Production Property “All Risks”</w:t>
            </w:r>
          </w:p>
        </w:tc>
        <w:tc>
          <w:tcPr>
            <w:tcW w:type="dxa" w:w="4252"/>
            <w:shd w:val="clear" w:color="auto" w:fill="F4F7F9"/>
          </w:tcPr>
          <w:p>
            <w:pPr>
              <w:spacing w:after="20" w:before="0"/>
            </w:pPr>
            <w:r/>
            <w:r>
              <w:rPr>
                <w:rFonts w:ascii="Lato" w:hAnsi="Lato" w:cs="Lato"/>
                <w:b w:val="0"/>
                <w:i w:val="0"/>
                <w:color w:val="2B2F33"/>
                <w:sz w:val="16"/>
              </w:rPr>
              <w:t>S2 Property &amp; Equipment “All Risks”</w:t>
            </w:r>
          </w:p>
        </w:tc>
        <w:tc>
          <w:tcPr>
            <w:tcW w:type="dxa" w:w="6237"/>
            <w:shd w:val="clear" w:color="auto" w:fill="F4F7F9"/>
          </w:tcPr>
          <w:p>
            <w:pPr>
              <w:spacing w:after="20" w:before="0"/>
            </w:pPr>
            <w:r/>
            <w:r>
              <w:rPr>
                <w:rFonts w:ascii="Lato" w:hAnsi="Lato" w:cs="Lato"/>
                <w:b w:val="0"/>
                <w:i w:val="0"/>
                <w:color w:val="2B2F33"/>
                <w:sz w:val="16"/>
              </w:rPr>
              <w:t>Renamed; absorbs equipment + IT equipment.</w:t>
            </w:r>
          </w:p>
        </w:tc>
      </w:tr>
      <w:tr>
        <w:tc>
          <w:tcPr>
            <w:tcW w:type="dxa" w:w="4252"/>
          </w:tcPr>
          <w:p>
            <w:pPr>
              <w:spacing w:after="20" w:before="0"/>
            </w:pPr>
            <w:r/>
            <w:r>
              <w:rPr>
                <w:rFonts w:ascii="Lato" w:hAnsi="Lato" w:cs="Lato"/>
                <w:b w:val="0"/>
                <w:i w:val="0"/>
                <w:color w:val="2B2F33"/>
                <w:sz w:val="16"/>
              </w:rPr>
              <w:t>S3 Business Interruption</w:t>
            </w:r>
          </w:p>
        </w:tc>
        <w:tc>
          <w:tcPr>
            <w:tcW w:type="dxa" w:w="4252"/>
          </w:tcPr>
          <w:p>
            <w:pPr>
              <w:spacing w:after="20" w:before="0"/>
            </w:pPr>
            <w:r/>
            <w:r>
              <w:rPr>
                <w:rFonts w:ascii="Lato" w:hAnsi="Lato" w:cs="Lato"/>
                <w:b w:val="0"/>
                <w:i w:val="0"/>
                <w:color w:val="2B2F33"/>
                <w:sz w:val="16"/>
              </w:rPr>
              <w:t>S3 Business Interruption</w:t>
            </w:r>
          </w:p>
        </w:tc>
        <w:tc>
          <w:tcPr>
            <w:tcW w:type="dxa" w:w="6237"/>
          </w:tcPr>
          <w:p>
            <w:pPr>
              <w:spacing w:after="20" w:before="0"/>
            </w:pPr>
            <w:r/>
            <w:r>
              <w:rPr>
                <w:rFonts w:ascii="Lato" w:hAnsi="Lato" w:cs="Lato"/>
                <w:b w:val="0"/>
                <w:i w:val="0"/>
                <w:color w:val="2B2F33"/>
                <w:sz w:val="16"/>
              </w:rPr>
              <w:t>Retained; 'Accounts Receivable' → '(Book Debts)'.</w:t>
            </w:r>
          </w:p>
        </w:tc>
      </w:tr>
      <w:tr>
        <w:tc>
          <w:tcPr>
            <w:tcW w:type="dxa" w:w="4252"/>
            <w:shd w:val="clear" w:color="auto" w:fill="F4F7F9"/>
          </w:tcPr>
          <w:p>
            <w:pPr>
              <w:spacing w:after="20" w:before="0"/>
            </w:pPr>
            <w:r/>
            <w:r>
              <w:rPr>
                <w:rFonts w:ascii="Lato" w:hAnsi="Lato" w:cs="Lato"/>
                <w:b w:val="0"/>
                <w:i w:val="0"/>
                <w:color w:val="2B2F33"/>
                <w:sz w:val="16"/>
              </w:rPr>
              <w:t>S4 Information Technology</w:t>
            </w:r>
          </w:p>
        </w:tc>
        <w:tc>
          <w:tcPr>
            <w:tcW w:type="dxa" w:w="4252"/>
            <w:shd w:val="clear" w:color="auto" w:fill="F4F7F9"/>
          </w:tcPr>
          <w:p>
            <w:pPr>
              <w:spacing w:after="20" w:before="0"/>
            </w:pPr>
            <w:r/>
            <w:r>
              <w:rPr>
                <w:rFonts w:ascii="Lato" w:hAnsi="Lato" w:cs="Lato"/>
                <w:b/>
                <w:i w:val="0"/>
                <w:color w:val="C0563F"/>
                <w:sz w:val="16"/>
              </w:rPr>
              <w:t>— (removed)</w:t>
            </w:r>
          </w:p>
        </w:tc>
        <w:tc>
          <w:tcPr>
            <w:tcW w:type="dxa" w:w="6237"/>
            <w:shd w:val="clear" w:color="auto" w:fill="F4F7F9"/>
          </w:tcPr>
          <w:p>
            <w:pPr>
              <w:spacing w:after="20" w:before="0"/>
            </w:pPr>
            <w:r/>
            <w:r>
              <w:rPr>
                <w:rFonts w:ascii="Lato" w:hAnsi="Lato" w:cs="Lato"/>
                <w:b w:val="0"/>
                <w:i w:val="0"/>
                <w:color w:val="2B2F33"/>
                <w:sz w:val="16"/>
              </w:rPr>
              <w:t>STANDALONE SECTION REMOVED; cover consolidated into S1/S2.</w:t>
            </w:r>
          </w:p>
        </w:tc>
      </w:tr>
      <w:tr>
        <w:tc>
          <w:tcPr>
            <w:tcW w:type="dxa" w:w="4252"/>
          </w:tcPr>
          <w:p>
            <w:pPr>
              <w:spacing w:after="20" w:before="0"/>
            </w:pPr>
            <w:r/>
            <w:r>
              <w:rPr>
                <w:rFonts w:ascii="Lato" w:hAnsi="Lato" w:cs="Lato"/>
                <w:b w:val="0"/>
                <w:i w:val="0"/>
                <w:color w:val="2B2F33"/>
                <w:sz w:val="16"/>
              </w:rPr>
              <w:t>S5 Terrorism</w:t>
            </w:r>
          </w:p>
        </w:tc>
        <w:tc>
          <w:tcPr>
            <w:tcW w:type="dxa" w:w="4252"/>
          </w:tcPr>
          <w:p>
            <w:pPr>
              <w:spacing w:after="20" w:before="0"/>
            </w:pPr>
            <w:r/>
            <w:r>
              <w:rPr>
                <w:rFonts w:ascii="Lato" w:hAnsi="Lato" w:cs="Lato"/>
                <w:b w:val="0"/>
                <w:i w:val="0"/>
                <w:color w:val="2B2F33"/>
                <w:sz w:val="16"/>
              </w:rPr>
              <w:t>S4 Terrorism</w:t>
            </w:r>
          </w:p>
        </w:tc>
        <w:tc>
          <w:tcPr>
            <w:tcW w:type="dxa" w:w="6237"/>
          </w:tcPr>
          <w:p>
            <w:pPr>
              <w:spacing w:after="20" w:before="0"/>
            </w:pPr>
            <w:r/>
            <w:r>
              <w:rPr>
                <w:rFonts w:ascii="Lato" w:hAnsi="Lato" w:cs="Lato"/>
                <w:b w:val="0"/>
                <w:i w:val="0"/>
                <w:color w:val="2B2F33"/>
                <w:sz w:val="16"/>
              </w:rPr>
              <w:t>Renumbered −1.</w:t>
            </w:r>
          </w:p>
        </w:tc>
      </w:tr>
      <w:tr>
        <w:tc>
          <w:tcPr>
            <w:tcW w:type="dxa" w:w="4252"/>
            <w:shd w:val="clear" w:color="auto" w:fill="F4F7F9"/>
          </w:tcPr>
          <w:p>
            <w:pPr>
              <w:spacing w:after="20" w:before="0"/>
            </w:pPr>
            <w:r/>
            <w:r>
              <w:rPr>
                <w:rFonts w:ascii="Lato" w:hAnsi="Lato" w:cs="Lato"/>
                <w:b w:val="0"/>
                <w:i w:val="0"/>
                <w:color w:val="2B2F33"/>
                <w:sz w:val="16"/>
              </w:rPr>
              <w:t>S6 Employers’ Liability</w:t>
            </w:r>
          </w:p>
        </w:tc>
        <w:tc>
          <w:tcPr>
            <w:tcW w:type="dxa" w:w="4252"/>
            <w:shd w:val="clear" w:color="auto" w:fill="F4F7F9"/>
          </w:tcPr>
          <w:p>
            <w:pPr>
              <w:spacing w:after="20" w:before="0"/>
            </w:pPr>
            <w:r/>
            <w:r>
              <w:rPr>
                <w:rFonts w:ascii="Lato" w:hAnsi="Lato" w:cs="Lato"/>
                <w:b w:val="0"/>
                <w:i w:val="0"/>
                <w:color w:val="2B2F33"/>
                <w:sz w:val="16"/>
              </w:rPr>
              <w:t>S5 Employers’ Liability</w:t>
            </w:r>
          </w:p>
        </w:tc>
        <w:tc>
          <w:tcPr>
            <w:tcW w:type="dxa" w:w="6237"/>
            <w:shd w:val="clear" w:color="auto" w:fill="F4F7F9"/>
          </w:tcPr>
          <w:p>
            <w:pPr>
              <w:spacing w:after="20" w:before="0"/>
            </w:pPr>
            <w:r/>
            <w:r>
              <w:rPr>
                <w:rFonts w:ascii="Lato" w:hAnsi="Lato" w:cs="Lato"/>
                <w:b w:val="0"/>
                <w:i w:val="0"/>
                <w:color w:val="2B2F33"/>
                <w:sz w:val="16"/>
              </w:rPr>
              <w:t>Renumbered −1.</w:t>
            </w:r>
          </w:p>
        </w:tc>
      </w:tr>
      <w:tr>
        <w:tc>
          <w:tcPr>
            <w:tcW w:type="dxa" w:w="4252"/>
          </w:tcPr>
          <w:p>
            <w:pPr>
              <w:spacing w:after="20" w:before="0"/>
            </w:pPr>
            <w:r/>
            <w:r>
              <w:rPr>
                <w:rFonts w:ascii="Lato" w:hAnsi="Lato" w:cs="Lato"/>
                <w:b w:val="0"/>
                <w:i w:val="0"/>
                <w:color w:val="2B2F33"/>
                <w:sz w:val="16"/>
              </w:rPr>
              <w:t>S7 Public Liability</w:t>
            </w:r>
          </w:p>
        </w:tc>
        <w:tc>
          <w:tcPr>
            <w:tcW w:type="dxa" w:w="4252"/>
          </w:tcPr>
          <w:p>
            <w:pPr>
              <w:spacing w:after="20" w:before="0"/>
            </w:pPr>
            <w:r/>
            <w:r>
              <w:rPr>
                <w:rFonts w:ascii="Lato" w:hAnsi="Lato" w:cs="Lato"/>
                <w:b w:val="0"/>
                <w:i w:val="0"/>
                <w:color w:val="2B2F33"/>
                <w:sz w:val="16"/>
              </w:rPr>
              <w:t>S6 Public Liability</w:t>
            </w:r>
          </w:p>
        </w:tc>
        <w:tc>
          <w:tcPr>
            <w:tcW w:type="dxa" w:w="6237"/>
          </w:tcPr>
          <w:p>
            <w:pPr>
              <w:spacing w:after="20" w:before="0"/>
            </w:pPr>
            <w:r/>
            <w:r>
              <w:rPr>
                <w:rFonts w:ascii="Lato" w:hAnsi="Lato" w:cs="Lato"/>
                <w:b w:val="0"/>
                <w:i w:val="0"/>
                <w:color w:val="2B2F33"/>
                <w:sz w:val="16"/>
              </w:rPr>
              <w:t>Renumbered −1; abuse exclusion retained (see Phase 03).</w:t>
            </w:r>
          </w:p>
        </w:tc>
      </w:tr>
      <w:tr>
        <w:tc>
          <w:tcPr>
            <w:tcW w:type="dxa" w:w="4252"/>
            <w:shd w:val="clear" w:color="auto" w:fill="F4F7F9"/>
          </w:tcPr>
          <w:p>
            <w:pPr>
              <w:spacing w:after="20" w:before="0"/>
            </w:pPr>
            <w:r/>
            <w:r>
              <w:rPr>
                <w:rFonts w:ascii="Lato" w:hAnsi="Lato" w:cs="Lato"/>
                <w:b w:val="0"/>
                <w:i w:val="0"/>
                <w:color w:val="2B2F33"/>
                <w:sz w:val="16"/>
              </w:rPr>
              <w:t>S8 Products Liability</w:t>
            </w:r>
          </w:p>
        </w:tc>
        <w:tc>
          <w:tcPr>
            <w:tcW w:type="dxa" w:w="4252"/>
            <w:shd w:val="clear" w:color="auto" w:fill="F4F7F9"/>
          </w:tcPr>
          <w:p>
            <w:pPr>
              <w:spacing w:after="20" w:before="0"/>
            </w:pPr>
            <w:r/>
            <w:r>
              <w:rPr>
                <w:rFonts w:ascii="Lato" w:hAnsi="Lato" w:cs="Lato"/>
                <w:b w:val="0"/>
                <w:i w:val="0"/>
                <w:color w:val="2B2F33"/>
                <w:sz w:val="16"/>
              </w:rPr>
              <w:t>S7 Products Liability</w:t>
            </w:r>
          </w:p>
        </w:tc>
        <w:tc>
          <w:tcPr>
            <w:tcW w:type="dxa" w:w="6237"/>
            <w:shd w:val="clear" w:color="auto" w:fill="F4F7F9"/>
          </w:tcPr>
          <w:p>
            <w:pPr>
              <w:spacing w:after="20" w:before="0"/>
            </w:pPr>
            <w:r/>
            <w:r>
              <w:rPr>
                <w:rFonts w:ascii="Lato" w:hAnsi="Lato" w:cs="Lato"/>
                <w:b w:val="0"/>
                <w:i w:val="0"/>
                <w:color w:val="2B2F33"/>
                <w:sz w:val="16"/>
              </w:rPr>
              <w:t>Renumbered −1.</w:t>
            </w:r>
          </w:p>
        </w:tc>
      </w:tr>
      <w:tr>
        <w:tc>
          <w:tcPr>
            <w:tcW w:type="dxa" w:w="4252"/>
          </w:tcPr>
          <w:p>
            <w:pPr>
              <w:spacing w:after="20" w:before="0"/>
            </w:pPr>
            <w:r/>
            <w:r>
              <w:rPr>
                <w:rFonts w:ascii="Lato" w:hAnsi="Lato" w:cs="Lato"/>
                <w:b w:val="0"/>
                <w:i w:val="0"/>
                <w:color w:val="2B2F33"/>
                <w:sz w:val="16"/>
              </w:rPr>
              <w:t>S9 Money</w:t>
            </w:r>
          </w:p>
        </w:tc>
        <w:tc>
          <w:tcPr>
            <w:tcW w:type="dxa" w:w="4252"/>
          </w:tcPr>
          <w:p>
            <w:pPr>
              <w:spacing w:after="20" w:before="0"/>
            </w:pPr>
            <w:r/>
            <w:r>
              <w:rPr>
                <w:rFonts w:ascii="Lato" w:hAnsi="Lato" w:cs="Lato"/>
                <w:b w:val="0"/>
                <w:i w:val="0"/>
                <w:color w:val="2B2F33"/>
                <w:sz w:val="16"/>
              </w:rPr>
              <w:t>S8 Money</w:t>
            </w:r>
          </w:p>
        </w:tc>
        <w:tc>
          <w:tcPr>
            <w:tcW w:type="dxa" w:w="6237"/>
          </w:tcPr>
          <w:p>
            <w:pPr>
              <w:spacing w:after="20" w:before="0"/>
            </w:pPr>
            <w:r/>
            <w:r>
              <w:rPr>
                <w:rFonts w:ascii="Lato" w:hAnsi="Lato" w:cs="Lato"/>
                <w:b w:val="0"/>
                <w:i w:val="0"/>
                <w:color w:val="2B2F33"/>
                <w:sz w:val="16"/>
              </w:rPr>
              <w:t>Renumbered −1; restructured into two Schedule sub-limits.</w:t>
            </w:r>
          </w:p>
        </w:tc>
      </w:tr>
      <w:tr>
        <w:tc>
          <w:tcPr>
            <w:tcW w:type="dxa" w:w="4252"/>
            <w:shd w:val="clear" w:color="auto" w:fill="F4F7F9"/>
          </w:tcPr>
          <w:p>
            <w:pPr>
              <w:spacing w:after="20" w:before="0"/>
            </w:pPr>
            <w:r/>
            <w:r>
              <w:rPr>
                <w:rFonts w:ascii="Lato" w:hAnsi="Lato" w:cs="Lato"/>
                <w:b w:val="0"/>
                <w:i w:val="0"/>
                <w:color w:val="2B2F33"/>
                <w:sz w:val="16"/>
              </w:rPr>
              <w:t>S10 Goods in Transit</w:t>
            </w:r>
          </w:p>
        </w:tc>
        <w:tc>
          <w:tcPr>
            <w:tcW w:type="dxa" w:w="4252"/>
            <w:shd w:val="clear" w:color="auto" w:fill="F4F7F9"/>
          </w:tcPr>
          <w:p>
            <w:pPr>
              <w:spacing w:after="20" w:before="0"/>
            </w:pPr>
            <w:r/>
            <w:r>
              <w:rPr>
                <w:rFonts w:ascii="Lato" w:hAnsi="Lato" w:cs="Lato"/>
                <w:b w:val="0"/>
                <w:i w:val="0"/>
                <w:color w:val="2B2F33"/>
                <w:sz w:val="16"/>
              </w:rPr>
              <w:t>S9 Goods in Transit</w:t>
            </w:r>
          </w:p>
        </w:tc>
        <w:tc>
          <w:tcPr>
            <w:tcW w:type="dxa" w:w="6237"/>
            <w:shd w:val="clear" w:color="auto" w:fill="F4F7F9"/>
          </w:tcPr>
          <w:p>
            <w:pPr>
              <w:spacing w:after="20" w:before="0"/>
            </w:pPr>
            <w:r/>
            <w:r>
              <w:rPr>
                <w:rFonts w:ascii="Lato" w:hAnsi="Lato" w:cs="Lato"/>
                <w:b w:val="0"/>
                <w:i w:val="0"/>
                <w:color w:val="2B2F33"/>
                <w:sz w:val="16"/>
              </w:rPr>
              <w:t>Renumbered −1.</w:t>
            </w:r>
          </w:p>
        </w:tc>
      </w:tr>
      <w:tr>
        <w:tc>
          <w:tcPr>
            <w:tcW w:type="dxa" w:w="4252"/>
          </w:tcPr>
          <w:p>
            <w:pPr>
              <w:spacing w:after="20" w:before="0"/>
            </w:pPr>
            <w:r/>
            <w:r>
              <w:rPr>
                <w:rFonts w:ascii="Lato" w:hAnsi="Lato" w:cs="Lato"/>
                <w:b w:val="0"/>
                <w:i w:val="0"/>
                <w:color w:val="2B2F33"/>
                <w:sz w:val="16"/>
              </w:rPr>
              <w:t>S11 Loss of Licence</w:t>
            </w:r>
          </w:p>
        </w:tc>
        <w:tc>
          <w:tcPr>
            <w:tcW w:type="dxa" w:w="4252"/>
          </w:tcPr>
          <w:p>
            <w:pPr>
              <w:spacing w:after="20" w:before="0"/>
            </w:pPr>
            <w:r/>
            <w:r>
              <w:rPr>
                <w:rFonts w:ascii="Lato" w:hAnsi="Lato" w:cs="Lato"/>
                <w:b w:val="0"/>
                <w:i w:val="0"/>
                <w:color w:val="2B2F33"/>
                <w:sz w:val="16"/>
              </w:rPr>
              <w:t>S10 Loss of Licence</w:t>
            </w:r>
          </w:p>
        </w:tc>
        <w:tc>
          <w:tcPr>
            <w:tcW w:type="dxa" w:w="6237"/>
          </w:tcPr>
          <w:p>
            <w:pPr>
              <w:spacing w:after="20" w:before="0"/>
            </w:pPr>
            <w:r/>
            <w:r>
              <w:rPr>
                <w:rFonts w:ascii="Lato" w:hAnsi="Lato" w:cs="Lato"/>
                <w:b w:val="0"/>
                <w:i w:val="0"/>
                <w:color w:val="2B2F33"/>
                <w:sz w:val="16"/>
              </w:rPr>
              <w:t>Renumbered −1.</w:t>
            </w:r>
          </w:p>
        </w:tc>
      </w:tr>
      <w:tr>
        <w:tc>
          <w:tcPr>
            <w:tcW w:type="dxa" w:w="4252"/>
            <w:shd w:val="clear" w:color="auto" w:fill="F4F7F9"/>
          </w:tcPr>
          <w:p>
            <w:pPr>
              <w:spacing w:after="20" w:before="0"/>
            </w:pPr>
            <w:r/>
            <w:r>
              <w:rPr>
                <w:rFonts w:ascii="Lato" w:hAnsi="Lato" w:cs="Lato"/>
                <w:b w:val="0"/>
                <w:i w:val="0"/>
                <w:color w:val="2B2F33"/>
                <w:sz w:val="16"/>
              </w:rPr>
              <w:t>S12 Production Indemnity</w:t>
            </w:r>
          </w:p>
        </w:tc>
        <w:tc>
          <w:tcPr>
            <w:tcW w:type="dxa" w:w="4252"/>
            <w:shd w:val="clear" w:color="auto" w:fill="F4F7F9"/>
          </w:tcPr>
          <w:p>
            <w:pPr>
              <w:spacing w:after="20" w:before="0"/>
            </w:pPr>
            <w:r/>
            <w:r>
              <w:rPr>
                <w:rFonts w:ascii="Lato" w:hAnsi="Lato" w:cs="Lato"/>
                <w:b w:val="0"/>
                <w:i w:val="0"/>
                <w:color w:val="2B2F33"/>
                <w:sz w:val="16"/>
              </w:rPr>
              <w:t>S11 Production Indemnity</w:t>
            </w:r>
          </w:p>
        </w:tc>
        <w:tc>
          <w:tcPr>
            <w:tcW w:type="dxa" w:w="6237"/>
            <w:shd w:val="clear" w:color="auto" w:fill="F4F7F9"/>
          </w:tcPr>
          <w:p>
            <w:pPr>
              <w:spacing w:after="20" w:before="0"/>
            </w:pPr>
            <w:r/>
            <w:r>
              <w:rPr>
                <w:rFonts w:ascii="Lato" w:hAnsi="Lato" w:cs="Lato"/>
                <w:b w:val="0"/>
                <w:i w:val="0"/>
                <w:color w:val="2B2F33"/>
                <w:sz w:val="16"/>
              </w:rPr>
              <w:t>Renumbered −1.</w:t>
            </w:r>
          </w:p>
        </w:tc>
      </w:tr>
      <w:tr>
        <w:tc>
          <w:tcPr>
            <w:tcW w:type="dxa" w:w="4252"/>
          </w:tcPr>
          <w:p>
            <w:pPr>
              <w:spacing w:after="20" w:before="0"/>
            </w:pPr>
            <w:r/>
            <w:r>
              <w:rPr>
                <w:rFonts w:ascii="Lato" w:hAnsi="Lato" w:cs="Lato"/>
                <w:b w:val="0"/>
                <w:i w:val="0"/>
                <w:color w:val="2B2F33"/>
                <w:sz w:val="16"/>
              </w:rPr>
              <w:t>S13 Media Liability</w:t>
            </w:r>
          </w:p>
        </w:tc>
        <w:tc>
          <w:tcPr>
            <w:tcW w:type="dxa" w:w="4252"/>
          </w:tcPr>
          <w:p>
            <w:pPr>
              <w:spacing w:after="20" w:before="0"/>
            </w:pPr>
            <w:r/>
            <w:r>
              <w:rPr>
                <w:rFonts w:ascii="Lato" w:hAnsi="Lato" w:cs="Lato"/>
                <w:b w:val="0"/>
                <w:i w:val="0"/>
                <w:color w:val="2B2F33"/>
                <w:sz w:val="16"/>
              </w:rPr>
              <w:t>S12 Media Liability</w:t>
            </w:r>
          </w:p>
        </w:tc>
        <w:tc>
          <w:tcPr>
            <w:tcW w:type="dxa" w:w="6237"/>
          </w:tcPr>
          <w:p>
            <w:pPr>
              <w:spacing w:after="20" w:before="0"/>
            </w:pPr>
            <w:r/>
            <w:r>
              <w:rPr>
                <w:rFonts w:ascii="Lato" w:hAnsi="Lato" w:cs="Lato"/>
                <w:b w:val="0"/>
                <w:i w:val="0"/>
                <w:color w:val="2B2F33"/>
                <w:sz w:val="16"/>
              </w:rPr>
              <w:t>Renumbered −1; seven new extensions (UW sign-off).</w:t>
            </w:r>
          </w:p>
        </w:tc>
      </w:tr>
      <w:tr>
        <w:tc>
          <w:tcPr>
            <w:tcW w:type="dxa" w:w="4252"/>
            <w:shd w:val="clear" w:color="auto" w:fill="F4F7F9"/>
          </w:tcPr>
          <w:p>
            <w:pPr>
              <w:spacing w:after="20" w:before="0"/>
            </w:pPr>
            <w:r/>
            <w:r>
              <w:rPr>
                <w:rFonts w:ascii="Lato" w:hAnsi="Lato" w:cs="Lato"/>
                <w:b w:val="0"/>
                <w:i w:val="0"/>
                <w:color w:val="2B2F33"/>
                <w:sz w:val="16"/>
              </w:rPr>
              <w:t>—</w:t>
            </w:r>
          </w:p>
        </w:tc>
        <w:tc>
          <w:tcPr>
            <w:tcW w:type="dxa" w:w="4252"/>
            <w:shd w:val="clear" w:color="auto" w:fill="F4F7F9"/>
          </w:tcPr>
          <w:p>
            <w:pPr>
              <w:spacing w:after="20" w:before="0"/>
            </w:pPr>
            <w:r/>
            <w:r>
              <w:rPr>
                <w:rFonts w:ascii="Lato" w:hAnsi="Lato" w:cs="Lato"/>
                <w:b/>
                <w:i w:val="0"/>
                <w:color w:val="C0563F"/>
                <w:sz w:val="16"/>
              </w:rPr>
              <w:t>S13 Commercial Legal Expenses</w:t>
            </w:r>
          </w:p>
        </w:tc>
        <w:tc>
          <w:tcPr>
            <w:tcW w:type="dxa" w:w="6237"/>
            <w:shd w:val="clear" w:color="auto" w:fill="F4F7F9"/>
          </w:tcPr>
          <w:p>
            <w:pPr>
              <w:spacing w:after="20" w:before="0"/>
            </w:pPr>
            <w:r/>
            <w:r>
              <w:rPr>
                <w:rFonts w:ascii="Lato" w:hAnsi="Lato" w:cs="Lato"/>
                <w:b w:val="0"/>
                <w:i w:val="0"/>
                <w:color w:val="2B2F33"/>
                <w:sz w:val="16"/>
              </w:rPr>
              <w:t>NEW SECTION.</w:t>
            </w:r>
          </w:p>
        </w:tc>
      </w:tr>
      <w:tr>
        <w:tc>
          <w:tcPr>
            <w:tcW w:type="dxa" w:w="4252"/>
          </w:tcPr>
          <w:p>
            <w:pPr>
              <w:spacing w:after="20" w:before="0"/>
            </w:pPr>
            <w:r/>
            <w:r>
              <w:rPr>
                <w:rFonts w:ascii="Lato" w:hAnsi="Lato" w:cs="Lato"/>
                <w:b w:val="0"/>
                <w:i w:val="0"/>
                <w:color w:val="2B2F33"/>
                <w:sz w:val="16"/>
              </w:rPr>
              <w:t>—</w:t>
            </w:r>
          </w:p>
        </w:tc>
        <w:tc>
          <w:tcPr>
            <w:tcW w:type="dxa" w:w="4252"/>
          </w:tcPr>
          <w:p>
            <w:pPr>
              <w:spacing w:after="20" w:before="0"/>
            </w:pPr>
            <w:r/>
            <w:r>
              <w:rPr>
                <w:rFonts w:ascii="Lato" w:hAnsi="Lato" w:cs="Lato"/>
                <w:b/>
                <w:i w:val="0"/>
                <w:color w:val="C0563F"/>
                <w:sz w:val="16"/>
              </w:rPr>
              <w:t>S14 Management Liability</w:t>
            </w:r>
          </w:p>
        </w:tc>
        <w:tc>
          <w:tcPr>
            <w:tcW w:type="dxa" w:w="6237"/>
          </w:tcPr>
          <w:p>
            <w:pPr>
              <w:spacing w:after="20" w:before="0"/>
            </w:pPr>
            <w:r/>
            <w:r>
              <w:rPr>
                <w:rFonts w:ascii="Lato" w:hAnsi="Lato" w:cs="Lato"/>
                <w:b w:val="0"/>
                <w:i w:val="0"/>
                <w:color w:val="2B2F33"/>
                <w:sz w:val="16"/>
              </w:rPr>
              <w:t>NEW SECTION.</w:t>
            </w:r>
          </w:p>
        </w:tc>
      </w:tr>
      <w:tr>
        <w:tc>
          <w:tcPr>
            <w:tcW w:type="dxa" w:w="4252"/>
            <w:shd w:val="clear" w:color="auto" w:fill="F4F7F9"/>
          </w:tcPr>
          <w:p>
            <w:pPr>
              <w:spacing w:after="20" w:before="0"/>
            </w:pPr>
            <w:r/>
            <w:r>
              <w:rPr>
                <w:rFonts w:ascii="Lato" w:hAnsi="Lato" w:cs="Lato"/>
                <w:b w:val="0"/>
                <w:i w:val="0"/>
                <w:color w:val="2B2F33"/>
                <w:sz w:val="16"/>
              </w:rPr>
              <w:t>—</w:t>
            </w:r>
          </w:p>
        </w:tc>
        <w:tc>
          <w:tcPr>
            <w:tcW w:type="dxa" w:w="4252"/>
            <w:shd w:val="clear" w:color="auto" w:fill="F4F7F9"/>
          </w:tcPr>
          <w:p>
            <w:pPr>
              <w:spacing w:after="20" w:before="0"/>
            </w:pPr>
            <w:r/>
            <w:r>
              <w:rPr>
                <w:rFonts w:ascii="Lato" w:hAnsi="Lato" w:cs="Lato"/>
                <w:b/>
                <w:i w:val="0"/>
                <w:color w:val="C0563F"/>
                <w:sz w:val="16"/>
              </w:rPr>
              <w:t>S15 CyberGuard™ (Cyber Liability)</w:t>
            </w:r>
          </w:p>
        </w:tc>
        <w:tc>
          <w:tcPr>
            <w:tcW w:type="dxa" w:w="6237"/>
            <w:shd w:val="clear" w:color="auto" w:fill="F4F7F9"/>
          </w:tcPr>
          <w:p>
            <w:pPr>
              <w:spacing w:after="20" w:before="0"/>
            </w:pPr>
            <w:r/>
            <w:r>
              <w:rPr>
                <w:rFonts w:ascii="Lato" w:hAnsi="Lato" w:cs="Lato"/>
                <w:b w:val="0"/>
                <w:i w:val="0"/>
                <w:color w:val="2B2F33"/>
                <w:sz w:val="16"/>
              </w:rPr>
              <w:t>NEW SECTION.</w:t>
            </w:r>
          </w:p>
        </w:tc>
      </w:tr>
    </w:tbl>
    <w:p>
      <w:r>
        <w:br w:type="page"/>
      </w:r>
    </w:p>
    <w:p>
      <w:pPr>
        <w:keepNext/>
        <w:spacing w:before="280" w:after="40"/>
        <w:pBdr>
          <w:bottom w:val="single" w:sz="8" w:space="2" w:color="B88A3C"/>
        </w:pBdr>
      </w:pPr>
      <w:r>
        <w:rPr>
          <w:rFonts w:ascii="Lato" w:hAnsi="Lato" w:cs="Lato"/>
          <w:b/>
          <w:i w:val="0"/>
          <w:color w:val="00648B"/>
          <w:sz w:val="30"/>
        </w:rPr>
        <w:t>B. Detailed change table</w:t>
      </w:r>
    </w:p>
    <w:p>
      <w:pPr>
        <w:spacing w:after="80" w:before="0"/>
      </w:pPr>
      <w:r>
        <w:rPr>
          <w:rFonts w:ascii="Lato" w:hAnsi="Lato" w:cs="Lato"/>
          <w:b w:val="0"/>
          <w:i w:val="0"/>
          <w:color w:val="2B2F33"/>
          <w:sz w:val="17"/>
        </w:rPr>
        <w:t>Legend — Effect: green = favourable, grey = neutral, red = restrictive. 'Type' = material / technical / structural / formatting. 'Source' = Base redline change vs UW Review Enhancement (awaiting sign-off).</w:t>
      </w:r>
    </w:p>
    <w:tbl>
      <w:tblPr>
        <w:tblW w:type="dxa" w:w="16160"/>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1928"/>
        <w:gridCol w:w="2438"/>
        <w:gridCol w:w="2722"/>
        <w:gridCol w:w="3515"/>
        <w:gridCol w:w="1134"/>
        <w:gridCol w:w="737"/>
        <w:gridCol w:w="737"/>
        <w:gridCol w:w="1474"/>
        <w:gridCol w:w="1474"/>
      </w:tblGrid>
      <w:tr>
        <w:tc>
          <w:tcPr>
            <w:tcW w:type="dxa" w:w="1928"/>
            <w:shd w:val="clear" w:color="auto" w:fill="00648B"/>
          </w:tcPr>
          <w:p>
            <w:pPr>
              <w:spacing w:after="20" w:before="0"/>
              <w:jc w:val="center"/>
            </w:pPr>
            <w:r/>
            <w:r>
              <w:rPr>
                <w:rFonts w:ascii="Lato" w:hAnsi="Lato" w:cs="Lato"/>
                <w:b/>
                <w:i w:val="0"/>
                <w:color w:val="FFFFFF"/>
                <w:sz w:val="17"/>
              </w:rPr>
              <w:t>Area</w:t>
            </w:r>
          </w:p>
        </w:tc>
        <w:tc>
          <w:tcPr>
            <w:tcW w:type="dxa" w:w="2438"/>
            <w:shd w:val="clear" w:color="auto" w:fill="00648B"/>
          </w:tcPr>
          <w:p>
            <w:pPr>
              <w:spacing w:after="20" w:before="0"/>
              <w:jc w:val="center"/>
            </w:pPr>
            <w:r/>
            <w:r>
              <w:rPr>
                <w:rFonts w:ascii="Lato" w:hAnsi="Lato" w:cs="Lato"/>
                <w:b/>
                <w:i w:val="0"/>
                <w:color w:val="FFFFFF"/>
                <w:sz w:val="17"/>
              </w:rPr>
              <w:t>0223C position</w:t>
            </w:r>
          </w:p>
        </w:tc>
        <w:tc>
          <w:tcPr>
            <w:tcW w:type="dxa" w:w="2721"/>
            <w:shd w:val="clear" w:color="auto" w:fill="00648B"/>
          </w:tcPr>
          <w:p>
            <w:pPr>
              <w:spacing w:after="20" w:before="0"/>
              <w:jc w:val="center"/>
            </w:pPr>
            <w:r/>
            <w:r>
              <w:rPr>
                <w:rFonts w:ascii="Lato" w:hAnsi="Lato" w:cs="Lato"/>
                <w:b/>
                <w:i w:val="0"/>
                <w:color w:val="FFFFFF"/>
                <w:sz w:val="17"/>
              </w:rPr>
              <w:t>Final position</w:t>
            </w:r>
          </w:p>
        </w:tc>
        <w:tc>
          <w:tcPr>
            <w:tcW w:type="dxa" w:w="3515"/>
            <w:shd w:val="clear" w:color="auto" w:fill="00648B"/>
          </w:tcPr>
          <w:p>
            <w:pPr>
              <w:spacing w:after="20" w:before="0"/>
              <w:jc w:val="center"/>
            </w:pPr>
            <w:r/>
            <w:r>
              <w:rPr>
                <w:rFonts w:ascii="Lato" w:hAnsi="Lato" w:cs="Lato"/>
                <w:b/>
                <w:i w:val="0"/>
                <w:color w:val="FFFFFF"/>
                <w:sz w:val="17"/>
              </w:rPr>
              <w:t>Exact change &amp; practical effect</w:t>
            </w:r>
          </w:p>
        </w:tc>
        <w:tc>
          <w:tcPr>
            <w:tcW w:type="dxa" w:w="1134"/>
            <w:shd w:val="clear" w:color="auto" w:fill="00648B"/>
          </w:tcPr>
          <w:p>
            <w:pPr>
              <w:spacing w:after="20" w:before="0"/>
              <w:jc w:val="center"/>
            </w:pPr>
            <w:r/>
            <w:r>
              <w:rPr>
                <w:rFonts w:ascii="Lato" w:hAnsi="Lato" w:cs="Lato"/>
                <w:b/>
                <w:i w:val="0"/>
                <w:color w:val="FFFFFF"/>
                <w:sz w:val="17"/>
              </w:rPr>
              <w:t>Effect</w:t>
            </w:r>
          </w:p>
        </w:tc>
        <w:tc>
          <w:tcPr>
            <w:tcW w:type="dxa" w:w="737"/>
            <w:shd w:val="clear" w:color="auto" w:fill="00648B"/>
          </w:tcPr>
          <w:p>
            <w:pPr>
              <w:spacing w:after="20" w:before="0"/>
              <w:jc w:val="center"/>
            </w:pPr>
            <w:r/>
            <w:r>
              <w:rPr>
                <w:rFonts w:ascii="Lato" w:hAnsi="Lato" w:cs="Lato"/>
                <w:b/>
                <w:i w:val="0"/>
                <w:color w:val="FFFFFF"/>
                <w:sz w:val="17"/>
              </w:rPr>
              <w:t>Broker?</w:t>
            </w:r>
          </w:p>
        </w:tc>
        <w:tc>
          <w:tcPr>
            <w:tcW w:type="dxa" w:w="737"/>
            <w:shd w:val="clear" w:color="auto" w:fill="00648B"/>
          </w:tcPr>
          <w:p>
            <w:pPr>
              <w:spacing w:after="20" w:before="0"/>
              <w:jc w:val="center"/>
            </w:pPr>
            <w:r/>
            <w:r>
              <w:rPr>
                <w:rFonts w:ascii="Lato" w:hAnsi="Lato" w:cs="Lato"/>
                <w:b/>
                <w:i w:val="0"/>
                <w:color w:val="FFFFFF"/>
                <w:sz w:val="17"/>
              </w:rPr>
              <w:t>Sign-off?</w:t>
            </w:r>
          </w:p>
        </w:tc>
        <w:tc>
          <w:tcPr>
            <w:tcW w:type="dxa" w:w="1474"/>
            <w:shd w:val="clear" w:color="auto" w:fill="00648B"/>
          </w:tcPr>
          <w:p>
            <w:pPr>
              <w:spacing w:after="20" w:before="0"/>
              <w:jc w:val="center"/>
            </w:pPr>
            <w:r/>
            <w:r>
              <w:rPr>
                <w:rFonts w:ascii="Lato" w:hAnsi="Lato" w:cs="Lato"/>
                <w:b/>
                <w:i w:val="0"/>
                <w:color w:val="FFFFFF"/>
                <w:sz w:val="17"/>
              </w:rPr>
              <w:t>Type</w:t>
            </w:r>
          </w:p>
        </w:tc>
        <w:tc>
          <w:tcPr>
            <w:tcW w:type="dxa" w:w="1474"/>
            <w:shd w:val="clear" w:color="auto" w:fill="00648B"/>
          </w:tcPr>
          <w:p>
            <w:pPr>
              <w:spacing w:after="20" w:before="0"/>
              <w:jc w:val="center"/>
            </w:pPr>
            <w:r/>
            <w:r>
              <w:rPr>
                <w:rFonts w:ascii="Lato" w:hAnsi="Lato" w:cs="Lato"/>
                <w:b/>
                <w:i w:val="0"/>
                <w:color w:val="FFFFFF"/>
                <w:sz w:val="17"/>
              </w:rPr>
              <w:t>Source</w:t>
            </w:r>
          </w:p>
        </w:tc>
      </w:tr>
      <w:tr>
        <w:tc>
          <w:tcPr>
            <w:tcW w:type="dxa" w:w="1928"/>
          </w:tcPr>
          <w:p>
            <w:pPr>
              <w:spacing w:after="20" w:before="0"/>
            </w:pPr>
            <w:r/>
            <w:r>
              <w:rPr>
                <w:rFonts w:ascii="Lato" w:hAnsi="Lato" w:cs="Lato"/>
                <w:b/>
                <w:i w:val="0"/>
                <w:color w:val="00648B"/>
                <w:sz w:val="15"/>
              </w:rPr>
              <w:t>Policy Contents page</w:t>
            </w:r>
          </w:p>
        </w:tc>
        <w:tc>
          <w:tcPr>
            <w:tcW w:type="dxa" w:w="2438"/>
          </w:tcPr>
          <w:p>
            <w:pPr>
              <w:spacing w:after="20" w:before="0"/>
            </w:pPr>
            <w:r/>
            <w:r>
              <w:rPr>
                <w:rFonts w:ascii="Lato" w:hAnsi="Lato" w:cs="Lato"/>
                <w:b w:val="0"/>
                <w:i w:val="0"/>
                <w:color w:val="2B2F33"/>
                <w:sz w:val="14"/>
              </w:rPr>
              <w:t>No formal machine-generated contents.</w:t>
            </w:r>
          </w:p>
        </w:tc>
        <w:tc>
          <w:tcPr>
            <w:tcW w:type="dxa" w:w="2722"/>
          </w:tcPr>
          <w:p>
            <w:pPr>
              <w:spacing w:after="20" w:before="0"/>
            </w:pPr>
            <w:r/>
            <w:r>
              <w:rPr>
                <w:rFonts w:ascii="Lato" w:hAnsi="Lato" w:cs="Lato"/>
                <w:b w:val="0"/>
                <w:i w:val="0"/>
                <w:color w:val="2B2F33"/>
                <w:sz w:val="14"/>
              </w:rPr>
              <w:t>Two-column hyperlinked 'Policy Contents' with accurate page numbers and footer pagination.</w:t>
            </w:r>
          </w:p>
        </w:tc>
        <w:tc>
          <w:tcPr>
            <w:tcW w:type="dxa" w:w="3515"/>
          </w:tcPr>
          <w:p>
            <w:pPr>
              <w:spacing w:after="20" w:before="0"/>
            </w:pPr>
            <w:r/>
            <w:r>
              <w:rPr>
                <w:rFonts w:ascii="Lato" w:hAnsi="Lato" w:cs="Lato"/>
                <w:b w:val="0"/>
                <w:i w:val="0"/>
                <w:color w:val="2B2F33"/>
                <w:sz w:val="14"/>
              </w:rPr>
              <w:t>Added navigable Contents; live page numbers. — Easier navigation; no cover change.</w:t>
            </w:r>
          </w:p>
        </w:tc>
        <w:tc>
          <w:tcPr>
            <w:tcW w:type="dxa" w:w="1134"/>
          </w:tcPr>
          <w:p>
            <w:pPr>
              <w:spacing w:after="20" w:before="0"/>
            </w:pPr>
            <w:r/>
            <w:r>
              <w:rPr>
                <w:rFonts w:ascii="Lato" w:hAnsi="Lato" w:cs="Lato"/>
                <w:b/>
                <w:i w:val="0"/>
                <w:color w:val="6C7378"/>
                <w:sz w:val="14"/>
              </w:rPr>
              <w:t>Neutral</w:t>
            </w:r>
          </w:p>
        </w:tc>
        <w:tc>
          <w:tcPr>
            <w:tcW w:type="dxa" w:w="737"/>
          </w:tcPr>
          <w:p>
            <w:pPr>
              <w:spacing w:after="20" w:before="0"/>
              <w:jc w:val="center"/>
            </w:pPr>
            <w:r/>
            <w:r>
              <w:rPr>
                <w:rFonts w:ascii="Lato" w:hAnsi="Lato" w:cs="Lato"/>
                <w:b w:val="0"/>
                <w:i w:val="0"/>
                <w:color w:val="2B2F33"/>
                <w:sz w:val="14"/>
              </w:rPr>
              <w:t>No</w:t>
            </w:r>
          </w:p>
        </w:tc>
        <w:tc>
          <w:tcPr>
            <w:tcW w:type="dxa" w:w="737"/>
          </w:tcPr>
          <w:p>
            <w:pPr>
              <w:spacing w:after="20" w:before="0"/>
              <w:jc w:val="center"/>
            </w:pPr>
            <w:r/>
            <w:r>
              <w:rPr>
                <w:rFonts w:ascii="Lato" w:hAnsi="Lato" w:cs="Lato"/>
                <w:b w:val="0"/>
                <w:i w:val="0"/>
                <w:color w:val="2B2F33"/>
                <w:sz w:val="14"/>
              </w:rPr>
              <w:t>No</w:t>
            </w:r>
          </w:p>
        </w:tc>
        <w:tc>
          <w:tcPr>
            <w:tcW w:type="dxa" w:w="1474"/>
          </w:tcPr>
          <w:p>
            <w:pPr>
              <w:spacing w:after="20" w:before="0"/>
            </w:pPr>
            <w:r/>
            <w:r>
              <w:rPr>
                <w:rFonts w:ascii="Lato" w:hAnsi="Lato" w:cs="Lato"/>
                <w:b w:val="0"/>
                <w:i w:val="0"/>
                <w:color w:val="2B2F33"/>
                <w:sz w:val="14"/>
              </w:rPr>
              <w:t>Formatting / structural</w:t>
            </w:r>
          </w:p>
        </w:tc>
        <w:tc>
          <w:tcPr>
            <w:tcW w:type="dxa" w:w="1474"/>
          </w:tcPr>
          <w:p>
            <w:pPr>
              <w:spacing w:after="20" w:before="0"/>
            </w:pPr>
            <w:r/>
            <w:r>
              <w:rPr>
                <w:rFonts w:ascii="Lato" w:hAnsi="Lato" w:cs="Lato"/>
                <w:b w:val="0"/>
                <w:i w:val="0"/>
                <w:color w:val="2B2F33"/>
                <w:sz w:val="14"/>
              </w:rPr>
              <w:t>Base</w:t>
            </w:r>
          </w:p>
        </w:tc>
      </w:tr>
      <w:tr>
        <w:tc>
          <w:tcPr>
            <w:tcW w:type="dxa" w:w="1928"/>
            <w:shd w:val="clear" w:color="auto" w:fill="F4F7F9"/>
          </w:tcPr>
          <w:p>
            <w:pPr>
              <w:spacing w:after="20" w:before="0"/>
            </w:pPr>
            <w:r/>
            <w:r>
              <w:rPr>
                <w:rFonts w:ascii="Lato" w:hAnsi="Lato" w:cs="Lato"/>
                <w:b/>
                <w:i w:val="0"/>
                <w:color w:val="00648B"/>
                <w:sz w:val="15"/>
              </w:rPr>
              <w:t>Notices — Complaints / FOS / ODR / Consumer</w:t>
            </w:r>
          </w:p>
        </w:tc>
        <w:tc>
          <w:tcPr>
            <w:tcW w:type="dxa" w:w="2438"/>
            <w:shd w:val="clear" w:color="auto" w:fill="F4F7F9"/>
          </w:tcPr>
          <w:p>
            <w:pPr>
              <w:spacing w:after="20" w:before="0"/>
            </w:pPr>
            <w:r/>
            <w:r>
              <w:rPr>
                <w:rFonts w:ascii="Lato" w:hAnsi="Lato" w:cs="Lato"/>
                <w:b w:val="0"/>
                <w:i w:val="0"/>
                <w:color w:val="2B2F33"/>
                <w:sz w:val="14"/>
              </w:rPr>
              <w:t>Standard complaints and data-protection notices.</w:t>
            </w:r>
          </w:p>
        </w:tc>
        <w:tc>
          <w:tcPr>
            <w:tcW w:type="dxa" w:w="2722"/>
            <w:shd w:val="clear" w:color="auto" w:fill="F4F7F9"/>
          </w:tcPr>
          <w:p>
            <w:pPr>
              <w:spacing w:after="20" w:before="0"/>
            </w:pPr>
            <w:r/>
            <w:r>
              <w:rPr>
                <w:rFonts w:ascii="Lato" w:hAnsi="Lato" w:cs="Lato"/>
                <w:b w:val="0"/>
                <w:i w:val="0"/>
                <w:color w:val="2B2F33"/>
                <w:sz w:val="14"/>
              </w:rPr>
              <w:t>Expanded complaints route incl. Financial Ombudsman Service (FOS) and EU ODR platform; Consumer-specific notice.</w:t>
            </w:r>
          </w:p>
        </w:tc>
        <w:tc>
          <w:tcPr>
            <w:tcW w:type="dxa" w:w="3515"/>
            <w:shd w:val="clear" w:color="auto" w:fill="F4F7F9"/>
          </w:tcPr>
          <w:p>
            <w:pPr>
              <w:spacing w:after="20" w:before="0"/>
            </w:pPr>
            <w:r/>
            <w:r>
              <w:rPr>
                <w:rFonts w:ascii="Lato" w:hAnsi="Lato" w:cs="Lato"/>
                <w:b w:val="0"/>
                <w:i w:val="0"/>
                <w:color w:val="2B2F33"/>
                <w:sz w:val="14"/>
              </w:rPr>
              <w:t>Clarified regulatory complaints and consumer rights. — Better consumer compliance; no cover change.</w:t>
            </w:r>
          </w:p>
        </w:tc>
        <w:tc>
          <w:tcPr>
            <w:tcW w:type="dxa" w:w="1134"/>
            <w:shd w:val="clear" w:color="auto" w:fill="F4F7F9"/>
          </w:tcPr>
          <w:p>
            <w:pPr>
              <w:spacing w:after="20" w:before="0"/>
            </w:pPr>
            <w:r/>
            <w:r>
              <w:rPr>
                <w:rFonts w:ascii="Lato" w:hAnsi="Lato" w:cs="Lato"/>
                <w:b/>
                <w:i w:val="0"/>
                <w:color w:val="6C7378"/>
                <w:sz w:val="14"/>
              </w:rPr>
              <w:t>Neutral</w:t>
            </w:r>
          </w:p>
        </w:tc>
        <w:tc>
          <w:tcPr>
            <w:tcW w:type="dxa" w:w="737"/>
            <w:shd w:val="clear" w:color="auto" w:fill="F4F7F9"/>
          </w:tcPr>
          <w:p>
            <w:pPr>
              <w:spacing w:after="20" w:before="0"/>
              <w:jc w:val="center"/>
            </w:pPr>
            <w:r/>
            <w:r>
              <w:rPr>
                <w:rFonts w:ascii="Lato" w:hAnsi="Lato" w:cs="Lato"/>
                <w:b w:val="0"/>
                <w:i w:val="0"/>
                <w:color w:val="2B2F33"/>
                <w:sz w:val="14"/>
              </w:rPr>
              <w:t>No</w:t>
            </w:r>
          </w:p>
        </w:tc>
        <w:tc>
          <w:tcPr>
            <w:tcW w:type="dxa" w:w="737"/>
            <w:shd w:val="clear" w:color="auto" w:fill="F4F7F9"/>
          </w:tcPr>
          <w:p>
            <w:pPr>
              <w:spacing w:after="20" w:before="0"/>
              <w:jc w:val="center"/>
            </w:pPr>
            <w:r/>
            <w:r>
              <w:rPr>
                <w:rFonts w:ascii="Lato" w:hAnsi="Lato" w:cs="Lato"/>
                <w:b w:val="0"/>
                <w:i w:val="0"/>
                <w:color w:val="2B2F33"/>
                <w:sz w:val="14"/>
              </w:rPr>
              <w:t>No</w:t>
            </w:r>
          </w:p>
        </w:tc>
        <w:tc>
          <w:tcPr>
            <w:tcW w:type="dxa" w:w="1474"/>
            <w:shd w:val="clear" w:color="auto" w:fill="F4F7F9"/>
          </w:tcPr>
          <w:p>
            <w:pPr>
              <w:spacing w:after="20" w:before="0"/>
            </w:pPr>
            <w:r/>
            <w:r>
              <w:rPr>
                <w:rFonts w:ascii="Lato" w:hAnsi="Lato" w:cs="Lato"/>
                <w:b w:val="0"/>
                <w:i w:val="0"/>
                <w:color w:val="2B2F33"/>
                <w:sz w:val="14"/>
              </w:rPr>
              <w:t>Technical</w:t>
            </w:r>
          </w:p>
        </w:tc>
        <w:tc>
          <w:tcPr>
            <w:tcW w:type="dxa" w:w="1474"/>
            <w:shd w:val="clear" w:color="auto" w:fill="F4F7F9"/>
          </w:tcPr>
          <w:p>
            <w:pPr>
              <w:spacing w:after="20" w:before="0"/>
            </w:pPr>
            <w:r/>
            <w:r>
              <w:rPr>
                <w:rFonts w:ascii="Lato" w:hAnsi="Lato" w:cs="Lato"/>
                <w:b w:val="0"/>
                <w:i w:val="0"/>
                <w:color w:val="2B2F33"/>
                <w:sz w:val="14"/>
              </w:rPr>
              <w:t>Base</w:t>
            </w:r>
          </w:p>
        </w:tc>
      </w:tr>
      <w:tr>
        <w:tc>
          <w:tcPr>
            <w:tcW w:type="dxa" w:w="1928"/>
          </w:tcPr>
          <w:p>
            <w:pPr>
              <w:spacing w:after="20" w:before="0"/>
            </w:pPr>
            <w:r/>
            <w:r>
              <w:rPr>
                <w:rFonts w:ascii="Lato" w:hAnsi="Lato" w:cs="Lato"/>
                <w:b/>
                <w:i w:val="0"/>
                <w:color w:val="00648B"/>
                <w:sz w:val="15"/>
              </w:rPr>
              <w:t>Trading Sanctions / Restrictions</w:t>
            </w:r>
          </w:p>
        </w:tc>
        <w:tc>
          <w:tcPr>
            <w:tcW w:type="dxa" w:w="2438"/>
          </w:tcPr>
          <w:p>
            <w:pPr>
              <w:spacing w:after="20" w:before="0"/>
            </w:pPr>
            <w:r/>
            <w:r>
              <w:rPr>
                <w:rFonts w:ascii="Lato" w:hAnsi="Lato" w:cs="Lato"/>
                <w:b w:val="0"/>
                <w:i w:val="0"/>
                <w:color w:val="2B2F33"/>
                <w:sz w:val="14"/>
              </w:rPr>
              <w:t>Sanctions handled within general conditions.</w:t>
            </w:r>
          </w:p>
        </w:tc>
        <w:tc>
          <w:tcPr>
            <w:tcW w:type="dxa" w:w="2722"/>
          </w:tcPr>
          <w:p>
            <w:pPr>
              <w:spacing w:after="20" w:before="0"/>
            </w:pPr>
            <w:r/>
            <w:r>
              <w:rPr>
                <w:rFonts w:ascii="Lato" w:hAnsi="Lato" w:cs="Lato"/>
                <w:b w:val="0"/>
                <w:i w:val="0"/>
                <w:color w:val="2B2F33"/>
                <w:sz w:val="14"/>
              </w:rPr>
              <w:t>Express 'Trading Sanctions or Restrictions' notice added to the front matter (in addition to the International Sanctions clause).</w:t>
            </w:r>
          </w:p>
        </w:tc>
        <w:tc>
          <w:tcPr>
            <w:tcW w:type="dxa" w:w="3515"/>
          </w:tcPr>
          <w:p>
            <w:pPr>
              <w:spacing w:after="20" w:before="0"/>
            </w:pPr>
            <w:r/>
            <w:r>
              <w:rPr>
                <w:rFonts w:ascii="Lato" w:hAnsi="Lato" w:cs="Lato"/>
                <w:b w:val="0"/>
                <w:i w:val="0"/>
                <w:color w:val="2B2F33"/>
                <w:sz w:val="14"/>
              </w:rPr>
              <w:t>Reinforces sanctions position. — Stronger sanctions protection for the insurer.</w:t>
            </w:r>
          </w:p>
        </w:tc>
        <w:tc>
          <w:tcPr>
            <w:tcW w:type="dxa" w:w="1134"/>
          </w:tcPr>
          <w:p>
            <w:pPr>
              <w:spacing w:after="20" w:before="0"/>
            </w:pPr>
            <w:r/>
            <w:r>
              <w:rPr>
                <w:rFonts w:ascii="Lato" w:hAnsi="Lato" w:cs="Lato"/>
                <w:b/>
                <w:i w:val="0"/>
                <w:color w:val="C0563F"/>
                <w:sz w:val="14"/>
              </w:rPr>
              <w:t>Neutral / Restrictive</w:t>
            </w:r>
          </w:p>
        </w:tc>
        <w:tc>
          <w:tcPr>
            <w:tcW w:type="dxa" w:w="737"/>
          </w:tcPr>
          <w:p>
            <w:pPr>
              <w:spacing w:after="20" w:before="0"/>
              <w:jc w:val="center"/>
            </w:pPr>
            <w:r/>
            <w:r>
              <w:rPr>
                <w:rFonts w:ascii="Lato" w:hAnsi="Lato" w:cs="Lato"/>
                <w:b w:val="0"/>
                <w:i w:val="0"/>
                <w:color w:val="2B2F33"/>
                <w:sz w:val="14"/>
              </w:rPr>
              <w:t>No</w:t>
            </w:r>
          </w:p>
        </w:tc>
        <w:tc>
          <w:tcPr>
            <w:tcW w:type="dxa" w:w="737"/>
          </w:tcPr>
          <w:p>
            <w:pPr>
              <w:spacing w:after="20" w:before="0"/>
              <w:jc w:val="center"/>
            </w:pPr>
            <w:r/>
            <w:r>
              <w:rPr>
                <w:rFonts w:ascii="Lato" w:hAnsi="Lato" w:cs="Lato"/>
                <w:b w:val="0"/>
                <w:i w:val="0"/>
                <w:color w:val="2B2F33"/>
                <w:sz w:val="14"/>
              </w:rPr>
              <w:t>No</w:t>
            </w:r>
          </w:p>
        </w:tc>
        <w:tc>
          <w:tcPr>
            <w:tcW w:type="dxa" w:w="1474"/>
          </w:tcPr>
          <w:p>
            <w:pPr>
              <w:spacing w:after="20" w:before="0"/>
            </w:pPr>
            <w:r/>
            <w:r>
              <w:rPr>
                <w:rFonts w:ascii="Lato" w:hAnsi="Lato" w:cs="Lato"/>
                <w:b w:val="0"/>
                <w:i w:val="0"/>
                <w:color w:val="2B2F33"/>
                <w:sz w:val="14"/>
              </w:rPr>
              <w:t>Technical</w:t>
            </w:r>
          </w:p>
        </w:tc>
        <w:tc>
          <w:tcPr>
            <w:tcW w:type="dxa" w:w="1474"/>
          </w:tcPr>
          <w:p>
            <w:pPr>
              <w:spacing w:after="20" w:before="0"/>
            </w:pPr>
            <w:r/>
            <w:r>
              <w:rPr>
                <w:rFonts w:ascii="Lato" w:hAnsi="Lato" w:cs="Lato"/>
                <w:b w:val="0"/>
                <w:i w:val="0"/>
                <w:color w:val="2B2F33"/>
                <w:sz w:val="14"/>
              </w:rPr>
              <w:t>Base</w:t>
            </w:r>
          </w:p>
        </w:tc>
      </w:tr>
      <w:tr>
        <w:tc>
          <w:tcPr>
            <w:tcW w:type="dxa" w:w="1928"/>
            <w:shd w:val="clear" w:color="auto" w:fill="F4F7F9"/>
          </w:tcPr>
          <w:p>
            <w:pPr>
              <w:spacing w:after="20" w:before="0"/>
            </w:pPr>
            <w:r/>
            <w:r>
              <w:rPr>
                <w:rFonts w:ascii="Lato" w:hAnsi="Lato" w:cs="Lato"/>
                <w:b/>
                <w:i w:val="0"/>
                <w:color w:val="00648B"/>
                <w:sz w:val="15"/>
              </w:rPr>
              <w:t>Insuring Agreement</w:t>
            </w:r>
          </w:p>
        </w:tc>
        <w:tc>
          <w:tcPr>
            <w:tcW w:type="dxa" w:w="2438"/>
            <w:shd w:val="clear" w:color="auto" w:fill="F4F7F9"/>
          </w:tcPr>
          <w:p>
            <w:pPr>
              <w:spacing w:after="20" w:before="0"/>
            </w:pPr>
            <w:r/>
            <w:r>
              <w:rPr>
                <w:rFonts w:ascii="Lato" w:hAnsi="Lato" w:cs="Lato"/>
                <w:b w:val="0"/>
                <w:i w:val="0"/>
                <w:color w:val="2B2F33"/>
                <w:sz w:val="14"/>
              </w:rPr>
              <w:t>'Insuring Agreement' clause framed around 13 sections.</w:t>
            </w:r>
          </w:p>
        </w:tc>
        <w:tc>
          <w:tcPr>
            <w:tcW w:type="dxa" w:w="2722"/>
            <w:shd w:val="clear" w:color="auto" w:fill="F4F7F9"/>
          </w:tcPr>
          <w:p>
            <w:pPr>
              <w:spacing w:after="20" w:before="0"/>
            </w:pPr>
            <w:r/>
            <w:r>
              <w:rPr>
                <w:rFonts w:ascii="Lato" w:hAnsi="Lato" w:cs="Lato"/>
                <w:b w:val="0"/>
                <w:i w:val="0"/>
                <w:color w:val="2B2F33"/>
                <w:sz w:val="14"/>
              </w:rPr>
              <w:t>Re-cast: cover applies 'in respect of any Section shown in the Schedule as operative'; aligned to the 15-section structure.</w:t>
            </w:r>
          </w:p>
        </w:tc>
        <w:tc>
          <w:tcPr>
            <w:tcW w:type="dxa" w:w="3515"/>
            <w:shd w:val="clear" w:color="auto" w:fill="F4F7F9"/>
          </w:tcPr>
          <w:p>
            <w:pPr>
              <w:spacing w:after="20" w:before="0"/>
            </w:pPr>
            <w:r/>
            <w:r>
              <w:rPr>
                <w:rFonts w:ascii="Lato" w:hAnsi="Lato" w:cs="Lato"/>
                <w:b w:val="0"/>
                <w:i w:val="0"/>
                <w:color w:val="2B2F33"/>
                <w:sz w:val="14"/>
              </w:rPr>
              <w:t>Schedule-driven operative-section logic made explicit. — Clarifies that only scheduled sections are operative.</w:t>
            </w:r>
          </w:p>
        </w:tc>
        <w:tc>
          <w:tcPr>
            <w:tcW w:type="dxa" w:w="1134"/>
            <w:shd w:val="clear" w:color="auto" w:fill="F4F7F9"/>
          </w:tcPr>
          <w:p>
            <w:pPr>
              <w:spacing w:after="20" w:before="0"/>
            </w:pPr>
            <w:r/>
            <w:r>
              <w:rPr>
                <w:rFonts w:ascii="Lato" w:hAnsi="Lato" w:cs="Lato"/>
                <w:b/>
                <w:i w:val="0"/>
                <w:color w:val="6C7378"/>
                <w:sz w:val="14"/>
              </w:rPr>
              <w:t>Neutral</w:t>
            </w:r>
          </w:p>
        </w:tc>
        <w:tc>
          <w:tcPr>
            <w:tcW w:type="dxa" w:w="737"/>
            <w:shd w:val="clear" w:color="auto" w:fill="F4F7F9"/>
          </w:tcPr>
          <w:p>
            <w:pPr>
              <w:spacing w:after="20" w:before="0"/>
              <w:jc w:val="center"/>
            </w:pPr>
            <w:r/>
            <w:r>
              <w:rPr>
                <w:rFonts w:ascii="Lato" w:hAnsi="Lato" w:cs="Lato"/>
                <w:b w:val="0"/>
                <w:i w:val="0"/>
                <w:color w:val="2B2F33"/>
                <w:sz w:val="14"/>
              </w:rPr>
              <w:t>Yes</w:t>
            </w:r>
          </w:p>
        </w:tc>
        <w:tc>
          <w:tcPr>
            <w:tcW w:type="dxa" w:w="737"/>
            <w:shd w:val="clear" w:color="auto" w:fill="F4F7F9"/>
          </w:tcPr>
          <w:p>
            <w:pPr>
              <w:spacing w:after="20" w:before="0"/>
              <w:jc w:val="center"/>
            </w:pPr>
            <w:r/>
            <w:r>
              <w:rPr>
                <w:rFonts w:ascii="Lato" w:hAnsi="Lato" w:cs="Lato"/>
                <w:b w:val="0"/>
                <w:i w:val="0"/>
                <w:color w:val="2B2F33"/>
                <w:sz w:val="14"/>
              </w:rPr>
              <w:t>No</w:t>
            </w:r>
          </w:p>
        </w:tc>
        <w:tc>
          <w:tcPr>
            <w:tcW w:type="dxa" w:w="1474"/>
            <w:shd w:val="clear" w:color="auto" w:fill="F4F7F9"/>
          </w:tcPr>
          <w:p>
            <w:pPr>
              <w:spacing w:after="20" w:before="0"/>
            </w:pPr>
            <w:r/>
            <w:r>
              <w:rPr>
                <w:rFonts w:ascii="Lato" w:hAnsi="Lato" w:cs="Lato"/>
                <w:b w:val="0"/>
                <w:i w:val="0"/>
                <w:color w:val="2B2F33"/>
                <w:sz w:val="14"/>
              </w:rPr>
              <w:t>Structural</w:t>
            </w:r>
          </w:p>
        </w:tc>
        <w:tc>
          <w:tcPr>
            <w:tcW w:type="dxa" w:w="1474"/>
            <w:shd w:val="clear" w:color="auto" w:fill="F4F7F9"/>
          </w:tcPr>
          <w:p>
            <w:pPr>
              <w:spacing w:after="20" w:before="0"/>
            </w:pPr>
            <w:r/>
            <w:r>
              <w:rPr>
                <w:rFonts w:ascii="Lato" w:hAnsi="Lato" w:cs="Lato"/>
                <w:b w:val="0"/>
                <w:i w:val="0"/>
                <w:color w:val="2B2F33"/>
                <w:sz w:val="14"/>
              </w:rPr>
              <w:t>Base</w:t>
            </w:r>
          </w:p>
        </w:tc>
      </w:tr>
      <w:tr>
        <w:tc>
          <w:tcPr>
            <w:tcW w:type="dxa" w:w="1928"/>
          </w:tcPr>
          <w:p>
            <w:pPr>
              <w:spacing w:after="20" w:before="0"/>
            </w:pPr>
            <w:r/>
            <w:r>
              <w:rPr>
                <w:rFonts w:ascii="Lato" w:hAnsi="Lato" w:cs="Lato"/>
                <w:b/>
                <w:i w:val="0"/>
                <w:color w:val="00648B"/>
                <w:sz w:val="15"/>
              </w:rPr>
              <w:t>General Policy Definitions</w:t>
            </w:r>
          </w:p>
        </w:tc>
        <w:tc>
          <w:tcPr>
            <w:tcW w:type="dxa" w:w="2438"/>
          </w:tcPr>
          <w:p>
            <w:pPr>
              <w:spacing w:after="20" w:before="0"/>
            </w:pPr>
            <w:r/>
            <w:r>
              <w:rPr>
                <w:rFonts w:ascii="Lato" w:hAnsi="Lato" w:cs="Lato"/>
                <w:b w:val="0"/>
                <w:i w:val="0"/>
                <w:color w:val="2B2F33"/>
                <w:sz w:val="14"/>
              </w:rPr>
              <w:t>Definitions listed; fewer defined terms; some inline.</w:t>
            </w:r>
          </w:p>
        </w:tc>
        <w:tc>
          <w:tcPr>
            <w:tcW w:type="dxa" w:w="2722"/>
          </w:tcPr>
          <w:p>
            <w:pPr>
              <w:spacing w:after="20" w:before="0"/>
            </w:pPr>
            <w:r/>
            <w:r>
              <w:rPr>
                <w:rFonts w:ascii="Lato" w:hAnsi="Lato" w:cs="Lato"/>
                <w:b w:val="0"/>
                <w:i w:val="0"/>
                <w:color w:val="2B2F33"/>
                <w:sz w:val="14"/>
              </w:rPr>
              <w:t>Each defined term promoted to its own heading; new terms added to support the three new sections (Legal Expenses, Management Liability, Cyber).</w:t>
            </w:r>
          </w:p>
        </w:tc>
        <w:tc>
          <w:tcPr>
            <w:tcW w:type="dxa" w:w="3515"/>
          </w:tcPr>
          <w:p>
            <w:pPr>
              <w:spacing w:after="20" w:before="0"/>
            </w:pPr>
            <w:r/>
            <w:r>
              <w:rPr>
                <w:rFonts w:ascii="Lato" w:hAnsi="Lato" w:cs="Lato"/>
                <w:b w:val="0"/>
                <w:i w:val="0"/>
                <w:color w:val="2B2F33"/>
                <w:sz w:val="14"/>
              </w:rPr>
              <w:t>Many new/expanded definitions; clearer presentation. — More defined terms can both widen and tighten triggers — review on a term-by-term basis.</w:t>
            </w:r>
          </w:p>
        </w:tc>
        <w:tc>
          <w:tcPr>
            <w:tcW w:type="dxa" w:w="1134"/>
          </w:tcPr>
          <w:p>
            <w:pPr>
              <w:spacing w:after="20" w:before="0"/>
            </w:pPr>
            <w:r/>
            <w:r>
              <w:rPr>
                <w:rFonts w:ascii="Lato" w:hAnsi="Lato" w:cs="Lato"/>
                <w:b/>
                <w:i w:val="0"/>
                <w:color w:val="6C7378"/>
                <w:sz w:val="14"/>
              </w:rPr>
              <w:t>Neutral</w:t>
            </w:r>
          </w:p>
        </w:tc>
        <w:tc>
          <w:tcPr>
            <w:tcW w:type="dxa" w:w="737"/>
          </w:tcPr>
          <w:p>
            <w:pPr>
              <w:spacing w:after="20" w:before="0"/>
              <w:jc w:val="center"/>
            </w:pPr>
            <w:r/>
            <w:r>
              <w:rPr>
                <w:rFonts w:ascii="Lato" w:hAnsi="Lato" w:cs="Lato"/>
                <w:b w:val="0"/>
                <w:i w:val="0"/>
                <w:color w:val="2B2F33"/>
                <w:sz w:val="14"/>
              </w:rPr>
              <w:t>Yes</w:t>
            </w:r>
          </w:p>
        </w:tc>
        <w:tc>
          <w:tcPr>
            <w:tcW w:type="dxa" w:w="737"/>
          </w:tcPr>
          <w:p>
            <w:pPr>
              <w:spacing w:after="20" w:before="0"/>
              <w:jc w:val="center"/>
            </w:pPr>
            <w:r/>
            <w:r>
              <w:rPr>
                <w:rFonts w:ascii="Lato" w:hAnsi="Lato" w:cs="Lato"/>
                <w:b/>
                <w:i w:val="0"/>
                <w:color w:val="C0563F"/>
                <w:sz w:val="14"/>
              </w:rPr>
              <w:t>Yes</w:t>
            </w:r>
          </w:p>
        </w:tc>
        <w:tc>
          <w:tcPr>
            <w:tcW w:type="dxa" w:w="1474"/>
          </w:tcPr>
          <w:p>
            <w:pPr>
              <w:spacing w:after="20" w:before="0"/>
            </w:pPr>
            <w:r/>
            <w:r>
              <w:rPr>
                <w:rFonts w:ascii="Lato" w:hAnsi="Lato" w:cs="Lato"/>
                <w:b w:val="0"/>
                <w:i w:val="0"/>
                <w:color w:val="2B2F33"/>
                <w:sz w:val="14"/>
              </w:rPr>
              <w:t>Material / structural</w:t>
            </w:r>
          </w:p>
        </w:tc>
        <w:tc>
          <w:tcPr>
            <w:tcW w:type="dxa" w:w="1474"/>
          </w:tcPr>
          <w:p>
            <w:pPr>
              <w:spacing w:after="20" w:before="0"/>
            </w:pPr>
            <w:r/>
            <w:r>
              <w:rPr>
                <w:rFonts w:ascii="Lato" w:hAnsi="Lato" w:cs="Lato"/>
                <w:b w:val="0"/>
                <w:i w:val="0"/>
                <w:color w:val="2B2F33"/>
                <w:sz w:val="14"/>
              </w:rPr>
              <w:t>Base</w:t>
            </w:r>
          </w:p>
        </w:tc>
      </w:tr>
      <w:tr>
        <w:tc>
          <w:tcPr>
            <w:tcW w:type="dxa" w:w="1928"/>
            <w:shd w:val="clear" w:color="auto" w:fill="F4F7F9"/>
          </w:tcPr>
          <w:p>
            <w:pPr>
              <w:spacing w:after="20" w:before="0"/>
            </w:pPr>
            <w:r/>
            <w:r>
              <w:rPr>
                <w:rFonts w:ascii="Lato" w:hAnsi="Lato" w:cs="Lato"/>
                <w:b/>
                <w:i w:val="0"/>
                <w:color w:val="00648B"/>
                <w:sz w:val="15"/>
              </w:rPr>
              <w:t>General Application of Policy Conditions / General Conditions</w:t>
            </w:r>
          </w:p>
        </w:tc>
        <w:tc>
          <w:tcPr>
            <w:tcW w:type="dxa" w:w="2438"/>
            <w:shd w:val="clear" w:color="auto" w:fill="F4F7F9"/>
          </w:tcPr>
          <w:p>
            <w:pPr>
              <w:spacing w:after="20" w:before="0"/>
            </w:pPr>
            <w:r/>
            <w:r>
              <w:rPr>
                <w:rFonts w:ascii="Lato" w:hAnsi="Lato" w:cs="Lato"/>
                <w:b w:val="0"/>
                <w:i w:val="0"/>
                <w:color w:val="2B2F33"/>
                <w:sz w:val="14"/>
              </w:rPr>
              <w:t>General conditions stated 'Applicable to Sections 1–12'.</w:t>
            </w:r>
          </w:p>
        </w:tc>
        <w:tc>
          <w:tcPr>
            <w:tcW w:type="dxa" w:w="2722"/>
            <w:shd w:val="clear" w:color="auto" w:fill="F4F7F9"/>
          </w:tcPr>
          <w:p>
            <w:pPr>
              <w:spacing w:after="20" w:before="0"/>
            </w:pPr>
            <w:r/>
            <w:r>
              <w:rPr>
                <w:rFonts w:ascii="Lato" w:hAnsi="Lato" w:cs="Lato"/>
                <w:b w:val="0"/>
                <w:i w:val="0"/>
                <w:color w:val="2B2F33"/>
                <w:sz w:val="14"/>
              </w:rPr>
              <w:t>Re-scoped to 'Applicable to Sections 1–11'; Sections 13–15 carry their own specialist conditions which prevail on conflict. New 'Premium Instalments via a Finance Provider' condition added.</w:t>
            </w:r>
          </w:p>
        </w:tc>
        <w:tc>
          <w:tcPr>
            <w:tcW w:type="dxa" w:w="3515"/>
            <w:shd w:val="clear" w:color="auto" w:fill="F4F7F9"/>
          </w:tcPr>
          <w:p>
            <w:pPr>
              <w:spacing w:after="20" w:before="0"/>
            </w:pPr>
            <w:r/>
            <w:r>
              <w:rPr>
                <w:rFonts w:ascii="Lato" w:hAnsi="Lato" w:cs="Lato"/>
                <w:b w:val="0"/>
                <w:i w:val="0"/>
                <w:color w:val="2B2F33"/>
                <w:sz w:val="14"/>
              </w:rPr>
              <w:t>Conditions framework re-aligned to the new section map; finance-provider condition added. — Clients must read the new specialist conditions for S13–15; general conditions no longer reach the new liability sections.</w:t>
            </w:r>
          </w:p>
        </w:tc>
        <w:tc>
          <w:tcPr>
            <w:tcW w:type="dxa" w:w="1134"/>
            <w:shd w:val="clear" w:color="auto" w:fill="F4F7F9"/>
          </w:tcPr>
          <w:p>
            <w:pPr>
              <w:spacing w:after="20" w:before="0"/>
            </w:pPr>
            <w:r/>
            <w:r>
              <w:rPr>
                <w:rFonts w:ascii="Lato" w:hAnsi="Lato" w:cs="Lato"/>
                <w:b/>
                <w:i w:val="0"/>
                <w:color w:val="6C7378"/>
                <w:sz w:val="14"/>
              </w:rPr>
              <w:t>Neutral</w:t>
            </w:r>
          </w:p>
        </w:tc>
        <w:tc>
          <w:tcPr>
            <w:tcW w:type="dxa" w:w="737"/>
            <w:shd w:val="clear" w:color="auto" w:fill="F4F7F9"/>
          </w:tcPr>
          <w:p>
            <w:pPr>
              <w:spacing w:after="20" w:before="0"/>
              <w:jc w:val="center"/>
            </w:pPr>
            <w:r/>
            <w:r>
              <w:rPr>
                <w:rFonts w:ascii="Lato" w:hAnsi="Lato" w:cs="Lato"/>
                <w:b w:val="0"/>
                <w:i w:val="0"/>
                <w:color w:val="2B2F33"/>
                <w:sz w:val="14"/>
              </w:rPr>
              <w:t>Yes</w:t>
            </w:r>
          </w:p>
        </w:tc>
        <w:tc>
          <w:tcPr>
            <w:tcW w:type="dxa" w:w="737"/>
            <w:shd w:val="clear" w:color="auto" w:fill="F4F7F9"/>
          </w:tcPr>
          <w:p>
            <w:pPr>
              <w:spacing w:after="20" w:before="0"/>
              <w:jc w:val="center"/>
            </w:pPr>
            <w:r/>
            <w:r>
              <w:rPr>
                <w:rFonts w:ascii="Lato" w:hAnsi="Lato" w:cs="Lato"/>
                <w:b/>
                <w:i w:val="0"/>
                <w:color w:val="C0563F"/>
                <w:sz w:val="14"/>
              </w:rPr>
              <w:t>Yes</w:t>
            </w:r>
          </w:p>
        </w:tc>
        <w:tc>
          <w:tcPr>
            <w:tcW w:type="dxa" w:w="1474"/>
            <w:shd w:val="clear" w:color="auto" w:fill="F4F7F9"/>
          </w:tcPr>
          <w:p>
            <w:pPr>
              <w:spacing w:after="20" w:before="0"/>
            </w:pPr>
            <w:r/>
            <w:r>
              <w:rPr>
                <w:rFonts w:ascii="Lato" w:hAnsi="Lato" w:cs="Lato"/>
                <w:b w:val="0"/>
                <w:i w:val="0"/>
                <w:color w:val="2B2F33"/>
                <w:sz w:val="14"/>
              </w:rPr>
              <w:t>Structural</w:t>
            </w:r>
          </w:p>
        </w:tc>
        <w:tc>
          <w:tcPr>
            <w:tcW w:type="dxa" w:w="1474"/>
            <w:shd w:val="clear" w:color="auto" w:fill="F4F7F9"/>
          </w:tcPr>
          <w:p>
            <w:pPr>
              <w:spacing w:after="20" w:before="0"/>
            </w:pPr>
            <w:r/>
            <w:r>
              <w:rPr>
                <w:rFonts w:ascii="Lato" w:hAnsi="Lato" w:cs="Lato"/>
                <w:b w:val="0"/>
                <w:i w:val="0"/>
                <w:color w:val="2B2F33"/>
                <w:sz w:val="14"/>
              </w:rPr>
              <w:t>Base</w:t>
            </w:r>
          </w:p>
        </w:tc>
      </w:tr>
      <w:tr>
        <w:tc>
          <w:tcPr>
            <w:tcW w:type="dxa" w:w="1928"/>
          </w:tcPr>
          <w:p>
            <w:pPr>
              <w:spacing w:after="20" w:before="0"/>
            </w:pPr>
            <w:r/>
            <w:r>
              <w:rPr>
                <w:rFonts w:ascii="Lato" w:hAnsi="Lato" w:cs="Lato"/>
                <w:b/>
                <w:i w:val="0"/>
                <w:color w:val="00648B"/>
                <w:sz w:val="15"/>
              </w:rPr>
              <w:t>Protection &amp; Maintenance Conditions — Security devices</w:t>
            </w:r>
          </w:p>
        </w:tc>
        <w:tc>
          <w:tcPr>
            <w:tcW w:type="dxa" w:w="2438"/>
          </w:tcPr>
          <w:p>
            <w:pPr>
              <w:spacing w:after="20" w:before="0"/>
            </w:pPr>
            <w:r/>
            <w:r>
              <w:rPr>
                <w:rFonts w:ascii="Lato" w:hAnsi="Lato" w:cs="Lato"/>
                <w:b w:val="0"/>
                <w:i w:val="0"/>
                <w:color w:val="2B2F33"/>
                <w:sz w:val="14"/>
              </w:rPr>
              <w:t>Security-devices maintenance condition with no carve-out for bells-only alarms; '1–12'.</w:t>
            </w:r>
          </w:p>
        </w:tc>
        <w:tc>
          <w:tcPr>
            <w:tcW w:type="dxa" w:w="2722"/>
          </w:tcPr>
          <w:p>
            <w:pPr>
              <w:spacing w:after="20" w:before="0"/>
            </w:pPr>
            <w:r/>
            <w:r>
              <w:rPr>
                <w:rFonts w:ascii="Lato" w:hAnsi="Lato" w:cs="Lato"/>
                <w:b w:val="0"/>
                <w:i w:val="0"/>
                <w:color w:val="2B2F33"/>
                <w:sz w:val="14"/>
              </w:rPr>
              <w:t>Re-scoped '1–11'; 'bells only' intruder alarms expressly excluded from the maintenance condition.</w:t>
            </w:r>
          </w:p>
        </w:tc>
        <w:tc>
          <w:tcPr>
            <w:tcW w:type="dxa" w:w="3515"/>
          </w:tcPr>
          <w:p>
            <w:pPr>
              <w:spacing w:after="20" w:before="0"/>
            </w:pPr>
            <w:r/>
            <w:r>
              <w:rPr>
                <w:rFonts w:ascii="Lato" w:hAnsi="Lato" w:cs="Lato"/>
                <w:b w:val="0"/>
                <w:i w:val="0"/>
                <w:color w:val="2B2F33"/>
                <w:sz w:val="14"/>
              </w:rPr>
              <w:t>Minor easing of the security-maintenance condition. — Slightly more favourable for insureds with bells-only alarms.</w:t>
            </w:r>
          </w:p>
        </w:tc>
        <w:tc>
          <w:tcPr>
            <w:tcW w:type="dxa" w:w="1134"/>
          </w:tcPr>
          <w:p>
            <w:pPr>
              <w:spacing w:after="20" w:before="0"/>
            </w:pPr>
            <w:r/>
            <w:r>
              <w:rPr>
                <w:rFonts w:ascii="Lato" w:hAnsi="Lato" w:cs="Lato"/>
                <w:b/>
                <w:i w:val="0"/>
                <w:color w:val="1B7A3D"/>
                <w:sz w:val="14"/>
              </w:rPr>
              <w:t>Favourable</w:t>
            </w:r>
          </w:p>
        </w:tc>
        <w:tc>
          <w:tcPr>
            <w:tcW w:type="dxa" w:w="737"/>
          </w:tcPr>
          <w:p>
            <w:pPr>
              <w:spacing w:after="20" w:before="0"/>
              <w:jc w:val="center"/>
            </w:pPr>
            <w:r/>
            <w:r>
              <w:rPr>
                <w:rFonts w:ascii="Lato" w:hAnsi="Lato" w:cs="Lato"/>
                <w:b w:val="0"/>
                <w:i w:val="0"/>
                <w:color w:val="2B2F33"/>
                <w:sz w:val="14"/>
              </w:rPr>
              <w:t>Yes</w:t>
            </w:r>
          </w:p>
        </w:tc>
        <w:tc>
          <w:tcPr>
            <w:tcW w:type="dxa" w:w="737"/>
          </w:tcPr>
          <w:p>
            <w:pPr>
              <w:spacing w:after="20" w:before="0"/>
              <w:jc w:val="center"/>
            </w:pPr>
            <w:r/>
            <w:r>
              <w:rPr>
                <w:rFonts w:ascii="Lato" w:hAnsi="Lato" w:cs="Lato"/>
                <w:b/>
                <w:i w:val="0"/>
                <w:color w:val="C0563F"/>
                <w:sz w:val="14"/>
              </w:rPr>
              <w:t>Yes</w:t>
            </w:r>
          </w:p>
        </w:tc>
        <w:tc>
          <w:tcPr>
            <w:tcW w:type="dxa" w:w="1474"/>
          </w:tcPr>
          <w:p>
            <w:pPr>
              <w:spacing w:after="20" w:before="0"/>
            </w:pPr>
            <w:r/>
            <w:r>
              <w:rPr>
                <w:rFonts w:ascii="Lato" w:hAnsi="Lato" w:cs="Lato"/>
                <w:b w:val="0"/>
                <w:i w:val="0"/>
                <w:color w:val="2B2F33"/>
                <w:sz w:val="14"/>
              </w:rPr>
              <w:t>Material</w:t>
            </w:r>
          </w:p>
        </w:tc>
        <w:tc>
          <w:tcPr>
            <w:tcW w:type="dxa" w:w="1474"/>
          </w:tcPr>
          <w:p>
            <w:pPr>
              <w:spacing w:after="20" w:before="0"/>
            </w:pPr>
            <w:r/>
            <w:r>
              <w:rPr>
                <w:rFonts w:ascii="Lato" w:hAnsi="Lato" w:cs="Lato"/>
                <w:b w:val="0"/>
                <w:i w:val="0"/>
                <w:color w:val="2B2F33"/>
                <w:sz w:val="14"/>
              </w:rPr>
              <w:t>Base</w:t>
            </w:r>
          </w:p>
        </w:tc>
      </w:tr>
      <w:tr>
        <w:tc>
          <w:tcPr>
            <w:tcW w:type="dxa" w:w="1928"/>
            <w:shd w:val="clear" w:color="auto" w:fill="F4F7F9"/>
          </w:tcPr>
          <w:p>
            <w:pPr>
              <w:spacing w:after="20" w:before="0"/>
            </w:pPr>
            <w:r/>
            <w:r>
              <w:rPr>
                <w:rFonts w:ascii="Lato" w:hAnsi="Lato" w:cs="Lato"/>
                <w:b/>
                <w:i w:val="0"/>
                <w:color w:val="00648B"/>
                <w:sz w:val="15"/>
              </w:rPr>
              <w:t>Claims Conditions — Notification (S1–11)</w:t>
            </w:r>
          </w:p>
        </w:tc>
        <w:tc>
          <w:tcPr>
            <w:tcW w:type="dxa" w:w="2438"/>
            <w:shd w:val="clear" w:color="auto" w:fill="F4F7F9"/>
          </w:tcPr>
          <w:p>
            <w:pPr>
              <w:spacing w:after="20" w:before="0"/>
            </w:pPr>
            <w:r/>
            <w:r>
              <w:rPr>
                <w:rFonts w:ascii="Lato" w:hAnsi="Lato" w:cs="Lato"/>
                <w:b w:val="0"/>
                <w:i w:val="0"/>
                <w:color w:val="2B2F33"/>
                <w:sz w:val="14"/>
              </w:rPr>
              <w:t>Claim-notification obligations within claims conditions.</w:t>
            </w:r>
          </w:p>
        </w:tc>
        <w:tc>
          <w:tcPr>
            <w:tcW w:type="dxa" w:w="2722"/>
            <w:shd w:val="clear" w:color="auto" w:fill="F4F7F9"/>
          </w:tcPr>
          <w:p>
            <w:pPr>
              <w:spacing w:after="20" w:before="0"/>
            </w:pPr>
            <w:r/>
            <w:r>
              <w:rPr>
                <w:rFonts w:ascii="Lato" w:hAnsi="Lato" w:cs="Lato"/>
                <w:b w:val="0"/>
                <w:i w:val="0"/>
                <w:color w:val="2B2F33"/>
                <w:sz w:val="14"/>
              </w:rPr>
              <w:t>S1–11 notification is an ordinary obligation ('will notify… as soon as practicable'); section-level notification for S12–S15 operates as a condition precedent; police/security/storage/risk-improvement conditions retained.</w:t>
            </w:r>
          </w:p>
        </w:tc>
        <w:tc>
          <w:tcPr>
            <w:tcW w:type="dxa" w:w="3515"/>
            <w:shd w:val="clear" w:color="auto" w:fill="F4F7F9"/>
          </w:tcPr>
          <w:p>
            <w:pPr>
              <w:spacing w:after="20" w:before="0"/>
            </w:pPr>
            <w:r/>
            <w:r>
              <w:rPr>
                <w:rFonts w:ascii="Lato" w:hAnsi="Lato" w:cs="Lato"/>
                <w:b w:val="0"/>
                <w:i w:val="0"/>
                <w:color w:val="2B2F33"/>
                <w:sz w:val="14"/>
              </w:rPr>
              <w:t>Notification architecture clarified; not a blanket condition precedent for 1–11. — Clients must note that the new liability sections (S12–S15) have stricter, section-specific notification.</w:t>
            </w:r>
          </w:p>
        </w:tc>
        <w:tc>
          <w:tcPr>
            <w:tcW w:type="dxa" w:w="1134"/>
            <w:shd w:val="clear" w:color="auto" w:fill="F4F7F9"/>
          </w:tcPr>
          <w:p>
            <w:pPr>
              <w:spacing w:after="20" w:before="0"/>
            </w:pPr>
            <w:r/>
            <w:r>
              <w:rPr>
                <w:rFonts w:ascii="Lato" w:hAnsi="Lato" w:cs="Lato"/>
                <w:b/>
                <w:i w:val="0"/>
                <w:color w:val="6C7378"/>
                <w:sz w:val="14"/>
              </w:rPr>
              <w:t>Neutral</w:t>
            </w:r>
          </w:p>
        </w:tc>
        <w:tc>
          <w:tcPr>
            <w:tcW w:type="dxa" w:w="737"/>
            <w:shd w:val="clear" w:color="auto" w:fill="F4F7F9"/>
          </w:tcPr>
          <w:p>
            <w:pPr>
              <w:spacing w:after="20" w:before="0"/>
              <w:jc w:val="center"/>
            </w:pPr>
            <w:r/>
            <w:r>
              <w:rPr>
                <w:rFonts w:ascii="Lato" w:hAnsi="Lato" w:cs="Lato"/>
                <w:b w:val="0"/>
                <w:i w:val="0"/>
                <w:color w:val="2B2F33"/>
                <w:sz w:val="14"/>
              </w:rPr>
              <w:t>Yes</w:t>
            </w:r>
          </w:p>
        </w:tc>
        <w:tc>
          <w:tcPr>
            <w:tcW w:type="dxa" w:w="737"/>
            <w:shd w:val="clear" w:color="auto" w:fill="F4F7F9"/>
          </w:tcPr>
          <w:p>
            <w:pPr>
              <w:spacing w:after="20" w:before="0"/>
              <w:jc w:val="center"/>
            </w:pPr>
            <w:r/>
            <w:r>
              <w:rPr>
                <w:rFonts w:ascii="Lato" w:hAnsi="Lato" w:cs="Lato"/>
                <w:b/>
                <w:i w:val="0"/>
                <w:color w:val="C0563F"/>
                <w:sz w:val="14"/>
              </w:rPr>
              <w:t>Yes</w:t>
            </w:r>
          </w:p>
        </w:tc>
        <w:tc>
          <w:tcPr>
            <w:tcW w:type="dxa" w:w="1474"/>
            <w:shd w:val="clear" w:color="auto" w:fill="F4F7F9"/>
          </w:tcPr>
          <w:p>
            <w:pPr>
              <w:spacing w:after="20" w:before="0"/>
            </w:pPr>
            <w:r/>
            <w:r>
              <w:rPr>
                <w:rFonts w:ascii="Lato" w:hAnsi="Lato" w:cs="Lato"/>
                <w:b w:val="0"/>
                <w:i w:val="0"/>
                <w:color w:val="2B2F33"/>
                <w:sz w:val="14"/>
              </w:rPr>
              <w:t>Material</w:t>
            </w:r>
          </w:p>
        </w:tc>
        <w:tc>
          <w:tcPr>
            <w:tcW w:type="dxa" w:w="1474"/>
            <w:shd w:val="clear" w:color="auto" w:fill="F4F7F9"/>
          </w:tcPr>
          <w:p>
            <w:pPr>
              <w:spacing w:after="20" w:before="0"/>
            </w:pPr>
            <w:r/>
            <w:r>
              <w:rPr>
                <w:rFonts w:ascii="Lato" w:hAnsi="Lato" w:cs="Lato"/>
                <w:b w:val="0"/>
                <w:i w:val="0"/>
                <w:color w:val="2B2F33"/>
                <w:sz w:val="14"/>
              </w:rPr>
              <w:t>Base</w:t>
            </w:r>
          </w:p>
        </w:tc>
      </w:tr>
      <w:tr>
        <w:tc>
          <w:tcPr>
            <w:tcW w:type="dxa" w:w="1928"/>
          </w:tcPr>
          <w:p>
            <w:pPr>
              <w:spacing w:after="20" w:before="0"/>
            </w:pPr>
            <w:r/>
            <w:r>
              <w:rPr>
                <w:rFonts w:ascii="Lato" w:hAnsi="Lato" w:cs="Lato"/>
                <w:b/>
                <w:i w:val="0"/>
                <w:color w:val="00648B"/>
                <w:sz w:val="15"/>
              </w:rPr>
              <w:t>Claims Conditions — Admission of Liability</w:t>
            </w:r>
          </w:p>
        </w:tc>
        <w:tc>
          <w:tcPr>
            <w:tcW w:type="dxa" w:w="2438"/>
          </w:tcPr>
          <w:p>
            <w:pPr>
              <w:spacing w:after="20" w:before="0"/>
            </w:pPr>
            <w:r/>
            <w:r>
              <w:rPr>
                <w:rFonts w:ascii="Lato" w:hAnsi="Lato" w:cs="Lato"/>
                <w:b w:val="0"/>
                <w:i w:val="0"/>
                <w:color w:val="2B2F33"/>
                <w:sz w:val="14"/>
              </w:rPr>
              <w:t>Blanket condition precedent ('the Insured must not admit liability…').</w:t>
            </w:r>
          </w:p>
        </w:tc>
        <w:tc>
          <w:tcPr>
            <w:tcW w:type="dxa" w:w="2722"/>
          </w:tcPr>
          <w:p>
            <w:pPr>
              <w:spacing w:after="20" w:before="0"/>
            </w:pPr>
            <w:r/>
            <w:r>
              <w:rPr>
                <w:rFonts w:ascii="Lato" w:hAnsi="Lato" w:cs="Lato"/>
                <w:b w:val="0"/>
                <w:i w:val="0"/>
                <w:color w:val="2B2F33"/>
                <w:sz w:val="14"/>
              </w:rPr>
              <w:t>Replaced with an ordinary condition qualified by prejudice (insurer may rely on breach only to the extent prejudiced).</w:t>
            </w:r>
          </w:p>
        </w:tc>
        <w:tc>
          <w:tcPr>
            <w:tcW w:type="dxa" w:w="3515"/>
          </w:tcPr>
          <w:p>
            <w:pPr>
              <w:spacing w:after="20" w:before="0"/>
            </w:pPr>
            <w:r/>
            <w:r>
              <w:rPr>
                <w:rFonts w:ascii="Lato" w:hAnsi="Lato" w:cs="Lato"/>
                <w:b w:val="0"/>
                <w:i w:val="0"/>
                <w:color w:val="2B2F33"/>
                <w:sz w:val="14"/>
              </w:rPr>
              <w:t>Relaxation of a condition precedent. — More favourable to insureds; explain as fairer claims handling.</w:t>
            </w:r>
          </w:p>
        </w:tc>
        <w:tc>
          <w:tcPr>
            <w:tcW w:type="dxa" w:w="1134"/>
          </w:tcPr>
          <w:p>
            <w:pPr>
              <w:spacing w:after="20" w:before="0"/>
            </w:pPr>
            <w:r/>
            <w:r>
              <w:rPr>
                <w:rFonts w:ascii="Lato" w:hAnsi="Lato" w:cs="Lato"/>
                <w:b/>
                <w:i w:val="0"/>
                <w:color w:val="1B7A3D"/>
                <w:sz w:val="14"/>
              </w:rPr>
              <w:t>Favourable</w:t>
            </w:r>
          </w:p>
        </w:tc>
        <w:tc>
          <w:tcPr>
            <w:tcW w:type="dxa" w:w="737"/>
          </w:tcPr>
          <w:p>
            <w:pPr>
              <w:spacing w:after="20" w:before="0"/>
              <w:jc w:val="center"/>
            </w:pPr>
            <w:r/>
            <w:r>
              <w:rPr>
                <w:rFonts w:ascii="Lato" w:hAnsi="Lato" w:cs="Lato"/>
                <w:b w:val="0"/>
                <w:i w:val="0"/>
                <w:color w:val="2B2F33"/>
                <w:sz w:val="14"/>
              </w:rPr>
              <w:t>Yes</w:t>
            </w:r>
          </w:p>
        </w:tc>
        <w:tc>
          <w:tcPr>
            <w:tcW w:type="dxa" w:w="737"/>
          </w:tcPr>
          <w:p>
            <w:pPr>
              <w:spacing w:after="20" w:before="0"/>
              <w:jc w:val="center"/>
            </w:pPr>
            <w:r/>
            <w:r>
              <w:rPr>
                <w:rFonts w:ascii="Lato" w:hAnsi="Lato" w:cs="Lato"/>
                <w:b/>
                <w:i w:val="0"/>
                <w:color w:val="C0563F"/>
                <w:sz w:val="14"/>
              </w:rPr>
              <w:t>Yes</w:t>
            </w:r>
          </w:p>
        </w:tc>
        <w:tc>
          <w:tcPr>
            <w:tcW w:type="dxa" w:w="1474"/>
          </w:tcPr>
          <w:p>
            <w:pPr>
              <w:spacing w:after="20" w:before="0"/>
            </w:pPr>
            <w:r/>
            <w:r>
              <w:rPr>
                <w:rFonts w:ascii="Lato" w:hAnsi="Lato" w:cs="Lato"/>
                <w:b w:val="0"/>
                <w:i w:val="0"/>
                <w:color w:val="2B2F33"/>
                <w:sz w:val="14"/>
              </w:rPr>
              <w:t>Material</w:t>
            </w:r>
          </w:p>
        </w:tc>
        <w:tc>
          <w:tcPr>
            <w:tcW w:type="dxa" w:w="1474"/>
          </w:tcPr>
          <w:p>
            <w:pPr>
              <w:spacing w:after="20" w:before="0"/>
            </w:pPr>
            <w:r/>
            <w:r>
              <w:rPr>
                <w:rFonts w:ascii="Lato" w:hAnsi="Lato" w:cs="Lato"/>
                <w:b/>
                <w:i w:val="0"/>
                <w:color w:val="B88A3C"/>
                <w:sz w:val="14"/>
              </w:rPr>
              <w:t>UW Review Enhancement</w:t>
            </w:r>
          </w:p>
        </w:tc>
      </w:tr>
      <w:tr>
        <w:tc>
          <w:tcPr>
            <w:tcW w:type="dxa" w:w="1928"/>
            <w:shd w:val="clear" w:color="auto" w:fill="F4F7F9"/>
          </w:tcPr>
          <w:p>
            <w:pPr>
              <w:spacing w:after="20" w:before="0"/>
            </w:pPr>
            <w:r/>
            <w:r>
              <w:rPr>
                <w:rFonts w:ascii="Lato" w:hAnsi="Lato" w:cs="Lato"/>
                <w:b/>
                <w:i w:val="0"/>
                <w:color w:val="00648B"/>
                <w:sz w:val="15"/>
              </w:rPr>
              <w:t>Claims Conditions — Proof of Ownership and Value</w:t>
            </w:r>
          </w:p>
        </w:tc>
        <w:tc>
          <w:tcPr>
            <w:tcW w:type="dxa" w:w="2438"/>
            <w:shd w:val="clear" w:color="auto" w:fill="F4F7F9"/>
          </w:tcPr>
          <w:p>
            <w:pPr>
              <w:spacing w:after="20" w:before="0"/>
            </w:pPr>
            <w:r/>
            <w:r>
              <w:rPr>
                <w:rFonts w:ascii="Lato" w:hAnsi="Lato" w:cs="Lato"/>
                <w:b w:val="0"/>
                <w:i w:val="0"/>
                <w:color w:val="2B2F33"/>
                <w:sz w:val="14"/>
              </w:rPr>
              <w:t>No express proof-of-ownership condition.</w:t>
            </w:r>
          </w:p>
        </w:tc>
        <w:tc>
          <w:tcPr>
            <w:tcW w:type="dxa" w:w="2722"/>
            <w:shd w:val="clear" w:color="auto" w:fill="F4F7F9"/>
          </w:tcPr>
          <w:p>
            <w:pPr>
              <w:spacing w:after="20" w:before="0"/>
            </w:pPr>
            <w:r/>
            <w:r>
              <w:rPr>
                <w:rFonts w:ascii="Lato" w:hAnsi="Lato" w:cs="Lato"/>
                <w:b w:val="0"/>
                <w:i w:val="0"/>
                <w:color w:val="2B2F33"/>
                <w:sz w:val="14"/>
              </w:rPr>
              <w:t>New condition: the Insured must, on request, produce reasonable proof of ownership and value.</w:t>
            </w:r>
          </w:p>
        </w:tc>
        <w:tc>
          <w:tcPr>
            <w:tcW w:type="dxa" w:w="3515"/>
            <w:shd w:val="clear" w:color="auto" w:fill="F4F7F9"/>
          </w:tcPr>
          <w:p>
            <w:pPr>
              <w:spacing w:after="20" w:before="0"/>
            </w:pPr>
            <w:r/>
            <w:r>
              <w:rPr>
                <w:rFonts w:ascii="Lato" w:hAnsi="Lato" w:cs="Lato"/>
                <w:b w:val="0"/>
                <w:i w:val="0"/>
                <w:color w:val="2B2F33"/>
                <w:sz w:val="14"/>
              </w:rPr>
              <w:t>New claims-handling condition for property/theft claims. — Clients should retain receipts/valuations; confirm whether ordinary condition or CP.</w:t>
            </w:r>
          </w:p>
        </w:tc>
        <w:tc>
          <w:tcPr>
            <w:tcW w:type="dxa" w:w="1134"/>
            <w:shd w:val="clear" w:color="auto" w:fill="F4F7F9"/>
          </w:tcPr>
          <w:p>
            <w:pPr>
              <w:spacing w:after="20" w:before="0"/>
            </w:pPr>
            <w:r/>
            <w:r>
              <w:rPr>
                <w:rFonts w:ascii="Lato" w:hAnsi="Lato" w:cs="Lato"/>
                <w:b/>
                <w:i w:val="0"/>
                <w:color w:val="C0563F"/>
                <w:sz w:val="14"/>
              </w:rPr>
              <w:t>Neutral / Restrictive</w:t>
            </w:r>
          </w:p>
        </w:tc>
        <w:tc>
          <w:tcPr>
            <w:tcW w:type="dxa" w:w="737"/>
            <w:shd w:val="clear" w:color="auto" w:fill="F4F7F9"/>
          </w:tcPr>
          <w:p>
            <w:pPr>
              <w:spacing w:after="20" w:before="0"/>
              <w:jc w:val="center"/>
            </w:pPr>
            <w:r/>
            <w:r>
              <w:rPr>
                <w:rFonts w:ascii="Lato" w:hAnsi="Lato" w:cs="Lato"/>
                <w:b w:val="0"/>
                <w:i w:val="0"/>
                <w:color w:val="2B2F33"/>
                <w:sz w:val="14"/>
              </w:rPr>
              <w:t>Yes</w:t>
            </w:r>
          </w:p>
        </w:tc>
        <w:tc>
          <w:tcPr>
            <w:tcW w:type="dxa" w:w="737"/>
            <w:shd w:val="clear" w:color="auto" w:fill="F4F7F9"/>
          </w:tcPr>
          <w:p>
            <w:pPr>
              <w:spacing w:after="20" w:before="0"/>
              <w:jc w:val="center"/>
            </w:pPr>
            <w:r/>
            <w:r>
              <w:rPr>
                <w:rFonts w:ascii="Lato" w:hAnsi="Lato" w:cs="Lato"/>
                <w:b/>
                <w:i w:val="0"/>
                <w:color w:val="C0563F"/>
                <w:sz w:val="14"/>
              </w:rPr>
              <w:t>Yes</w:t>
            </w:r>
          </w:p>
        </w:tc>
        <w:tc>
          <w:tcPr>
            <w:tcW w:type="dxa" w:w="1474"/>
            <w:shd w:val="clear" w:color="auto" w:fill="F4F7F9"/>
          </w:tcPr>
          <w:p>
            <w:pPr>
              <w:spacing w:after="20" w:before="0"/>
            </w:pPr>
            <w:r/>
            <w:r>
              <w:rPr>
                <w:rFonts w:ascii="Lato" w:hAnsi="Lato" w:cs="Lato"/>
                <w:b w:val="0"/>
                <w:i w:val="0"/>
                <w:color w:val="2B2F33"/>
                <w:sz w:val="14"/>
              </w:rPr>
              <w:t>Material</w:t>
            </w:r>
          </w:p>
        </w:tc>
        <w:tc>
          <w:tcPr>
            <w:tcW w:type="dxa" w:w="1474"/>
            <w:shd w:val="clear" w:color="auto" w:fill="F4F7F9"/>
          </w:tcPr>
          <w:p>
            <w:pPr>
              <w:spacing w:after="20" w:before="0"/>
            </w:pPr>
            <w:r/>
            <w:r>
              <w:rPr>
                <w:rFonts w:ascii="Lato" w:hAnsi="Lato" w:cs="Lato"/>
                <w:b/>
                <w:i w:val="0"/>
                <w:color w:val="B88A3C"/>
                <w:sz w:val="14"/>
              </w:rPr>
              <w:t>UW Review Enhancement</w:t>
            </w:r>
          </w:p>
        </w:tc>
      </w:tr>
      <w:tr>
        <w:tc>
          <w:tcPr>
            <w:tcW w:type="dxa" w:w="1928"/>
          </w:tcPr>
          <w:p>
            <w:pPr>
              <w:spacing w:after="20" w:before="0"/>
            </w:pPr>
            <w:r/>
            <w:r>
              <w:rPr>
                <w:rFonts w:ascii="Lato" w:hAnsi="Lato" w:cs="Lato"/>
                <w:b/>
                <w:i w:val="0"/>
                <w:color w:val="00648B"/>
                <w:sz w:val="15"/>
              </w:rPr>
              <w:t>General Exclusions</w:t>
            </w:r>
          </w:p>
        </w:tc>
        <w:tc>
          <w:tcPr>
            <w:tcW w:type="dxa" w:w="2438"/>
          </w:tcPr>
          <w:p>
            <w:pPr>
              <w:spacing w:after="20" w:before="0"/>
            </w:pPr>
            <w:r/>
            <w:r>
              <w:rPr>
                <w:rFonts w:ascii="Lato" w:hAnsi="Lato" w:cs="Lato"/>
                <w:b w:val="0"/>
                <w:i w:val="0"/>
                <w:color w:val="2B2F33"/>
                <w:sz w:val="14"/>
              </w:rPr>
              <w:t>General exclusions 'Applicable to Sections 1–12'; references to the Information Technology Section.</w:t>
            </w:r>
          </w:p>
        </w:tc>
        <w:tc>
          <w:tcPr>
            <w:tcW w:type="dxa" w:w="2722"/>
          </w:tcPr>
          <w:p>
            <w:pPr>
              <w:spacing w:after="20" w:before="0"/>
            </w:pPr>
            <w:r/>
            <w:r>
              <w:rPr>
                <w:rFonts w:ascii="Lato" w:hAnsi="Lato" w:cs="Lato"/>
                <w:b w:val="0"/>
                <w:i w:val="0"/>
                <w:color w:val="2B2F33"/>
                <w:sz w:val="14"/>
              </w:rPr>
              <w:t>Substantively unchanged but re-scoped 'Applicable to Sections 1–11'; stray Information-Technology-Section references corrected.</w:t>
            </w:r>
          </w:p>
        </w:tc>
        <w:tc>
          <w:tcPr>
            <w:tcW w:type="dxa" w:w="3515"/>
          </w:tcPr>
          <w:p>
            <w:pPr>
              <w:spacing w:after="20" w:before="0"/>
            </w:pPr>
            <w:r/>
            <w:r>
              <w:rPr>
                <w:rFonts w:ascii="Lato" w:hAnsi="Lato" w:cs="Lato"/>
                <w:b w:val="0"/>
                <w:i w:val="0"/>
                <w:color w:val="2B2F33"/>
                <w:sz w:val="14"/>
              </w:rPr>
              <w:t>Scope re-aligned; no substantive widening/narrowing of the exclusions themselves. — Exclusion content is essentially carried across; re-scoping is the material point.</w:t>
            </w:r>
          </w:p>
        </w:tc>
        <w:tc>
          <w:tcPr>
            <w:tcW w:type="dxa" w:w="1134"/>
          </w:tcPr>
          <w:p>
            <w:pPr>
              <w:spacing w:after="20" w:before="0"/>
            </w:pPr>
            <w:r/>
            <w:r>
              <w:rPr>
                <w:rFonts w:ascii="Lato" w:hAnsi="Lato" w:cs="Lato"/>
                <w:b/>
                <w:i w:val="0"/>
                <w:color w:val="6C7378"/>
                <w:sz w:val="14"/>
              </w:rPr>
              <w:t>Neutral</w:t>
            </w:r>
          </w:p>
        </w:tc>
        <w:tc>
          <w:tcPr>
            <w:tcW w:type="dxa" w:w="737"/>
          </w:tcPr>
          <w:p>
            <w:pPr>
              <w:spacing w:after="20" w:before="0"/>
              <w:jc w:val="center"/>
            </w:pPr>
            <w:r/>
            <w:r>
              <w:rPr>
                <w:rFonts w:ascii="Lato" w:hAnsi="Lato" w:cs="Lato"/>
                <w:b w:val="0"/>
                <w:i w:val="0"/>
                <w:color w:val="2B2F33"/>
                <w:sz w:val="14"/>
              </w:rPr>
              <w:t>No</w:t>
            </w:r>
          </w:p>
        </w:tc>
        <w:tc>
          <w:tcPr>
            <w:tcW w:type="dxa" w:w="737"/>
          </w:tcPr>
          <w:p>
            <w:pPr>
              <w:spacing w:after="20" w:before="0"/>
              <w:jc w:val="center"/>
            </w:pPr>
            <w:r/>
            <w:r>
              <w:rPr>
                <w:rFonts w:ascii="Lato" w:hAnsi="Lato" w:cs="Lato"/>
                <w:b/>
                <w:i w:val="0"/>
                <w:color w:val="C0563F"/>
                <w:sz w:val="14"/>
              </w:rPr>
              <w:t>Yes</w:t>
            </w:r>
          </w:p>
        </w:tc>
        <w:tc>
          <w:tcPr>
            <w:tcW w:type="dxa" w:w="1474"/>
          </w:tcPr>
          <w:p>
            <w:pPr>
              <w:spacing w:after="20" w:before="0"/>
            </w:pPr>
            <w:r/>
            <w:r>
              <w:rPr>
                <w:rFonts w:ascii="Lato" w:hAnsi="Lato" w:cs="Lato"/>
                <w:b w:val="0"/>
                <w:i w:val="0"/>
                <w:color w:val="2B2F33"/>
                <w:sz w:val="14"/>
              </w:rPr>
              <w:t>Structural</w:t>
            </w:r>
          </w:p>
        </w:tc>
        <w:tc>
          <w:tcPr>
            <w:tcW w:type="dxa" w:w="1474"/>
          </w:tcPr>
          <w:p>
            <w:pPr>
              <w:spacing w:after="20" w:before="0"/>
            </w:pPr>
            <w:r/>
            <w:r>
              <w:rPr>
                <w:rFonts w:ascii="Lato" w:hAnsi="Lato" w:cs="Lato"/>
                <w:b w:val="0"/>
                <w:i w:val="0"/>
                <w:color w:val="2B2F33"/>
                <w:sz w:val="14"/>
              </w:rPr>
              <w:t>Base</w:t>
            </w:r>
          </w:p>
        </w:tc>
      </w:tr>
      <w:tr>
        <w:tc>
          <w:tcPr>
            <w:tcW w:type="dxa" w:w="1928"/>
            <w:shd w:val="clear" w:color="auto" w:fill="F4F7F9"/>
          </w:tcPr>
          <w:p>
            <w:pPr>
              <w:spacing w:after="20" w:before="0"/>
            </w:pPr>
            <w:r/>
            <w:r>
              <w:rPr>
                <w:rFonts w:ascii="Lato" w:hAnsi="Lato" w:cs="Lato"/>
                <w:b/>
                <w:i w:val="0"/>
                <w:color w:val="00648B"/>
                <w:sz w:val="15"/>
              </w:rPr>
              <w:t>Section 4 — Information Technology (STANDALONE)</w:t>
            </w:r>
          </w:p>
        </w:tc>
        <w:tc>
          <w:tcPr>
            <w:tcW w:type="dxa" w:w="2438"/>
            <w:shd w:val="clear" w:color="auto" w:fill="F4F7F9"/>
          </w:tcPr>
          <w:p>
            <w:pPr>
              <w:spacing w:after="20" w:before="0"/>
            </w:pPr>
            <w:r/>
            <w:r>
              <w:rPr>
                <w:rFonts w:ascii="Lato" w:hAnsi="Lato" w:cs="Lato"/>
                <w:b w:val="0"/>
                <w:i w:val="0"/>
                <w:color w:val="2B2F33"/>
                <w:sz w:val="14"/>
              </w:rPr>
              <w:t>Standalone 'Section 4: Information Technology Section' (IT property + computer breakdown).</w:t>
            </w:r>
          </w:p>
        </w:tc>
        <w:tc>
          <w:tcPr>
            <w:tcW w:type="dxa" w:w="2722"/>
            <w:shd w:val="clear" w:color="auto" w:fill="F4F7F9"/>
          </w:tcPr>
          <w:p>
            <w:pPr>
              <w:spacing w:after="20" w:before="0"/>
            </w:pPr>
            <w:r/>
            <w:r>
              <w:rPr>
                <w:rFonts w:ascii="Lato" w:hAnsi="Lato" w:cs="Lato"/>
                <w:b w:val="0"/>
                <w:i w:val="0"/>
                <w:color w:val="2B2F33"/>
                <w:sz w:val="14"/>
              </w:rPr>
              <w:t>REMOVED as a standalone section; IT property cover consolidated into Section 1 (premises) and Section 2 (Property &amp; Equipment).</w:t>
            </w:r>
          </w:p>
        </w:tc>
        <w:tc>
          <w:tcPr>
            <w:tcW w:type="dxa" w:w="3515"/>
            <w:shd w:val="clear" w:color="auto" w:fill="F4F7F9"/>
          </w:tcPr>
          <w:p>
            <w:pPr>
              <w:spacing w:after="20" w:before="0"/>
            </w:pPr>
            <w:r/>
            <w:r>
              <w:rPr>
                <w:rFonts w:ascii="Lato" w:hAnsi="Lato" w:cs="Lato"/>
                <w:b w:val="0"/>
                <w:i w:val="0"/>
                <w:color w:val="2B2F33"/>
                <w:sz w:val="14"/>
              </w:rPr>
              <w:t>Whole-section relocation; the IT heading disappears. — Clients must be told IT-property/breakdown cover is RETAINED inside S1/S2 (confirm no narrowing).</w:t>
            </w:r>
          </w:p>
        </w:tc>
        <w:tc>
          <w:tcPr>
            <w:tcW w:type="dxa" w:w="1134"/>
            <w:shd w:val="clear" w:color="auto" w:fill="F4F7F9"/>
          </w:tcPr>
          <w:p>
            <w:pPr>
              <w:spacing w:after="20" w:before="0"/>
            </w:pPr>
            <w:r/>
            <w:r>
              <w:rPr>
                <w:rFonts w:ascii="Lato" w:hAnsi="Lato" w:cs="Lato"/>
                <w:b/>
                <w:i w:val="0"/>
                <w:color w:val="C0563F"/>
                <w:sz w:val="14"/>
              </w:rPr>
              <w:t>Neutral / Restrictive</w:t>
            </w:r>
          </w:p>
        </w:tc>
        <w:tc>
          <w:tcPr>
            <w:tcW w:type="dxa" w:w="737"/>
            <w:shd w:val="clear" w:color="auto" w:fill="F4F7F9"/>
          </w:tcPr>
          <w:p>
            <w:pPr>
              <w:spacing w:after="20" w:before="0"/>
              <w:jc w:val="center"/>
            </w:pPr>
            <w:r/>
            <w:r>
              <w:rPr>
                <w:rFonts w:ascii="Lato" w:hAnsi="Lato" w:cs="Lato"/>
                <w:b w:val="0"/>
                <w:i w:val="0"/>
                <w:color w:val="2B2F33"/>
                <w:sz w:val="14"/>
              </w:rPr>
              <w:t>Yes</w:t>
            </w:r>
          </w:p>
        </w:tc>
        <w:tc>
          <w:tcPr>
            <w:tcW w:type="dxa" w:w="737"/>
            <w:shd w:val="clear" w:color="auto" w:fill="F4F7F9"/>
          </w:tcPr>
          <w:p>
            <w:pPr>
              <w:spacing w:after="20" w:before="0"/>
              <w:jc w:val="center"/>
            </w:pPr>
            <w:r/>
            <w:r>
              <w:rPr>
                <w:rFonts w:ascii="Lato" w:hAnsi="Lato" w:cs="Lato"/>
                <w:b/>
                <w:i w:val="0"/>
                <w:color w:val="C0563F"/>
                <w:sz w:val="14"/>
              </w:rPr>
              <w:t>Yes</w:t>
            </w:r>
          </w:p>
        </w:tc>
        <w:tc>
          <w:tcPr>
            <w:tcW w:type="dxa" w:w="1474"/>
            <w:shd w:val="clear" w:color="auto" w:fill="F4F7F9"/>
          </w:tcPr>
          <w:p>
            <w:pPr>
              <w:spacing w:after="20" w:before="0"/>
            </w:pPr>
            <w:r/>
            <w:r>
              <w:rPr>
                <w:rFonts w:ascii="Lato" w:hAnsi="Lato" w:cs="Lato"/>
                <w:b w:val="0"/>
                <w:i w:val="0"/>
                <w:color w:val="2B2F33"/>
                <w:sz w:val="14"/>
              </w:rPr>
              <w:t>Material / structural</w:t>
            </w:r>
          </w:p>
        </w:tc>
        <w:tc>
          <w:tcPr>
            <w:tcW w:type="dxa" w:w="1474"/>
            <w:shd w:val="clear" w:color="auto" w:fill="F4F7F9"/>
          </w:tcPr>
          <w:p>
            <w:pPr>
              <w:spacing w:after="20" w:before="0"/>
            </w:pPr>
            <w:r/>
            <w:r>
              <w:rPr>
                <w:rFonts w:ascii="Lato" w:hAnsi="Lato" w:cs="Lato"/>
                <w:b w:val="0"/>
                <w:i w:val="0"/>
                <w:color w:val="2B2F33"/>
                <w:sz w:val="14"/>
              </w:rPr>
              <w:t>Base</w:t>
            </w:r>
          </w:p>
        </w:tc>
      </w:tr>
      <w:tr>
        <w:tc>
          <w:tcPr>
            <w:tcW w:type="dxa" w:w="1928"/>
          </w:tcPr>
          <w:p>
            <w:pPr>
              <w:spacing w:after="20" w:before="0"/>
            </w:pPr>
            <w:r/>
            <w:r>
              <w:rPr>
                <w:rFonts w:ascii="Lato" w:hAnsi="Lato" w:cs="Lato"/>
                <w:b/>
                <w:i w:val="0"/>
                <w:color w:val="00648B"/>
                <w:sz w:val="15"/>
              </w:rPr>
              <w:t>Section 2 rename</w:t>
            </w:r>
          </w:p>
        </w:tc>
        <w:tc>
          <w:tcPr>
            <w:tcW w:type="dxa" w:w="2438"/>
          </w:tcPr>
          <w:p>
            <w:pPr>
              <w:spacing w:after="20" w:before="0"/>
            </w:pPr>
            <w:r/>
            <w:r>
              <w:rPr>
                <w:rFonts w:ascii="Lato" w:hAnsi="Lato" w:cs="Lato"/>
                <w:b w:val="0"/>
                <w:i w:val="0"/>
                <w:color w:val="2B2F33"/>
                <w:sz w:val="14"/>
              </w:rPr>
              <w:t>'Section 2: Production Property “All Risks”'.</w:t>
            </w:r>
          </w:p>
        </w:tc>
        <w:tc>
          <w:tcPr>
            <w:tcW w:type="dxa" w:w="2722"/>
          </w:tcPr>
          <w:p>
            <w:pPr>
              <w:spacing w:after="20" w:before="0"/>
            </w:pPr>
            <w:r/>
            <w:r>
              <w:rPr>
                <w:rFonts w:ascii="Lato" w:hAnsi="Lato" w:cs="Lato"/>
                <w:b w:val="0"/>
                <w:i w:val="0"/>
                <w:color w:val="2B2F33"/>
                <w:sz w:val="14"/>
              </w:rPr>
              <w:t>Renamed 'Section 2: Property &amp; Equipment “All Risks”'; absorbs production/entertainment equipment + IT equipment.</w:t>
            </w:r>
          </w:p>
        </w:tc>
        <w:tc>
          <w:tcPr>
            <w:tcW w:type="dxa" w:w="3515"/>
          </w:tcPr>
          <w:p>
            <w:pPr>
              <w:spacing w:after="20" w:before="0"/>
            </w:pPr>
            <w:r/>
            <w:r>
              <w:rPr>
                <w:rFonts w:ascii="Lato" w:hAnsi="Lato" w:cs="Lato"/>
                <w:b w:val="0"/>
                <w:i w:val="0"/>
                <w:color w:val="2B2F33"/>
                <w:sz w:val="14"/>
              </w:rPr>
              <w:t>Rename + scope consolidation. — Same cover, broader/clearer label; confirm equipment + IT both captured.</w:t>
            </w:r>
          </w:p>
        </w:tc>
        <w:tc>
          <w:tcPr>
            <w:tcW w:type="dxa" w:w="1134"/>
          </w:tcPr>
          <w:p>
            <w:pPr>
              <w:spacing w:after="20" w:before="0"/>
            </w:pPr>
            <w:r/>
            <w:r>
              <w:rPr>
                <w:rFonts w:ascii="Lato" w:hAnsi="Lato" w:cs="Lato"/>
                <w:b/>
                <w:i w:val="0"/>
                <w:color w:val="6C7378"/>
                <w:sz w:val="14"/>
              </w:rPr>
              <w:t>Neutral</w:t>
            </w:r>
          </w:p>
        </w:tc>
        <w:tc>
          <w:tcPr>
            <w:tcW w:type="dxa" w:w="737"/>
          </w:tcPr>
          <w:p>
            <w:pPr>
              <w:spacing w:after="20" w:before="0"/>
              <w:jc w:val="center"/>
            </w:pPr>
            <w:r/>
            <w:r>
              <w:rPr>
                <w:rFonts w:ascii="Lato" w:hAnsi="Lato" w:cs="Lato"/>
                <w:b w:val="0"/>
                <w:i w:val="0"/>
                <w:color w:val="2B2F33"/>
                <w:sz w:val="14"/>
              </w:rPr>
              <w:t>Yes</w:t>
            </w:r>
          </w:p>
        </w:tc>
        <w:tc>
          <w:tcPr>
            <w:tcW w:type="dxa" w:w="737"/>
          </w:tcPr>
          <w:p>
            <w:pPr>
              <w:spacing w:after="20" w:before="0"/>
              <w:jc w:val="center"/>
            </w:pPr>
            <w:r/>
            <w:r>
              <w:rPr>
                <w:rFonts w:ascii="Lato" w:hAnsi="Lato" w:cs="Lato"/>
                <w:b w:val="0"/>
                <w:i w:val="0"/>
                <w:color w:val="2B2F33"/>
                <w:sz w:val="14"/>
              </w:rPr>
              <w:t>No</w:t>
            </w:r>
          </w:p>
        </w:tc>
        <w:tc>
          <w:tcPr>
            <w:tcW w:type="dxa" w:w="1474"/>
          </w:tcPr>
          <w:p>
            <w:pPr>
              <w:spacing w:after="20" w:before="0"/>
            </w:pPr>
            <w:r/>
            <w:r>
              <w:rPr>
                <w:rFonts w:ascii="Lato" w:hAnsi="Lato" w:cs="Lato"/>
                <w:b w:val="0"/>
                <w:i w:val="0"/>
                <w:color w:val="2B2F33"/>
                <w:sz w:val="14"/>
              </w:rPr>
              <w:t>Structural</w:t>
            </w:r>
          </w:p>
        </w:tc>
        <w:tc>
          <w:tcPr>
            <w:tcW w:type="dxa" w:w="1474"/>
          </w:tcPr>
          <w:p>
            <w:pPr>
              <w:spacing w:after="20" w:before="0"/>
            </w:pPr>
            <w:r/>
            <w:r>
              <w:rPr>
                <w:rFonts w:ascii="Lato" w:hAnsi="Lato" w:cs="Lato"/>
                <w:b w:val="0"/>
                <w:i w:val="0"/>
                <w:color w:val="2B2F33"/>
                <w:sz w:val="14"/>
              </w:rPr>
              <w:t>Base</w:t>
            </w:r>
          </w:p>
        </w:tc>
      </w:tr>
      <w:tr>
        <w:tc>
          <w:tcPr>
            <w:tcW w:type="dxa" w:w="1928"/>
            <w:shd w:val="clear" w:color="auto" w:fill="F4F7F9"/>
          </w:tcPr>
          <w:p>
            <w:pPr>
              <w:spacing w:after="20" w:before="0"/>
            </w:pPr>
            <w:r/>
            <w:r>
              <w:rPr>
                <w:rFonts w:ascii="Lato" w:hAnsi="Lato" w:cs="Lato"/>
                <w:b/>
                <w:i w:val="0"/>
                <w:color w:val="00648B"/>
                <w:sz w:val="15"/>
              </w:rPr>
              <w:t>Section 3 — Business Interruption</w:t>
            </w:r>
          </w:p>
        </w:tc>
        <w:tc>
          <w:tcPr>
            <w:tcW w:type="dxa" w:w="2438"/>
            <w:shd w:val="clear" w:color="auto" w:fill="F4F7F9"/>
          </w:tcPr>
          <w:p>
            <w:pPr>
              <w:spacing w:after="20" w:before="0"/>
            </w:pPr>
            <w:r/>
            <w:r>
              <w:rPr>
                <w:rFonts w:ascii="Lato" w:hAnsi="Lato" w:cs="Lato"/>
                <w:b w:val="0"/>
                <w:i w:val="0"/>
                <w:color w:val="2B2F33"/>
                <w:sz w:val="14"/>
              </w:rPr>
              <w:t>BI with 'Accounts Receivable'.</w:t>
            </w:r>
          </w:p>
        </w:tc>
        <w:tc>
          <w:tcPr>
            <w:tcW w:type="dxa" w:w="2722"/>
            <w:shd w:val="clear" w:color="auto" w:fill="F4F7F9"/>
          </w:tcPr>
          <w:p>
            <w:pPr>
              <w:spacing w:after="20" w:before="0"/>
            </w:pPr>
            <w:r/>
            <w:r>
              <w:rPr>
                <w:rFonts w:ascii="Lato" w:hAnsi="Lato" w:cs="Lato"/>
                <w:b w:val="0"/>
                <w:i w:val="0"/>
                <w:color w:val="2B2F33"/>
                <w:sz w:val="14"/>
              </w:rPr>
              <w:t>'Accounts Receivable' re-labelled '(Book Debts)'; ICOW/AICOW named.</w:t>
            </w:r>
          </w:p>
        </w:tc>
        <w:tc>
          <w:tcPr>
            <w:tcW w:type="dxa" w:w="3515"/>
            <w:shd w:val="clear" w:color="auto" w:fill="F4F7F9"/>
          </w:tcPr>
          <w:p>
            <w:pPr>
              <w:spacing w:after="20" w:before="0"/>
            </w:pPr>
            <w:r/>
            <w:r>
              <w:rPr>
                <w:rFonts w:ascii="Lato" w:hAnsi="Lato" w:cs="Lato"/>
                <w:b w:val="0"/>
                <w:i w:val="0"/>
                <w:color w:val="2B2F33"/>
                <w:sz w:val="14"/>
              </w:rPr>
              <w:t>Presentational relabel for like-for-like comparison. — No cover change; clearer BI heads.</w:t>
            </w:r>
          </w:p>
        </w:tc>
        <w:tc>
          <w:tcPr>
            <w:tcW w:type="dxa" w:w="1134"/>
            <w:shd w:val="clear" w:color="auto" w:fill="F4F7F9"/>
          </w:tcPr>
          <w:p>
            <w:pPr>
              <w:spacing w:after="20" w:before="0"/>
            </w:pPr>
            <w:r/>
            <w:r>
              <w:rPr>
                <w:rFonts w:ascii="Lato" w:hAnsi="Lato" w:cs="Lato"/>
                <w:b/>
                <w:i w:val="0"/>
                <w:color w:val="6C7378"/>
                <w:sz w:val="14"/>
              </w:rPr>
              <w:t>Neutral</w:t>
            </w:r>
          </w:p>
        </w:tc>
        <w:tc>
          <w:tcPr>
            <w:tcW w:type="dxa" w:w="737"/>
            <w:shd w:val="clear" w:color="auto" w:fill="F4F7F9"/>
          </w:tcPr>
          <w:p>
            <w:pPr>
              <w:spacing w:after="20" w:before="0"/>
              <w:jc w:val="center"/>
            </w:pPr>
            <w:r/>
            <w:r>
              <w:rPr>
                <w:rFonts w:ascii="Lato" w:hAnsi="Lato" w:cs="Lato"/>
                <w:b w:val="0"/>
                <w:i w:val="0"/>
                <w:color w:val="2B2F33"/>
                <w:sz w:val="14"/>
              </w:rPr>
              <w:t>No</w:t>
            </w:r>
          </w:p>
        </w:tc>
        <w:tc>
          <w:tcPr>
            <w:tcW w:type="dxa" w:w="737"/>
            <w:shd w:val="clear" w:color="auto" w:fill="F4F7F9"/>
          </w:tcPr>
          <w:p>
            <w:pPr>
              <w:spacing w:after="20" w:before="0"/>
              <w:jc w:val="center"/>
            </w:pPr>
            <w:r/>
            <w:r>
              <w:rPr>
                <w:rFonts w:ascii="Lato" w:hAnsi="Lato" w:cs="Lato"/>
                <w:b/>
                <w:i w:val="0"/>
                <w:color w:val="C0563F"/>
                <w:sz w:val="14"/>
              </w:rPr>
              <w:t>Yes</w:t>
            </w:r>
          </w:p>
        </w:tc>
        <w:tc>
          <w:tcPr>
            <w:tcW w:type="dxa" w:w="1474"/>
            <w:shd w:val="clear" w:color="auto" w:fill="F4F7F9"/>
          </w:tcPr>
          <w:p>
            <w:pPr>
              <w:spacing w:after="20" w:before="0"/>
            </w:pPr>
            <w:r/>
            <w:r>
              <w:rPr>
                <w:rFonts w:ascii="Lato" w:hAnsi="Lato" w:cs="Lato"/>
                <w:b w:val="0"/>
                <w:i w:val="0"/>
                <w:color w:val="2B2F33"/>
                <w:sz w:val="14"/>
              </w:rPr>
              <w:t>Technical</w:t>
            </w:r>
          </w:p>
        </w:tc>
        <w:tc>
          <w:tcPr>
            <w:tcW w:type="dxa" w:w="1474"/>
            <w:shd w:val="clear" w:color="auto" w:fill="F4F7F9"/>
          </w:tcPr>
          <w:p>
            <w:pPr>
              <w:spacing w:after="20" w:before="0"/>
            </w:pPr>
            <w:r/>
            <w:r>
              <w:rPr>
                <w:rFonts w:ascii="Lato" w:hAnsi="Lato" w:cs="Lato"/>
                <w:b/>
                <w:i w:val="0"/>
                <w:color w:val="B88A3C"/>
                <w:sz w:val="14"/>
              </w:rPr>
              <w:t>UW Review Enhancement</w:t>
            </w:r>
          </w:p>
        </w:tc>
      </w:tr>
      <w:tr>
        <w:tc>
          <w:tcPr>
            <w:tcW w:type="dxa" w:w="1928"/>
          </w:tcPr>
          <w:p>
            <w:pPr>
              <w:spacing w:after="20" w:before="0"/>
            </w:pPr>
            <w:r/>
            <w:r>
              <w:rPr>
                <w:rFonts w:ascii="Lato" w:hAnsi="Lato" w:cs="Lato"/>
                <w:b/>
                <w:i w:val="0"/>
                <w:color w:val="00648B"/>
                <w:sz w:val="15"/>
              </w:rPr>
              <w:t>Section 8 (was S9) — Money</w:t>
            </w:r>
          </w:p>
        </w:tc>
        <w:tc>
          <w:tcPr>
            <w:tcW w:type="dxa" w:w="2438"/>
          </w:tcPr>
          <w:p>
            <w:pPr>
              <w:spacing w:after="20" w:before="0"/>
            </w:pPr>
            <w:r/>
            <w:r>
              <w:rPr>
                <w:rFonts w:ascii="Lato" w:hAnsi="Lato" w:cs="Lato"/>
                <w:b w:val="0"/>
                <w:i w:val="0"/>
                <w:color w:val="2B2F33"/>
                <w:sz w:val="14"/>
              </w:rPr>
              <w:t>Single Money section.</w:t>
            </w:r>
          </w:p>
        </w:tc>
        <w:tc>
          <w:tcPr>
            <w:tcW w:type="dxa" w:w="2722"/>
          </w:tcPr>
          <w:p>
            <w:pPr>
              <w:spacing w:after="20" w:before="0"/>
            </w:pPr>
            <w:r/>
            <w:r>
              <w:rPr>
                <w:rFonts w:ascii="Lato" w:hAnsi="Lato" w:cs="Lato"/>
                <w:b w:val="0"/>
                <w:i w:val="0"/>
                <w:color w:val="2B2F33"/>
                <w:sz w:val="14"/>
              </w:rPr>
              <w:t>Restructured into two Schedule-referenced extensions — 'Money – Premises' and 'Money – Touring, Festivals and Events' (the latter amalgamating event-money: safes/containers, assault on personal effects, employee dishonesty discovered within 12 months). Existing covers preserved.</w:t>
            </w:r>
          </w:p>
        </w:tc>
        <w:tc>
          <w:tcPr>
            <w:tcW w:type="dxa" w:w="3515"/>
          </w:tcPr>
          <w:p>
            <w:pPr>
              <w:spacing w:after="20" w:before="0"/>
            </w:pPr>
            <w:r/>
            <w:r>
              <w:rPr>
                <w:rFonts w:ascii="Lato" w:hAnsi="Lato" w:cs="Lato"/>
                <w:b w:val="0"/>
                <w:i w:val="0"/>
                <w:color w:val="2B2F33"/>
                <w:sz w:val="14"/>
              </w:rPr>
              <w:t>Money cover split into two clearer Schedule sub-limits + touring/event money added. — Touring/festival clients gain clearer event-money; sub-limits set by Schedule.</w:t>
            </w:r>
          </w:p>
        </w:tc>
        <w:tc>
          <w:tcPr>
            <w:tcW w:type="dxa" w:w="1134"/>
          </w:tcPr>
          <w:p>
            <w:pPr>
              <w:spacing w:after="20" w:before="0"/>
            </w:pPr>
            <w:r/>
            <w:r>
              <w:rPr>
                <w:rFonts w:ascii="Lato" w:hAnsi="Lato" w:cs="Lato"/>
                <w:b/>
                <w:i w:val="0"/>
                <w:color w:val="1B7A3D"/>
                <w:sz w:val="14"/>
              </w:rPr>
              <w:t>Favourable</w:t>
            </w:r>
          </w:p>
        </w:tc>
        <w:tc>
          <w:tcPr>
            <w:tcW w:type="dxa" w:w="737"/>
          </w:tcPr>
          <w:p>
            <w:pPr>
              <w:spacing w:after="20" w:before="0"/>
              <w:jc w:val="center"/>
            </w:pPr>
            <w:r/>
            <w:r>
              <w:rPr>
                <w:rFonts w:ascii="Lato" w:hAnsi="Lato" w:cs="Lato"/>
                <w:b w:val="0"/>
                <w:i w:val="0"/>
                <w:color w:val="2B2F33"/>
                <w:sz w:val="14"/>
              </w:rPr>
              <w:t>Yes</w:t>
            </w:r>
          </w:p>
        </w:tc>
        <w:tc>
          <w:tcPr>
            <w:tcW w:type="dxa" w:w="737"/>
          </w:tcPr>
          <w:p>
            <w:pPr>
              <w:spacing w:after="20" w:before="0"/>
              <w:jc w:val="center"/>
            </w:pPr>
            <w:r/>
            <w:r>
              <w:rPr>
                <w:rFonts w:ascii="Lato" w:hAnsi="Lato" w:cs="Lato"/>
                <w:b/>
                <w:i w:val="0"/>
                <w:color w:val="C0563F"/>
                <w:sz w:val="14"/>
              </w:rPr>
              <w:t>Yes</w:t>
            </w:r>
          </w:p>
        </w:tc>
        <w:tc>
          <w:tcPr>
            <w:tcW w:type="dxa" w:w="1474"/>
          </w:tcPr>
          <w:p>
            <w:pPr>
              <w:spacing w:after="20" w:before="0"/>
            </w:pPr>
            <w:r/>
            <w:r>
              <w:rPr>
                <w:rFonts w:ascii="Lato" w:hAnsi="Lato" w:cs="Lato"/>
                <w:b w:val="0"/>
                <w:i w:val="0"/>
                <w:color w:val="2B2F33"/>
                <w:sz w:val="14"/>
              </w:rPr>
              <w:t>Material</w:t>
            </w:r>
          </w:p>
        </w:tc>
        <w:tc>
          <w:tcPr>
            <w:tcW w:type="dxa" w:w="1474"/>
          </w:tcPr>
          <w:p>
            <w:pPr>
              <w:spacing w:after="20" w:before="0"/>
            </w:pPr>
            <w:r/>
            <w:r>
              <w:rPr>
                <w:rFonts w:ascii="Lato" w:hAnsi="Lato" w:cs="Lato"/>
                <w:b/>
                <w:i w:val="0"/>
                <w:color w:val="B88A3C"/>
                <w:sz w:val="14"/>
              </w:rPr>
              <w:t>UW Review Enhancement</w:t>
            </w:r>
          </w:p>
        </w:tc>
      </w:tr>
      <w:tr>
        <w:tc>
          <w:tcPr>
            <w:tcW w:type="dxa" w:w="1928"/>
            <w:shd w:val="clear" w:color="auto" w:fill="F4F7F9"/>
          </w:tcPr>
          <w:p>
            <w:pPr>
              <w:spacing w:after="20" w:before="0"/>
            </w:pPr>
            <w:r/>
            <w:r>
              <w:rPr>
                <w:rFonts w:ascii="Lato" w:hAnsi="Lato" w:cs="Lato"/>
                <w:b/>
                <w:i w:val="0"/>
                <w:color w:val="00648B"/>
                <w:sz w:val="15"/>
              </w:rPr>
              <w:t>Section 12 (was S13) — Media Liability</w:t>
            </w:r>
          </w:p>
        </w:tc>
        <w:tc>
          <w:tcPr>
            <w:tcW w:type="dxa" w:w="2438"/>
            <w:shd w:val="clear" w:color="auto" w:fill="F4F7F9"/>
          </w:tcPr>
          <w:p>
            <w:pPr>
              <w:spacing w:after="20" w:before="0"/>
            </w:pPr>
            <w:r/>
            <w:r>
              <w:rPr>
                <w:rFonts w:ascii="Lato" w:hAnsi="Lato" w:cs="Lato"/>
                <w:b w:val="0"/>
                <w:i w:val="0"/>
                <w:color w:val="2B2F33"/>
                <w:sz w:val="14"/>
              </w:rPr>
              <w:t>Media Liability with core PI/E&amp;O grants.</w:t>
            </w:r>
          </w:p>
        </w:tc>
        <w:tc>
          <w:tcPr>
            <w:tcW w:type="dxa" w:w="2722"/>
            <w:shd w:val="clear" w:color="auto" w:fill="F4F7F9"/>
          </w:tcPr>
          <w:p>
            <w:pPr>
              <w:spacing w:after="20" w:before="0"/>
            </w:pPr>
            <w:r/>
            <w:r>
              <w:rPr>
                <w:rFonts w:ascii="Lato" w:hAnsi="Lato" w:cs="Lato"/>
                <w:b w:val="0"/>
                <w:i w:val="0"/>
                <w:color w:val="2B2F33"/>
                <w:sz w:val="14"/>
              </w:rPr>
              <w:t>Core cover retained; SEVEN new S12 enhancements added (Representation Costs; Journalistic Source-Protection; Criminal/Regulatory Defence cross-reference; Distributors &amp; Purchasers 5x; Worldwide/USA-Canada optional; King's Counsel determination; Pollution negligent-advice write-back) + broadened 'Computer System' definition.</w:t>
            </w:r>
          </w:p>
        </w:tc>
        <w:tc>
          <w:tcPr>
            <w:tcW w:type="dxa" w:w="3515"/>
            <w:shd w:val="clear" w:color="auto" w:fill="F4F7F9"/>
          </w:tcPr>
          <w:p>
            <w:pPr>
              <w:spacing w:after="20" w:before="0"/>
            </w:pPr>
            <w:r/>
            <w:r>
              <w:rPr>
                <w:rFonts w:ascii="Lato" w:hAnsi="Lato" w:cs="Lato"/>
                <w:b w:val="0"/>
                <w:i w:val="0"/>
                <w:color w:val="2B2F33"/>
                <w:sz w:val="14"/>
              </w:rPr>
              <w:t>Materially broadened Media Liability — all held for sign-off. — Brokers can position broader S12 cover, but only once UW/legal sign-off is obtained.</w:t>
            </w:r>
          </w:p>
        </w:tc>
        <w:tc>
          <w:tcPr>
            <w:tcW w:type="dxa" w:w="1134"/>
            <w:shd w:val="clear" w:color="auto" w:fill="F4F7F9"/>
          </w:tcPr>
          <w:p>
            <w:pPr>
              <w:spacing w:after="20" w:before="0"/>
            </w:pPr>
            <w:r/>
            <w:r>
              <w:rPr>
                <w:rFonts w:ascii="Lato" w:hAnsi="Lato" w:cs="Lato"/>
                <w:b/>
                <w:i w:val="0"/>
                <w:color w:val="1B7A3D"/>
                <w:sz w:val="14"/>
              </w:rPr>
              <w:t>Favourable</w:t>
            </w:r>
          </w:p>
        </w:tc>
        <w:tc>
          <w:tcPr>
            <w:tcW w:type="dxa" w:w="737"/>
            <w:shd w:val="clear" w:color="auto" w:fill="F4F7F9"/>
          </w:tcPr>
          <w:p>
            <w:pPr>
              <w:spacing w:after="20" w:before="0"/>
              <w:jc w:val="center"/>
            </w:pPr>
            <w:r/>
            <w:r>
              <w:rPr>
                <w:rFonts w:ascii="Lato" w:hAnsi="Lato" w:cs="Lato"/>
                <w:b w:val="0"/>
                <w:i w:val="0"/>
                <w:color w:val="2B2F33"/>
                <w:sz w:val="14"/>
              </w:rPr>
              <w:t>Yes</w:t>
            </w:r>
          </w:p>
        </w:tc>
        <w:tc>
          <w:tcPr>
            <w:tcW w:type="dxa" w:w="737"/>
            <w:shd w:val="clear" w:color="auto" w:fill="F4F7F9"/>
          </w:tcPr>
          <w:p>
            <w:pPr>
              <w:spacing w:after="20" w:before="0"/>
              <w:jc w:val="center"/>
            </w:pPr>
            <w:r/>
            <w:r>
              <w:rPr>
                <w:rFonts w:ascii="Lato" w:hAnsi="Lato" w:cs="Lato"/>
                <w:b/>
                <w:i w:val="0"/>
                <w:color w:val="C0563F"/>
                <w:sz w:val="14"/>
              </w:rPr>
              <w:t>Yes</w:t>
            </w:r>
          </w:p>
        </w:tc>
        <w:tc>
          <w:tcPr>
            <w:tcW w:type="dxa" w:w="1474"/>
            <w:shd w:val="clear" w:color="auto" w:fill="F4F7F9"/>
          </w:tcPr>
          <w:p>
            <w:pPr>
              <w:spacing w:after="20" w:before="0"/>
            </w:pPr>
            <w:r/>
            <w:r>
              <w:rPr>
                <w:rFonts w:ascii="Lato" w:hAnsi="Lato" w:cs="Lato"/>
                <w:b w:val="0"/>
                <w:i w:val="0"/>
                <w:color w:val="2B2F33"/>
                <w:sz w:val="14"/>
              </w:rPr>
              <w:t>Material</w:t>
            </w:r>
          </w:p>
        </w:tc>
        <w:tc>
          <w:tcPr>
            <w:tcW w:type="dxa" w:w="1474"/>
            <w:shd w:val="clear" w:color="auto" w:fill="F4F7F9"/>
          </w:tcPr>
          <w:p>
            <w:pPr>
              <w:spacing w:after="20" w:before="0"/>
            </w:pPr>
            <w:r/>
            <w:r>
              <w:rPr>
                <w:rFonts w:ascii="Lato" w:hAnsi="Lato" w:cs="Lato"/>
                <w:b/>
                <w:i w:val="0"/>
                <w:color w:val="B88A3C"/>
                <w:sz w:val="14"/>
              </w:rPr>
              <w:t>UW Review Enhancement</w:t>
            </w:r>
          </w:p>
        </w:tc>
      </w:tr>
      <w:tr>
        <w:tc>
          <w:tcPr>
            <w:tcW w:type="dxa" w:w="1928"/>
          </w:tcPr>
          <w:p>
            <w:pPr>
              <w:spacing w:after="20" w:before="0"/>
            </w:pPr>
            <w:r/>
            <w:r>
              <w:rPr>
                <w:rFonts w:ascii="Lato" w:hAnsi="Lato" w:cs="Lato"/>
                <w:b/>
                <w:i w:val="0"/>
                <w:color w:val="00648B"/>
                <w:sz w:val="15"/>
              </w:rPr>
              <w:t>NEW Section 13 — Commercial Legal Expenses</w:t>
            </w:r>
          </w:p>
        </w:tc>
        <w:tc>
          <w:tcPr>
            <w:tcW w:type="dxa" w:w="2438"/>
          </w:tcPr>
          <w:p>
            <w:pPr>
              <w:spacing w:after="20" w:before="0"/>
            </w:pPr>
            <w:r/>
            <w:r>
              <w:rPr>
                <w:rFonts w:ascii="Lato" w:hAnsi="Lato" w:cs="Lato"/>
                <w:b w:val="0"/>
                <w:i w:val="0"/>
                <w:color w:val="2B2F33"/>
                <w:sz w:val="14"/>
              </w:rPr>
              <w:t>No legal-expenses section.</w:t>
            </w:r>
          </w:p>
        </w:tc>
        <w:tc>
          <w:tcPr>
            <w:tcW w:type="dxa" w:w="2722"/>
          </w:tcPr>
          <w:p>
            <w:pPr>
              <w:spacing w:after="20" w:before="0"/>
            </w:pPr>
            <w:r/>
            <w:r>
              <w:rPr>
                <w:rFonts w:ascii="Lato" w:hAnsi="Lato" w:cs="Lato"/>
                <w:b w:val="0"/>
                <w:i w:val="0"/>
                <w:color w:val="2B2F33"/>
                <w:sz w:val="14"/>
              </w:rPr>
              <w:t>New ARAG-style Commercial Legal Expenses section (employment, contract, tax, statutory defence etc.); broadened 'Employee' definition.</w:t>
            </w:r>
          </w:p>
        </w:tc>
        <w:tc>
          <w:tcPr>
            <w:tcW w:type="dxa" w:w="3515"/>
          </w:tcPr>
          <w:p>
            <w:pPr>
              <w:spacing w:after="20" w:before="0"/>
            </w:pPr>
            <w:r/>
            <w:r>
              <w:rPr>
                <w:rFonts w:ascii="Lato" w:hAnsi="Lato" w:cs="Lato"/>
                <w:b w:val="0"/>
                <w:i w:val="0"/>
                <w:color w:val="2B2F33"/>
                <w:sz w:val="14"/>
              </w:rPr>
              <w:t>Entirely new cover (Schedule-operative). — New benefit to highlight; operative only if shown in the Schedule.</w:t>
            </w:r>
          </w:p>
        </w:tc>
        <w:tc>
          <w:tcPr>
            <w:tcW w:type="dxa" w:w="1134"/>
          </w:tcPr>
          <w:p>
            <w:pPr>
              <w:spacing w:after="20" w:before="0"/>
            </w:pPr>
            <w:r/>
            <w:r>
              <w:rPr>
                <w:rFonts w:ascii="Lato" w:hAnsi="Lato" w:cs="Lato"/>
                <w:b/>
                <w:i w:val="0"/>
                <w:color w:val="1B7A3D"/>
                <w:sz w:val="14"/>
              </w:rPr>
              <w:t>Favourable</w:t>
            </w:r>
          </w:p>
        </w:tc>
        <w:tc>
          <w:tcPr>
            <w:tcW w:type="dxa" w:w="737"/>
          </w:tcPr>
          <w:p>
            <w:pPr>
              <w:spacing w:after="20" w:before="0"/>
              <w:jc w:val="center"/>
            </w:pPr>
            <w:r/>
            <w:r>
              <w:rPr>
                <w:rFonts w:ascii="Lato" w:hAnsi="Lato" w:cs="Lato"/>
                <w:b w:val="0"/>
                <w:i w:val="0"/>
                <w:color w:val="2B2F33"/>
                <w:sz w:val="14"/>
              </w:rPr>
              <w:t>Yes</w:t>
            </w:r>
          </w:p>
        </w:tc>
        <w:tc>
          <w:tcPr>
            <w:tcW w:type="dxa" w:w="737"/>
          </w:tcPr>
          <w:p>
            <w:pPr>
              <w:spacing w:after="20" w:before="0"/>
              <w:jc w:val="center"/>
            </w:pPr>
            <w:r/>
            <w:r>
              <w:rPr>
                <w:rFonts w:ascii="Lato" w:hAnsi="Lato" w:cs="Lato"/>
                <w:b/>
                <w:i w:val="0"/>
                <w:color w:val="C0563F"/>
                <w:sz w:val="14"/>
              </w:rPr>
              <w:t>Yes</w:t>
            </w:r>
          </w:p>
        </w:tc>
        <w:tc>
          <w:tcPr>
            <w:tcW w:type="dxa" w:w="1474"/>
          </w:tcPr>
          <w:p>
            <w:pPr>
              <w:spacing w:after="20" w:before="0"/>
            </w:pPr>
            <w:r/>
            <w:r>
              <w:rPr>
                <w:rFonts w:ascii="Lato" w:hAnsi="Lato" w:cs="Lato"/>
                <w:b w:val="0"/>
                <w:i w:val="0"/>
                <w:color w:val="2B2F33"/>
                <w:sz w:val="14"/>
              </w:rPr>
              <w:t>Material</w:t>
            </w:r>
          </w:p>
        </w:tc>
        <w:tc>
          <w:tcPr>
            <w:tcW w:type="dxa" w:w="1474"/>
          </w:tcPr>
          <w:p>
            <w:pPr>
              <w:spacing w:after="20" w:before="0"/>
            </w:pPr>
            <w:r/>
            <w:r>
              <w:rPr>
                <w:rFonts w:ascii="Lato" w:hAnsi="Lato" w:cs="Lato"/>
                <w:b/>
                <w:i w:val="0"/>
                <w:color w:val="B88A3C"/>
                <w:sz w:val="14"/>
              </w:rPr>
              <w:t>Base (+ UW enh: Employee def)</w:t>
            </w:r>
          </w:p>
        </w:tc>
      </w:tr>
      <w:tr>
        <w:tc>
          <w:tcPr>
            <w:tcW w:type="dxa" w:w="1928"/>
            <w:shd w:val="clear" w:color="auto" w:fill="F4F7F9"/>
          </w:tcPr>
          <w:p>
            <w:pPr>
              <w:spacing w:after="20" w:before="0"/>
            </w:pPr>
            <w:r/>
            <w:r>
              <w:rPr>
                <w:rFonts w:ascii="Lato" w:hAnsi="Lato" w:cs="Lato"/>
                <w:b/>
                <w:i w:val="0"/>
                <w:color w:val="00648B"/>
                <w:sz w:val="15"/>
              </w:rPr>
              <w:t>NEW Section 14 — Management Liability</w:t>
            </w:r>
          </w:p>
        </w:tc>
        <w:tc>
          <w:tcPr>
            <w:tcW w:type="dxa" w:w="2438"/>
            <w:shd w:val="clear" w:color="auto" w:fill="F4F7F9"/>
          </w:tcPr>
          <w:p>
            <w:pPr>
              <w:spacing w:after="20" w:before="0"/>
            </w:pPr>
            <w:r/>
            <w:r>
              <w:rPr>
                <w:rFonts w:ascii="Lato" w:hAnsi="Lato" w:cs="Lato"/>
                <w:b w:val="0"/>
                <w:i w:val="0"/>
                <w:color w:val="2B2F33"/>
                <w:sz w:val="14"/>
              </w:rPr>
              <w:t>No management-liability section.</w:t>
            </w:r>
          </w:p>
        </w:tc>
        <w:tc>
          <w:tcPr>
            <w:tcW w:type="dxa" w:w="2722"/>
            <w:shd w:val="clear" w:color="auto" w:fill="F4F7F9"/>
          </w:tcPr>
          <w:p>
            <w:pPr>
              <w:spacing w:after="20" w:before="0"/>
            </w:pPr>
            <w:r/>
            <w:r>
              <w:rPr>
                <w:rFonts w:ascii="Lato" w:hAnsi="Lato" w:cs="Lato"/>
                <w:b w:val="0"/>
                <w:i w:val="0"/>
                <w:color w:val="2B2F33"/>
                <w:sz w:val="14"/>
              </w:rPr>
              <w:t>New Management Liability section (D&amp;O, Company, Employment Practices / Wrongful Employment Practice, etc.).</w:t>
            </w:r>
          </w:p>
        </w:tc>
        <w:tc>
          <w:tcPr>
            <w:tcW w:type="dxa" w:w="3515"/>
            <w:shd w:val="clear" w:color="auto" w:fill="F4F7F9"/>
          </w:tcPr>
          <w:p>
            <w:pPr>
              <w:spacing w:after="20" w:before="0"/>
            </w:pPr>
            <w:r/>
            <w:r>
              <w:rPr>
                <w:rFonts w:ascii="Lato" w:hAnsi="Lato" w:cs="Lato"/>
                <w:b w:val="0"/>
                <w:i w:val="0"/>
                <w:color w:val="2B2F33"/>
                <w:sz w:val="14"/>
              </w:rPr>
              <w:t>Entirely new cover (Schedule-operative). — New benefit to highlight; operative only if shown in the Schedule.</w:t>
            </w:r>
          </w:p>
        </w:tc>
        <w:tc>
          <w:tcPr>
            <w:tcW w:type="dxa" w:w="1134"/>
            <w:shd w:val="clear" w:color="auto" w:fill="F4F7F9"/>
          </w:tcPr>
          <w:p>
            <w:pPr>
              <w:spacing w:after="20" w:before="0"/>
            </w:pPr>
            <w:r/>
            <w:r>
              <w:rPr>
                <w:rFonts w:ascii="Lato" w:hAnsi="Lato" w:cs="Lato"/>
                <w:b/>
                <w:i w:val="0"/>
                <w:color w:val="1B7A3D"/>
                <w:sz w:val="14"/>
              </w:rPr>
              <w:t>Favourable</w:t>
            </w:r>
          </w:p>
        </w:tc>
        <w:tc>
          <w:tcPr>
            <w:tcW w:type="dxa" w:w="737"/>
            <w:shd w:val="clear" w:color="auto" w:fill="F4F7F9"/>
          </w:tcPr>
          <w:p>
            <w:pPr>
              <w:spacing w:after="20" w:before="0"/>
              <w:jc w:val="center"/>
            </w:pPr>
            <w:r/>
            <w:r>
              <w:rPr>
                <w:rFonts w:ascii="Lato" w:hAnsi="Lato" w:cs="Lato"/>
                <w:b w:val="0"/>
                <w:i w:val="0"/>
                <w:color w:val="2B2F33"/>
                <w:sz w:val="14"/>
              </w:rPr>
              <w:t>Yes</w:t>
            </w:r>
          </w:p>
        </w:tc>
        <w:tc>
          <w:tcPr>
            <w:tcW w:type="dxa" w:w="737"/>
            <w:shd w:val="clear" w:color="auto" w:fill="F4F7F9"/>
          </w:tcPr>
          <w:p>
            <w:pPr>
              <w:spacing w:after="20" w:before="0"/>
              <w:jc w:val="center"/>
            </w:pPr>
            <w:r/>
            <w:r>
              <w:rPr>
                <w:rFonts w:ascii="Lato" w:hAnsi="Lato" w:cs="Lato"/>
                <w:b/>
                <w:i w:val="0"/>
                <w:color w:val="C0563F"/>
                <w:sz w:val="14"/>
              </w:rPr>
              <w:t>Yes</w:t>
            </w:r>
          </w:p>
        </w:tc>
        <w:tc>
          <w:tcPr>
            <w:tcW w:type="dxa" w:w="1474"/>
            <w:shd w:val="clear" w:color="auto" w:fill="F4F7F9"/>
          </w:tcPr>
          <w:p>
            <w:pPr>
              <w:spacing w:after="20" w:before="0"/>
            </w:pPr>
            <w:r/>
            <w:r>
              <w:rPr>
                <w:rFonts w:ascii="Lato" w:hAnsi="Lato" w:cs="Lato"/>
                <w:b w:val="0"/>
                <w:i w:val="0"/>
                <w:color w:val="2B2F33"/>
                <w:sz w:val="14"/>
              </w:rPr>
              <w:t>Material</w:t>
            </w:r>
          </w:p>
        </w:tc>
        <w:tc>
          <w:tcPr>
            <w:tcW w:type="dxa" w:w="1474"/>
            <w:shd w:val="clear" w:color="auto" w:fill="F4F7F9"/>
          </w:tcPr>
          <w:p>
            <w:pPr>
              <w:spacing w:after="20" w:before="0"/>
            </w:pPr>
            <w:r/>
            <w:r>
              <w:rPr>
                <w:rFonts w:ascii="Lato" w:hAnsi="Lato" w:cs="Lato"/>
                <w:b w:val="0"/>
                <w:i w:val="0"/>
                <w:color w:val="2B2F33"/>
                <w:sz w:val="14"/>
              </w:rPr>
              <w:t>Base</w:t>
            </w:r>
          </w:p>
        </w:tc>
      </w:tr>
      <w:tr>
        <w:tc>
          <w:tcPr>
            <w:tcW w:type="dxa" w:w="1928"/>
          </w:tcPr>
          <w:p>
            <w:pPr>
              <w:spacing w:after="20" w:before="0"/>
            </w:pPr>
            <w:r/>
            <w:r>
              <w:rPr>
                <w:rFonts w:ascii="Lato" w:hAnsi="Lato" w:cs="Lato"/>
                <w:b/>
                <w:i w:val="0"/>
                <w:color w:val="00648B"/>
                <w:sz w:val="15"/>
              </w:rPr>
              <w:t>NEW Section 15 — CyberGuard™ (Cyber Liability)</w:t>
            </w:r>
          </w:p>
        </w:tc>
        <w:tc>
          <w:tcPr>
            <w:tcW w:type="dxa" w:w="2438"/>
          </w:tcPr>
          <w:p>
            <w:pPr>
              <w:spacing w:after="20" w:before="0"/>
            </w:pPr>
            <w:r/>
            <w:r>
              <w:rPr>
                <w:rFonts w:ascii="Lato" w:hAnsi="Lato" w:cs="Lato"/>
                <w:b w:val="0"/>
                <w:i w:val="0"/>
                <w:color w:val="2B2F33"/>
                <w:sz w:val="14"/>
              </w:rPr>
              <w:t>No standalone cyber section.</w:t>
            </w:r>
          </w:p>
        </w:tc>
        <w:tc>
          <w:tcPr>
            <w:tcW w:type="dxa" w:w="2722"/>
          </w:tcPr>
          <w:p>
            <w:pPr>
              <w:spacing w:after="20" w:before="0"/>
            </w:pPr>
            <w:r/>
            <w:r>
              <w:rPr>
                <w:rFonts w:ascii="Lato" w:hAnsi="Lato" w:cs="Lato"/>
                <w:b w:val="0"/>
                <w:i w:val="0"/>
                <w:color w:val="2B2F33"/>
                <w:sz w:val="14"/>
              </w:rPr>
              <w:t>New standalone CyberGuard™ (Cyber Liability) section (multimedia, security &amp; privacy, privacy-regulatory defence &amp; penalties, PCI DSS). Label standardised across body + Contents.</w:t>
            </w:r>
          </w:p>
        </w:tc>
        <w:tc>
          <w:tcPr>
            <w:tcW w:type="dxa" w:w="3515"/>
          </w:tcPr>
          <w:p>
            <w:pPr>
              <w:spacing w:after="20" w:before="0"/>
            </w:pPr>
            <w:r/>
            <w:r>
              <w:rPr>
                <w:rFonts w:ascii="Lato" w:hAnsi="Lato" w:cs="Lato"/>
                <w:b w:val="0"/>
                <w:i w:val="0"/>
                <w:color w:val="2B2F33"/>
                <w:sz w:val="14"/>
              </w:rPr>
              <w:t>Entirely new standalone cyber-liability cover (Schedule-operative). — Major new benefit; genuine cyber liability, not a bare exclusion.</w:t>
            </w:r>
          </w:p>
        </w:tc>
        <w:tc>
          <w:tcPr>
            <w:tcW w:type="dxa" w:w="1134"/>
          </w:tcPr>
          <w:p>
            <w:pPr>
              <w:spacing w:after="20" w:before="0"/>
            </w:pPr>
            <w:r/>
            <w:r>
              <w:rPr>
                <w:rFonts w:ascii="Lato" w:hAnsi="Lato" w:cs="Lato"/>
                <w:b/>
                <w:i w:val="0"/>
                <w:color w:val="1B7A3D"/>
                <w:sz w:val="14"/>
              </w:rPr>
              <w:t>Favourable</w:t>
            </w:r>
          </w:p>
        </w:tc>
        <w:tc>
          <w:tcPr>
            <w:tcW w:type="dxa" w:w="737"/>
          </w:tcPr>
          <w:p>
            <w:pPr>
              <w:spacing w:after="20" w:before="0"/>
              <w:jc w:val="center"/>
            </w:pPr>
            <w:r/>
            <w:r>
              <w:rPr>
                <w:rFonts w:ascii="Lato" w:hAnsi="Lato" w:cs="Lato"/>
                <w:b w:val="0"/>
                <w:i w:val="0"/>
                <w:color w:val="2B2F33"/>
                <w:sz w:val="14"/>
              </w:rPr>
              <w:t>Yes</w:t>
            </w:r>
          </w:p>
        </w:tc>
        <w:tc>
          <w:tcPr>
            <w:tcW w:type="dxa" w:w="737"/>
          </w:tcPr>
          <w:p>
            <w:pPr>
              <w:spacing w:after="20" w:before="0"/>
              <w:jc w:val="center"/>
            </w:pPr>
            <w:r/>
            <w:r>
              <w:rPr>
                <w:rFonts w:ascii="Lato" w:hAnsi="Lato" w:cs="Lato"/>
                <w:b/>
                <w:i w:val="0"/>
                <w:color w:val="C0563F"/>
                <w:sz w:val="14"/>
              </w:rPr>
              <w:t>Yes</w:t>
            </w:r>
          </w:p>
        </w:tc>
        <w:tc>
          <w:tcPr>
            <w:tcW w:type="dxa" w:w="1474"/>
          </w:tcPr>
          <w:p>
            <w:pPr>
              <w:spacing w:after="20" w:before="0"/>
            </w:pPr>
            <w:r/>
            <w:r>
              <w:rPr>
                <w:rFonts w:ascii="Lato" w:hAnsi="Lato" w:cs="Lato"/>
                <w:b w:val="0"/>
                <w:i w:val="0"/>
                <w:color w:val="2B2F33"/>
                <w:sz w:val="14"/>
              </w:rPr>
              <w:t>Material</w:t>
            </w:r>
          </w:p>
        </w:tc>
        <w:tc>
          <w:tcPr>
            <w:tcW w:type="dxa" w:w="1474"/>
          </w:tcPr>
          <w:p>
            <w:pPr>
              <w:spacing w:after="20" w:before="0"/>
            </w:pPr>
            <w:r/>
            <w:r>
              <w:rPr>
                <w:rFonts w:ascii="Lato" w:hAnsi="Lato" w:cs="Lato"/>
                <w:b/>
                <w:i w:val="0"/>
                <w:color w:val="B88A3C"/>
                <w:sz w:val="14"/>
              </w:rPr>
              <w:t>Base (label = UW enh)</w:t>
            </w:r>
          </w:p>
        </w:tc>
      </w:tr>
    </w:tbl>
    <w:p>
      <w:r>
        <w:br w:type="page"/>
      </w:r>
    </w:p>
    <w:p>
      <w:pPr>
        <w:keepNext/>
        <w:spacing w:before="280" w:after="40"/>
        <w:pBdr>
          <w:bottom w:val="single" w:sz="8" w:space="2" w:color="B88A3C"/>
        </w:pBdr>
      </w:pPr>
      <w:r>
        <w:rPr>
          <w:rFonts w:ascii="Lato" w:hAnsi="Lato" w:cs="Lato"/>
          <w:b/>
          <w:i w:val="0"/>
          <w:color w:val="00648B"/>
          <w:sz w:val="30"/>
        </w:rPr>
        <w:t>C. Client Migration Implications (0223C → final)</w:t>
      </w:r>
    </w:p>
    <w:p>
      <w:pPr>
        <w:spacing w:after="80" w:before="0"/>
      </w:pPr>
      <w:r>
        <w:rPr>
          <w:rFonts w:ascii="Lato" w:hAnsi="Lato" w:cs="Lato"/>
          <w:b w:val="0"/>
          <w:i w:val="0"/>
          <w:color w:val="2B2F33"/>
          <w:sz w:val="20"/>
        </w:rPr>
        <w:t>Key points for clients and brokers moving an account from the TMHCC 0223C wording to the final wording:</w:t>
      </w:r>
    </w:p>
    <w:p>
      <w:pPr>
        <w:spacing w:after="80" w:before="0"/>
      </w:pPr>
      <w:r>
        <w:rPr>
          <w:rFonts w:ascii="Lato" w:hAnsi="Lato"/>
          <w:b/>
          <w:color w:val="00648B"/>
          <w:sz w:val="19"/>
        </w:rPr>
        <w:t xml:space="preserve">Section numbers have changed — re-map any references. </w:t>
      </w:r>
      <w:r>
        <w:rPr>
          <w:rFonts w:ascii="Lato" w:hAnsi="Lato"/>
          <w:color w:val="2B2F33"/>
          <w:sz w:val="19"/>
        </w:rPr>
        <w:t>The standalone Information Technology Section (old S4) is removed and every section from old S5 onward is renumbered down by one. Any Schedule entries, endorsements, certificates or broker documents that reference OLD section numbers must be re-mapped to the new numbering (see the map above).</w:t>
      </w:r>
    </w:p>
    <w:p>
      <w:pPr>
        <w:spacing w:after="80" w:before="0"/>
      </w:pPr>
      <w:r>
        <w:rPr>
          <w:rFonts w:ascii="Lato" w:hAnsi="Lato"/>
          <w:b/>
          <w:color w:val="00648B"/>
          <w:sz w:val="19"/>
        </w:rPr>
        <w:t xml:space="preserve">IT cover is retained, not lost. </w:t>
      </w:r>
      <w:r>
        <w:rPr>
          <w:rFonts w:ascii="Lato" w:hAnsi="Lato"/>
          <w:color w:val="2B2F33"/>
          <w:sz w:val="19"/>
        </w:rPr>
        <w:t>Information-technology PROPERTY and computer-breakdown cover is consolidated into Section 1 (premises) and Section 2 (Property &amp; Equipment). Clients should be reassured the cover continues — underwriting to confirm no narrowing on consolidation.</w:t>
      </w:r>
    </w:p>
    <w:p>
      <w:pPr>
        <w:spacing w:after="80" w:before="0"/>
      </w:pPr>
      <w:r>
        <w:rPr>
          <w:rFonts w:ascii="Lato" w:hAnsi="Lato"/>
          <w:b/>
          <w:color w:val="00648B"/>
          <w:sz w:val="19"/>
        </w:rPr>
        <w:t xml:space="preserve">Three new sections are available. </w:t>
      </w:r>
      <w:r>
        <w:rPr>
          <w:rFonts w:ascii="Lato" w:hAnsi="Lato"/>
          <w:color w:val="2B2F33"/>
          <w:sz w:val="19"/>
        </w:rPr>
        <w:t>Commercial Legal Expenses (S13), Management Liability (S14) and a standalone CyberGuard™ cyber-liability section (S15) are new. They are operative ONLY if shown as operative in the Schedule — confirm at renewal whether the client is buying them.</w:t>
      </w:r>
    </w:p>
    <w:p>
      <w:pPr>
        <w:spacing w:after="80" w:before="0"/>
      </w:pPr>
      <w:r>
        <w:rPr>
          <w:rFonts w:ascii="Lato" w:hAnsi="Lato"/>
          <w:b/>
          <w:color w:val="00648B"/>
          <w:sz w:val="19"/>
        </w:rPr>
        <w:t xml:space="preserve">Claims handling has changed. </w:t>
      </w:r>
      <w:r>
        <w:rPr>
          <w:rFonts w:ascii="Lato" w:hAnsi="Lato"/>
          <w:color w:val="2B2F33"/>
          <w:sz w:val="19"/>
        </w:rPr>
        <w:t>Admission of Liability is now an ordinary condition (with a prejudice qualifier) rather than a blanket condition precedent; a new Proof of Ownership and Value condition applies; and the new liability sections (S12–S15) carry their own, stricter, section-specific notification (condition precedent). Brokers should brief clients on the differing notification rules per section.</w:t>
      </w:r>
    </w:p>
    <w:p>
      <w:pPr>
        <w:spacing w:after="80" w:before="0"/>
      </w:pPr>
      <w:r>
        <w:rPr>
          <w:rFonts w:ascii="Lato" w:hAnsi="Lato"/>
          <w:b/>
          <w:color w:val="00648B"/>
          <w:sz w:val="19"/>
        </w:rPr>
        <w:t xml:space="preserve">General conditions and exclusions now target Sections 1–11. </w:t>
      </w:r>
      <w:r>
        <w:rPr>
          <w:rFonts w:ascii="Lato" w:hAnsi="Lato"/>
          <w:color w:val="2B2F33"/>
          <w:sz w:val="19"/>
        </w:rPr>
        <w:t>The general conditions and general exclusions are re-scoped to Sections 1–11; Sections 13–15 are governed by their own specialist terms, which prevail on any conflict. Read the new sections' own conditions carefully.</w:t>
      </w:r>
    </w:p>
    <w:p>
      <w:pPr>
        <w:spacing w:after="80" w:before="0"/>
      </w:pPr>
      <w:r>
        <w:rPr>
          <w:rFonts w:ascii="Lato" w:hAnsi="Lato"/>
          <w:b/>
          <w:color w:val="00648B"/>
          <w:sz w:val="19"/>
        </w:rPr>
        <w:t xml:space="preserve">Money cover is restructured. </w:t>
      </w:r>
      <w:r>
        <w:rPr>
          <w:rFonts w:ascii="Lato" w:hAnsi="Lato"/>
          <w:color w:val="2B2F33"/>
          <w:sz w:val="19"/>
        </w:rPr>
        <w:t>Money is now presented as two Schedule-referenced extensions — 'Money – Premises' and 'Money – Touring, Festivals and Events' — with the touring/event extension adding event-money heads (safes/containers, assault on personal effects, employee dishonesty). Existing covers are preserved; sub-limits are Schedule-set.</w:t>
      </w:r>
    </w:p>
    <w:p>
      <w:pPr>
        <w:spacing w:after="80" w:before="0"/>
      </w:pPr>
      <w:r>
        <w:rPr>
          <w:rFonts w:ascii="Lato" w:hAnsi="Lato"/>
          <w:b/>
          <w:color w:val="00648B"/>
          <w:sz w:val="19"/>
        </w:rPr>
        <w:t xml:space="preserve">Some enhancements are pending sign-off. </w:t>
      </w:r>
      <w:r>
        <w:rPr>
          <w:rFonts w:ascii="Lato" w:hAnsi="Lato"/>
          <w:color w:val="2B2F33"/>
          <w:sz w:val="19"/>
        </w:rPr>
        <w:t>The broadest Media Liability (S12) enhancements (Distributors &amp; Purchasers, worldwide/US-Canada option, source-protection, representation costs, criminal/regulatory defence cross-reference, King's Counsel clause, pollution negligent-advice write-back) and the broadened S13 'Employee' and S12 'Computer System' definitions are tracked but NOT yet accepted — they require TMHCC underwriting/legal sign-off before being relied upon (see the UW Enhancement Register).</w:t>
      </w:r>
    </w:p>
    <w:p>
      <w:pPr>
        <w:keepNext/>
        <w:spacing w:before="280" w:after="40"/>
        <w:pBdr>
          <w:bottom w:val="single" w:sz="8" w:space="2" w:color="B88A3C"/>
        </w:pBdr>
      </w:pPr>
      <w:r>
        <w:rPr>
          <w:rFonts w:ascii="Lato" w:hAnsi="Lato" w:cs="Lato"/>
          <w:b/>
          <w:i w:val="0"/>
          <w:color w:val="00648B"/>
          <w:sz w:val="30"/>
        </w:rPr>
        <w:t>D. How this summary was produced</w:t>
      </w:r>
    </w:p>
    <w:p>
      <w:pPr>
        <w:pStyle w:val="ListBullet"/>
        <w:spacing w:after="40"/>
        <w:ind w:left="340"/>
      </w:pPr>
      <w:r>
        <w:rPr>
          <w:rFonts w:ascii="Lato" w:hAnsi="Lato" w:cs="Lato"/>
          <w:b w:val="0"/>
          <w:i w:val="0"/>
          <w:color w:val="2B2F33"/>
          <w:sz w:val="19"/>
        </w:rPr>
        <w:t>Generated from a fresh, holistic 0223C→final tracked-changes redline (Phase 01), not from the prior 'recent enhancements' tracked changes.</w:t>
      </w:r>
    </w:p>
    <w:p>
      <w:pPr>
        <w:pStyle w:val="ListBullet"/>
        <w:spacing w:after="40"/>
        <w:ind w:left="340"/>
      </w:pPr>
      <w:r>
        <w:rPr>
          <w:rFonts w:ascii="Lato" w:hAnsi="Lato" w:cs="Lato"/>
          <w:b w:val="0"/>
          <w:i w:val="0"/>
          <w:color w:val="2B2F33"/>
          <w:sz w:val="19"/>
        </w:rPr>
        <w:t>Each change is classified favourable / neutral / restrictive and flagged for broker explanation and underwriting/legal sign-off.</w:t>
      </w:r>
    </w:p>
    <w:p>
      <w:pPr>
        <w:pStyle w:val="ListBullet"/>
        <w:spacing w:after="40"/>
        <w:ind w:left="340"/>
      </w:pPr>
      <w:r>
        <w:rPr>
          <w:rFonts w:ascii="Lato" w:hAnsi="Lato" w:cs="Lato"/>
          <w:b w:val="0"/>
          <w:i w:val="0"/>
          <w:color w:val="2B2F33"/>
          <w:sz w:val="19"/>
        </w:rPr>
        <w:t>UW Review Enhancements are distinguished from Base redline changes throughout.</w:t>
      </w:r>
    </w:p>
    <w:p>
      <w:pPr>
        <w:pStyle w:val="ListBullet"/>
        <w:spacing w:after="40"/>
        <w:ind w:left="340"/>
      </w:pPr>
      <w:r>
        <w:rPr>
          <w:rFonts w:ascii="Lato" w:hAnsi="Lato" w:cs="Lato"/>
          <w:b w:val="0"/>
          <w:i w:val="0"/>
          <w:color w:val="2B2F33"/>
          <w:sz w:val="19"/>
        </w:rPr>
        <w:t>No cover has been invented and no exclusion or restriction has been softened in this description.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Lato" w:hAnsi="Lato" w:cs="Lato"/>
        <w:b w:val="0"/>
        <w:i/>
        <w:color w:val="AEB4B8"/>
        <w:sz w:val="13"/>
      </w:rPr>
      <w:t>Phase 02 — detailed change summary (TMHCC 0223C → final wording, commit 58b8340). Companion to the Full Redline. Items marked 'UW Review Enhancement' await sign-off.</w:t>
    </w:r>
  </w:p>
  <w:p>
    <w:pPr>
      <w:jc w:val="center"/>
    </w:pPr>
    <w:r>
      <w:rPr>
        <w:rFonts w:ascii="Lato" w:hAnsi="Lato" w:cs="Lato"/>
        <w:b w:val="0"/>
        <w:i w:val="0"/>
        <w:color w:val="6C737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pct" w:w="5000"/>
      <w:jc w:val="center"/>
      <w:tblBorders>
        <w:top w:val="none"/>
        <w:left w:val="none"/>
        <w:bottom w:val="none"/>
        <w:right w:val="none"/>
        <w:insideH w:val="none"/>
        <w:insideV w:val="none"/>
      </w:tblBorders>
      <w:tblLayout w:type="fixed"/>
      <w:tblLook w:firstColumn="1" w:firstRow="1" w:lastColumn="0" w:lastRow="0" w:noHBand="0" w:noVBand="1" w:val="04A0"/>
    </w:tblPr>
    <w:tblGrid>
      <w:gridCol w:w="7625"/>
      <w:gridCol w:w="7625"/>
    </w:tblGrid>
    <w:tr>
      <w:tc>
        <w:tcPr>
          <w:tcW w:type="dxa" w:w="11285"/>
          <w:vAlign w:val="center"/>
        </w:tcPr>
        <w:p>
          <w:pPr>
            <w:spacing w:after="0"/>
          </w:pPr>
          <w:r>
            <w:rPr>
              <w:rFonts w:ascii="Lato" w:hAnsi="Lato" w:cs="Lato"/>
              <w:b/>
              <w:i w:val="0"/>
              <w:color w:val="6C7378"/>
              <w:sz w:val="16"/>
            </w:rPr>
            <w:t>TMHCC Media &amp; Music Combined — Change Summary 0223C → Final</w:t>
          </w:r>
        </w:p>
      </w:tc>
      <w:tc>
        <w:tcPr>
          <w:tcW w:type="dxa" w:w="3965"/>
        </w:tcPr>
        <w:p>
          <w:pPr>
            <w:jc w:val="right"/>
          </w:pPr>
          <w:r>
            <w:drawing>
              <wp:inline xmlns:a="http://schemas.openxmlformats.org/drawingml/2006/main" xmlns:pic="http://schemas.openxmlformats.org/drawingml/2006/picture">
                <wp:extent cx="329906" cy="306000"/>
                <wp:docPr id="1" name="Picture 1"/>
                <wp:cNvGraphicFramePr>
                  <a:graphicFrameLocks noChangeAspect="1"/>
                </wp:cNvGraphicFramePr>
                <a:graphic>
                  <a:graphicData uri="http://schemas.openxmlformats.org/drawingml/2006/picture">
                    <pic:pic>
                      <pic:nvPicPr>
                        <pic:cNvPr id="0" name="tmhcc_logo.png"/>
                        <pic:cNvPicPr/>
                      </pic:nvPicPr>
                      <pic:blipFill>
                        <a:blip r:embed="rId1"/>
                        <a:stretch>
                          <a:fillRect/>
                        </a:stretch>
                      </pic:blipFill>
                      <pic:spPr>
                        <a:xfrm>
                          <a:off x="0" y="0"/>
                          <a:ext cx="329906" cy="306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s="Lato"/>
      <w:color w:val="2B2F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