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Phase 04 · Coverage Comparison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Six-Insurer Coverage Comparison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Clean one-page at-a-glance matrix, with a detailed legal appendix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Tokio Marine HCC — Media &amp; Music Combined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“Focus” Combined ‘All Risks’ Media policy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Media &amp; Entertainment by Yutree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 Entertainment Combined Policy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Entertainment ‘Complete’ Policy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AXA XL Media &amp; Entertainment Combined Corporate (Crisis Management &amp; Special Risks)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Entertainment Elite Policy (v3.2)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TMHCC Media &amp; Music Combined (final, commit 58b8340) vs six competitor wordings.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Legend: ✓ covered · ◐ partial/conditional/sub-limited · ✗ not identified/excluded · ? unclear/requires review.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No cover invented; TMHCC is not shown as winning a row the wording does not support (e.g. abuse).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At-a-glance coverage matrix</w:t>
      </w:r>
    </w:p>
    <w:p>
      <w:pPr>
        <w:spacing w:after="120"/>
      </w:pPr>
      <w:r>
        <w:rPr>
          <w:rFonts w:ascii="Lato" w:hAnsi="Lato" w:cs="Lato"/>
          <w:b/>
          <w:i w:val="0"/>
          <w:color w:val="1B7A3D"/>
          <w:sz w:val="19"/>
        </w:rPr>
        <w:t xml:space="preserve">✓ </w:t>
      </w:r>
      <w:r>
        <w:rPr>
          <w:rFonts w:ascii="Lato" w:hAnsi="Lato" w:cs="Lato"/>
          <w:b w:val="0"/>
          <w:i w:val="0"/>
          <w:color w:val="6C7378"/>
          <w:sz w:val="17"/>
        </w:rPr>
        <w:t>Covered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8A6A1E"/>
          <w:sz w:val="19"/>
        </w:rPr>
        <w:t xml:space="preserve">◐ </w:t>
      </w:r>
      <w:r>
        <w:rPr>
          <w:rFonts w:ascii="Lato" w:hAnsi="Lato" w:cs="Lato"/>
          <w:b w:val="0"/>
          <w:i w:val="0"/>
          <w:color w:val="6C7378"/>
          <w:sz w:val="17"/>
        </w:rPr>
        <w:t>Partial / conditional / sub-limit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A4233B"/>
          <w:sz w:val="19"/>
        </w:rPr>
        <w:t xml:space="preserve">✗ </w:t>
      </w:r>
      <w:r>
        <w:rPr>
          <w:rFonts w:ascii="Lato" w:hAnsi="Lato" w:cs="Lato"/>
          <w:b w:val="0"/>
          <w:i w:val="0"/>
          <w:color w:val="6C7378"/>
          <w:sz w:val="17"/>
        </w:rPr>
        <w:t>Not covered / not identified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5B6166"/>
          <w:sz w:val="19"/>
        </w:rPr>
        <w:t xml:space="preserve">? </w:t>
      </w:r>
      <w:r>
        <w:rPr>
          <w:rFonts w:ascii="Lato" w:hAnsi="Lato" w:cs="Lato"/>
          <w:b w:val="0"/>
          <w:i w:val="0"/>
          <w:color w:val="6C7378"/>
          <w:sz w:val="17"/>
        </w:rPr>
        <w:t>Unclear – requires review</w:t>
      </w:r>
    </w:p>
    <w:tbl>
      <w:tblPr>
        <w:tblW w:type="dxa" w:w="14005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794"/>
        <w:gridCol w:w="794"/>
        <w:gridCol w:w="794"/>
        <w:gridCol w:w="794"/>
        <w:gridCol w:w="794"/>
        <w:gridCol w:w="794"/>
        <w:gridCol w:w="794"/>
        <w:gridCol w:w="5613"/>
      </w:tblGrid>
      <w:tr>
        <w:tc>
          <w:tcPr>
            <w:tcW w:type="dxa" w:w="283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Coverage feature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7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  <w:tc>
          <w:tcPr>
            <w:tcW w:type="dxa" w:w="561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Key note / practical impact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Premises buildings &amp; contents (MD)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six; TMHCC absorbs IT property here.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Production / entertainment equipment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Liberty via specified items.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Business interruption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Allianz/AXA XL name more BI heads.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Terrorism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&amp; AXA XL exclude outright.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Employers’ Liability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Statutory EL by all (≈GBP 10m).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Public Liability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All; competitors combine Public+Products.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Products Liability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Abuse / molestation (PL) — covered?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794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TMHCC/Yutree/AXA XL EXCLUDE; others silent. See §A2.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Money (incl. touring/events)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restructured Premises + Touring/Events.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Goods in Transit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Dedicated GIT: TMHCC, Yutree, Allianz.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Loss of Licence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to TMHCC.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Production Indemnity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TMHCC, Tysers, Yutree.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Media Liability / PI / E&amp;O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PI worldwide + patents; see §A1.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Commercial Legal Expenses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to TMHCC.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Management Liability (D&amp;O/EPL)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to TMHCC.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Standalone Cyber Liability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UNIQUE; Yutree breakdown only; AXA XL excludes.</w:t>
            </w:r>
          </w:p>
        </w:tc>
      </w:tr>
      <w:tr>
        <w:tc>
          <w:tcPr>
            <w:tcW w:type="dxa" w:w="283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Personal Accident &amp; Business Travel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GAP: Tysers extensive; Yutree assault.</w:t>
            </w:r>
          </w:p>
        </w:tc>
      </w:tr>
      <w:tr>
        <w:tc>
          <w:tcPr>
            <w:tcW w:type="dxa" w:w="283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5"/>
              </w:rPr>
              <w:t>Worldwide PI territory (incl. option)</w:t>
            </w:r>
          </w:p>
        </w:tc>
        <w:tc>
          <w:tcPr>
            <w:tcW w:type="dxa" w:w="794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794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794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794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561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worldwide; TMHCC optional (sign-off).</w:t>
            </w:r>
          </w:p>
        </w:tc>
      </w:tr>
    </w:tbl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4"/>
        </w:rPr>
        <w:t>Footnotes: §A1 Media/PI — Tysers PI is worldwide and covers patents; TMHCC S12 is jurisdiction-limited (default ex-US/Canada) and excludes patents. §A2 Abuse — TMHCC, Yutree and AXA XL EXCLUDE abuse; Tysers, Liberty, Allianz and Entertainment Elite carry no express abuse exclusion (silent → not affirmatively granted). 'Liberty/Allianz/AXA XL/Ent.Elite' are property/BI/liability packages with no media/PI/cyber/legal/management cover.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Appendix — detailed coverage &amp; legal notes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1 — Section / cover availability (15 sections + PA)</w:t>
      </w:r>
    </w:p>
    <w:tbl>
      <w:tblPr>
        <w:tblW w:type="dxa" w:w="14997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822"/>
        <w:gridCol w:w="822"/>
        <w:gridCol w:w="822"/>
        <w:gridCol w:w="822"/>
        <w:gridCol w:w="822"/>
        <w:gridCol w:w="822"/>
        <w:gridCol w:w="822"/>
        <w:gridCol w:w="6974"/>
      </w:tblGrid>
      <w:tr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Feature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  <w:tc>
          <w:tcPr>
            <w:tcW w:type="dxa" w:w="697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 · Business “All Risks” (premises buildings &amp; contents)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six offer premises/contents material damage on an all-risks basis. Allianz, Liberty and AXA XL are property-led packages with granular MD specifications; TMHCC consolidates IT/premises cover here.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S2 · Property &amp; Equipment “All Risks” (production/entertainment equipment)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Owned and hired-in production/entertainment equipment. Tysers (Production Property), Yutree (Production property), Allianz (Specified All Risks), AXA XL (‘Technical Equipment’ within Material Damage). Liberty covers entertainment equipment via specified Schedule items.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S3 · Business Interruption “All Risks”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offer BI. Allianz is structurally broader (splits Increased Cost of Working and Book Debts into discrete sections). AXA XL has a full BI section (incl. Rent Receivable / Turnover). Confirm TMHCC S3 expressly covers ICOW/AICOW and book debts.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S4 · Terrorism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TMHCC, Yutree, Liberty and Allianz provide terrorism cover. Tysers EXCLUDES terrorism (no buy-back). AXA XL EXCLUDES terrorism absolutely (Policy Exclusion 3.4, ex-Employers’ Liability) — client would need standalone Pool Re.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S5 · Employers’ Liability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Statutory EL provided by all six (typically GBP 10m). Broadly equivalent. AXA XL = sub-section 7C.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S6 · Public Liability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Provided by all. Competitors combine Public &amp; Products; TMHCC splits Public (S6) and Products (S7). AXA XL = sub-section 7A.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S7 · Products Liability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Provided by all (combined with Public in the competitor wordings). AXA XL = sub-section 7B.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S8 · Money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Money cover provided by all. AXA XL provides Money as a sub-limited ‘Money’ specification WITHIN the Material Damage section (schedule-driven) rather than a standalone section.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S9 · Goods in Transit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TMHCC, Yutree (GIT section) and Allianz (Own Goods in Transit) provide GIT. Tysers, Liberty and AXA XL do NOT have a dedicated GIT section.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S10 · Loss of Licence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to TMHCC across all six competitors. Premises-licence loss cover under the Licensing Act 2003 — highly relevant for venues/festivals.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S11 · Production Indemnity “All Risks”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TMHCC, Tysers (Multimedia &amp; Producers Indemnity) and Yutree (Production Indemnity) cover production costs / cast / negatives. Liberty, Allianz and AXA XL do NOT offer production indemnity.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S12 · Media Liability / Professional Indemnity (E&amp;O)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The heart of a media wording. TMHCC (S12), Tysers (PI/E&amp;O) and Yutree (PI-Media + PI-Events) provide it. Liberty, Allianz and AXA XL provide NO media/PI/E&amp;O cover — despite AXA XL’s ‘Media &amp; Entertainment’ branding.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S13 · Commercial Legal Expenses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to TMHCC (ARAG-style legal expenses). No competitor wording includes a legal-expenses section.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S14 · Management Liability (D&amp;O / EPL etc.)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to TMHCC. No competitor wording includes management-liability cover.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S15 · Cyber Liability (standalone)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UNIQUE — TMHCC ‘CyberGuard’ is a genuine standalone cyber policy. Yutree offers Computer Breakdown only. AXA XL has NO cyber section and a broad cyber EXCLUSION (only a Data Protection Act 2018 carve-out within Public Liability). Others: none.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(+) Personal Accident &amp; Business Travel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GAP for TMHCC: no standalone PA/business-travel section. Tysers (PA &amp; Business Travel) is extensive; Yutree covers PA assault. Allianz references a ‘Personal Accident’ section in its exclusions (not in the cover list – review). AXA XL has NO personal-accident cover.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2 — Media Liability / PI / E&amp;O feature detail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6"/>
        </w:rPr>
        <w:t>Liberty, Allianz, AXA XL and Entertainment Elite provide NO media/PI cover.</w:t>
      </w:r>
    </w:p>
    <w:tbl>
      <w:tblPr>
        <w:tblW w:type="dxa" w:w="14997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822"/>
        <w:gridCol w:w="822"/>
        <w:gridCol w:w="822"/>
        <w:gridCol w:w="822"/>
        <w:gridCol w:w="822"/>
        <w:gridCol w:w="822"/>
        <w:gridCol w:w="822"/>
        <w:gridCol w:w="6974"/>
      </w:tblGrid>
      <w:tr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Feature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  <w:tc>
          <w:tcPr>
            <w:tcW w:type="dxa" w:w="697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Defamation / libel / slander / malicious falsehood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Yutree cover ‘unintentional’ defamation; Tysers covers unless the statement was known/ought-to-have-been-known to be defamatory. Broadly equivalent. Liberty/Allianz/AXA XL: no PI.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IP infringement – copyright / trademark / passing off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three media wordings cover unintentional IP infringement incl. passing-off.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Patent infringement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(clause 8.9) expressly includes PATENT infringement within IP cover. TMHCC and Yutree EXCLUDE patents. TMHCC is sensibly more restrictive (patents are hard to underwrite).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Breach of confidence / invasion of privacy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Covered by all three media wordings (TMHCC/Yutree on an ‘unintentional’ basis; Tysers clauses 8.11/8.12).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Breach of professional duty / negligence / E&amp;O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Core E&amp;O. Covered by all three media wordings.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Dishonesty / fraud of employees (write-back)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(Insuring Clause 1.l) and Yutree (Dishonesty &amp; fraud cover) grant an express write-back for employee dishonesty; Tysers via its Criminal/Malicious Acts exclusion with an employee carve-out.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Defence costs payable IN ADDITION to the limit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three pay defence costs in addition, with proportionate reduction once the limit is exceeded.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Territorial / jurisdiction scope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PI is WORLDWIDE. TMHCC limits cover to the Schedule Geographical Limits and EXCLUDES actions brought outside the stated Jurisdiction (default worldwide ex-US/Canada). Yutree restricts US/Canada. Competitor (Tysers) broader.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Data-protection defence costs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grants Data Protection Defence Costs (GBP 250k). Yutree EXCLUDES breach of data-protection law in PI. AXA XL provides only a DP Act 2018 defence-costs extension within Public Liability (not a media/PI grant). TMHCC clearer/broader.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Criminal / statutory prosecution defence costs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pays statutory defence costs (Bribery/Corporate Manslaughter/H&amp;S/CDM — GBP 1m). Yutree pays Criminal Prosecution Defence Costs (GBP 250k). TMHCC S12 grants only Data-Protection defence costs (broader criminal cover sits in S13/S14).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Reputation management / crisis-PR costs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Yutree both grant Reputation Management costs (GBP 250k). Not identified in Tysers S8.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Withdrawal / alteration of content (incl. ASA/OFCOM)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Yutree both grant Withdrawal of Content (GBP 250k) including ASA/OFCOM complaints. Not identified in Tysers.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Rectification / mitigation costs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three pay rectification/mitigation costs that avert a larger claim (TMHCC Rectification; Tysers 8.14; Yutree Mitigation).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Costs to PROSECUTE infringement of the insured’s own IP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(GBP 25k) and Yutree (IP-rights prosecution) fund pursuit of the insured’s own IP, subject to a supporting legal opinion. Not identified in Tysers.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Distributors &amp; purchasers extension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(clause 8.7) extends indemnity to purchasers/co-producers/distributors of the insured’s media material (up to 5x the limit). Not provided by TMHCC or Yutree.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Journalistic source-protection / challenge to subpoena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(clause 8.13) funds legal costs to challenge a subpoena requiring disclosure of a source. Not provided by TMHCC or Yutree — broker-sensitive for editorial/news clients.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Representation costs at investigations / inquiries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(8.15, GBP 25k) covers representation at official examinations/inquiries. TMHCC provides this only via Data-Protection defence; Yutree via Criminal-Prosecution defence.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Loss of documents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Covered by all three media wordings (TMHCC Insuring Clause; Tysers 8.10 GBP 1m; Yutree Loss of Documents, GBP 500 excess).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Unintentional virus transmission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(GBP 500k sub-limit, targeted-virus write-back) and Tysers (8.16, GBP 250k) cover unintentional virus transmission. Yutree treats virus within its broader cyber exclusion.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Mergers &amp; acquisitions / subsidiary auto-acquisition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Yutree both auto-include newly created/acquired entities below a 20% turnover threshold, with notification above. Tysers position requires review.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Pollution write-back (negligent advice)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Yutree grants a limited pollution write-back where the cause is a specific act/error/omission of the insured. TMHCC and Tysers exclude pollution from PI.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Cyber/data general exclusion impact on PI cover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TMHCC’s general cyber/date exclusion applies to Sections 1–11 ONLY, leaving S12 with bespoke virus/unauthorised-access cover; Tysers’ Electronic-Risk exclusion is dis-applied to S8. Yutree’s PI carries a BROAD cyber &amp; data-protection exclusion.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Senior-counsel (KC) dispute-resolution clause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Yutree includes a clear King’s Counsel arbitration clause for defence/settlement disputes. TMHCC relies on a general mediation/dispute condition; Tysers requires review.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3 — General &amp; liability exclusions (✓ = exclusion applies)</w:t>
      </w:r>
    </w:p>
    <w:tbl>
      <w:tblPr>
        <w:tblW w:type="dxa" w:w="14997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822"/>
        <w:gridCol w:w="822"/>
        <w:gridCol w:w="822"/>
        <w:gridCol w:w="822"/>
        <w:gridCol w:w="822"/>
        <w:gridCol w:w="822"/>
        <w:gridCol w:w="822"/>
        <w:gridCol w:w="6974"/>
      </w:tblGrid>
      <w:tr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Feature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  <w:tc>
          <w:tcPr>
            <w:tcW w:type="dxa" w:w="697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Abuse / molestation exclusion (PL)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TMHCC/Yutree/AXA XL exclude abuse; Tysers/Liberty/Allianz/Ent.Elite silent. (Prior review's omission.)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War / nuclear / radioactive contamination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Standard market exclusion present in all six wordings (AXA XL 3.3/3.5, incl. weapons of mass destruction). Broadly equivalent.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Terrorism (property/BI)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TMHCC, Yutree, Liberty, Allianz write terrorism back via a dedicated section. Tysers and AXA XL (3.4) EXCLUDE terrorism outright with no buy-back.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Pollution / contamination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Excluded by all with the usual sudden/accidental &amp; defined-peril write-backs (AXA XL: MD exclusion (p) and Liability pollution exclusion). Equivalent.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Asbestos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Tysers PI has a professional-duty WRITE-BACK (cover where liability arises from negligent advice, GBP 1m, ex-BI). TMHCC, Yutree and AXA XL (3.1, ex-EL) exclude asbestos more strictly.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Cyber / electronic risk (first-party damage &amp; BI)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exclude cyber-caused damage/BI. KEY DIFFERENCE: TMHCC dis-applies its cyber/date exclusion to Sections 12–15; Tysers dis-applies Electronic Risk to S8 PI. AXA XL’s cyber exclusion (3.7) is broad with only a DP Act 2018 carve-out; Yutree’s PI carries a broad cyber/data exclusion.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Date recognition / data-processing failure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Standard ‘millennium/date’-style exclusion in the property packages. AXA XL has no separate date clause — subsumed within its broad cyber/electronic-data exclusion. Equivalent in substance.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Communicable disease / pandemic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AXA XL (3.8) both carry a BROAD communicable-disease exclusion (applies notwithstanding all other terms). Not identified in Tysers; Yutree/Liberty/Allianz require confirmation. TMHCC is well-protected here (a deliberate restriction).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Sanctions / trade restrictions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carry a sanctions clause (AXA XL 4.4). TMHCC has both a Trading-Sanctions and an International-Sanctions clause. Equivalent.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Northern Ireland (civil commotion) / sonic bangs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Standard UK property-package carve-outs present in Tysers/Liberty/Allianz; TMHCC and AXA XL treatment within property sections requires confirmation.</w:t>
            </w:r>
          </w:p>
        </w:tc>
      </w:tr>
    </w:tbl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4 — PI-specific exclusions (✓ = applies; na = no PI)</w:t>
      </w:r>
    </w:p>
    <w:tbl>
      <w:tblPr>
        <w:tblW w:type="dxa" w:w="14997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822"/>
        <w:gridCol w:w="822"/>
        <w:gridCol w:w="822"/>
        <w:gridCol w:w="822"/>
        <w:gridCol w:w="822"/>
        <w:gridCol w:w="822"/>
        <w:gridCol w:w="822"/>
        <w:gridCol w:w="6974"/>
      </w:tblGrid>
      <w:tr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Feature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82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  <w:tc>
          <w:tcPr>
            <w:tcW w:type="dxa" w:w="697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Contractual / assumed liability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Excluded by all three media wordings, with the standard write-back for liability that would exist absent the contract. Equivalent.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Deliberate / reckless / dishonest acts (with employee write-back)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All exclude deliberate/dishonest acts of the insured but write back dishonest acts of employees. Equivalent.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Bodily injury / property damage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Excluded unless arising from negligent publication/advice. Equivalent.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Fines / penalties / punitive damages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excludes non-compensatory damages BUT writes back libel/slander/defamation awards and punitive damages where the law permits — a favourable carve-back. (Note: AXA XL’s general policy excludes punitive/exemplary damages and fines ABSOLUTELY, with no write-back — TMHCC is clearer/broader.)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Prior known claims / circumstances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Excluded by all three (claims-made hygiene). Equivalent.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Insolvency / financial failure of the insured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9"/>
              </w:rPr>
              <w:t>?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expressly excludes claims arising from its own insolvency/liquidation. Competitor positions require review.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USA / Canada jurisdiction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excludes actions brought / governed outside the stated Jurisdiction (default ex-US/Canada). Tysers PI is WORLDWIDE. Yutree restricts US/Canada exposure. Competitor (Tysers) broader.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Patent infringement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Yutree exclude patents; Tysers covers patent infringement. TMHCC sensibly more restrictive.</w:t>
            </w:r>
          </w:p>
        </w:tc>
      </w:tr>
      <w:tr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Cyber act / breach of data-protection law (within PI)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9"/>
              </w:rPr>
              <w:t>✗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Yutree’s PI carries a broad cyber-act &amp; data-protection-law exclusion. TMHCC instead grants bespoke cover (virus, unauthorised access, DP defence costs) — TMHCC broader/clearer.</w:t>
            </w:r>
          </w:p>
        </w:tc>
      </w:tr>
      <w:tr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Pollution / seepage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>✓</w:t>
            </w:r>
          </w:p>
        </w:tc>
        <w:tc>
          <w:tcPr>
            <w:tcW w:type="dxa" w:w="82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>◐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82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19"/>
              </w:rPr>
              <w:t>—</w:t>
            </w:r>
          </w:p>
        </w:tc>
        <w:tc>
          <w:tcPr>
            <w:tcW w:type="dxa" w:w="697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TMHCC and Tysers exclude pollution from PI; Yutree grants a limited write-back for the insured’s own negligent act/error/omission.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5 — Conditions &amp; claims obligations</w:t>
      </w:r>
    </w:p>
    <w:tbl>
      <w:tblPr>
        <w:tblW w:type="dxa" w:w="1511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495"/>
        <w:gridCol w:w="1803"/>
        <w:gridCol w:w="1803"/>
        <w:gridCol w:w="1803"/>
        <w:gridCol w:w="1803"/>
        <w:gridCol w:w="1803"/>
        <w:gridCol w:w="1803"/>
        <w:gridCol w:w="1803"/>
      </w:tblGrid>
      <w:tr>
        <w:tc>
          <w:tcPr>
            <w:tcW w:type="dxa" w:w="24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Condition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Claim notification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Express CONDITION PRECEDENT to liability — notify as soon as practicable (S1–11); S13 within 28 days; S12 claims-made notification during the period. Among the most protective drafting.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Notification under Special Condition 1; S8 PI is claims-made.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Claims-made; defined notification conditions for claims and claim circumstances.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Forward every claim document immediately on receipt.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Forward claim/notify per claims condition; potential proportionate remedy.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Written notice to Insurer per Policy Conditions; claims co-operation conditions.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Written notice to the Insurer as soon as reasonably practicable per the General/Claims Conditions; claim documents forwarded.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Basis of cover (PI/Media)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S12 Media Liability is claims-made with Retroactive Date; defence-costs in addition.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S8 PI/E&amp;O claims-made; defence costs in addition; Excess does not apply to defence costs.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PI-Media claims-made; retroactive date; defence costs in addition.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— no PI/media section.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— no PI/media section.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— no PI/media section.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— no PI/media section.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Reasonable precautions / cyber-security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S12 imposes detailed computer-security conditions (firewall, AV, password change/60 days, encryption, logging, back-ups) and ‘reasonable steps to avoid loss’.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Loss-of-documents condition requires back-ups at least every 7 days off-site.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Reasonable-precautions and security expectations apply.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General ‘your duties’ / reasonable precautions section.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Reasonable-precautions and maintenance conditions.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Reasonable-precautions / maintenance and duty-of-care conditions.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Reasonable-precautions and risk-improvement conditions; specific Money security, carryings and key conditions.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Change of control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S12 cover ceases on a change of control unless notified and agreed by endorsement.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Requires review.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Addressed via subsidiary creation/acquisition cover.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(no PI).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(no PI).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(no PI).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n/a (no PI).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Premium payment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S12 premium payment clause — 60 days, with 15-day cancellation notice.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Per policy/General Conditions.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Premium-adjustment condition with cancellation rights.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Standard cancellation section.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Standard cancellation provisions.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Standard premium / cancellation provisions (Policy Conditions).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Premium-instalment and cancellation provisions.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Fair presentation (Insurance Act 2015)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Duty of fair presentation applies (UK).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Duty of fair presentation; Zurich data terms.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Express duty of fair presentation.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‘Your duties’ — fair presentation.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Fair-presentation conditions.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relies on information provided; fair-presentation basis.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Duty of fair presentation.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Defence / dispute resolution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consent required (CP); general mediation/dispute condition (England &amp; Wales).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controls defence; consent to settle.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Clear King’s Counsel arbitration clause for defence/settlement disputes — strong drafting.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conduct-of-claims rights.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conduct-of-claims rights.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conduct-of-claims rights.</w:t>
            </w:r>
          </w:p>
        </w:tc>
        <w:tc>
          <w:tcPr>
            <w:tcW w:type="dxa" w:w="180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3"/>
              </w:rPr>
              <w:t>Insurer conduct-of-claims rights.</w:t>
            </w:r>
          </w:p>
        </w:tc>
      </w:tr>
    </w:tbl>
    <w:p>
      <w:r>
        <w:br w:type="page"/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6 — Key Media/PI sub-limits</w:t>
      </w:r>
    </w:p>
    <w:tbl>
      <w:tblPr>
        <w:tblW w:type="dxa" w:w="1511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2495"/>
        <w:gridCol w:w="1803"/>
        <w:gridCol w:w="1803"/>
        <w:gridCol w:w="1803"/>
        <w:gridCol w:w="1803"/>
        <w:gridCol w:w="1803"/>
        <w:gridCol w:w="1803"/>
        <w:gridCol w:w="1803"/>
      </w:tblGrid>
      <w:tr>
        <w:tc>
          <w:tcPr>
            <w:tcW w:type="dxa" w:w="24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Sub-limit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AXA XL</w:t>
            </w:r>
          </w:p>
        </w:tc>
        <w:tc>
          <w:tcPr>
            <w:tcW w:type="dxa" w:w="1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Ent.Elite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Primary limit of indemnity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Per Schedule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Per Schedule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Per Schedule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Virus transmission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500,000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Within cyber excl.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Data-protection defence costs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Excluded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PL: DP Act 2018 ext.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Criminal / statutory defence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 (DP only)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1,000,000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Reputation management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Withdrawal of content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Pursue insured’s own IP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25,000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Limit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Loss of documents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Per Schedule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1,000,000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Limit (GBP 500 xs)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Representation costs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DP only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25,000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Within crim. defence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Court attendance (per day)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500 / 250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GBP 500 / 250 (25k agg)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Review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  <w:tr>
        <w:tc>
          <w:tcPr>
            <w:tcW w:type="dxa" w:w="249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4"/>
              </w:rPr>
              <w:t>Distributors &amp; purchasers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5x limit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—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  <w:tc>
          <w:tcPr>
            <w:tcW w:type="dxa" w:w="180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4"/>
              </w:rPr>
              <w:t>n/a</w:t>
            </w:r>
          </w:p>
        </w:tc>
      </w:tr>
    </w:tbl>
    <w:p>
      <w:pPr>
        <w:spacing w:after="12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7 — TMHCC genuine strengths (wording-supported)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Widest section count in the peer group — </w:t>
      </w:r>
      <w:r>
        <w:rPr>
          <w:rFonts w:ascii="Lato" w:hAnsi="Lato" w:cs="Lato"/>
          <w:b w:val="0"/>
          <w:i w:val="0"/>
          <w:color w:val="2B2F33"/>
          <w:sz w:val="16"/>
        </w:rPr>
        <w:t>The only wording among the six offering all 15 sections in a single contract — a genuine ‘one-stop’ media &amp; entertainment package. Three of the six competitors (Liberty, Allianz and AXA XL) carry NO media/PI cover at all.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Four sections no competitor offers — </w:t>
      </w:r>
      <w:r>
        <w:rPr>
          <w:rFonts w:ascii="Lato" w:hAnsi="Lato" w:cs="Lato"/>
          <w:b w:val="0"/>
          <w:i w:val="0"/>
          <w:color w:val="2B2F33"/>
          <w:sz w:val="16"/>
        </w:rPr>
        <w:t>Loss of Licence (S10), Commercial Legal Expenses (S13), Management Liability (S14) and a standalone Cyber-liability section (S15 CyberGuard) are unique to TMHCC across all six competitors.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Standalone cyber that is genuine liability cover — </w:t>
      </w:r>
      <w:r>
        <w:rPr>
          <w:rFonts w:ascii="Lato" w:hAnsi="Lato" w:cs="Lato"/>
          <w:b w:val="0"/>
          <w:i w:val="0"/>
          <w:color w:val="2B2F33"/>
          <w:sz w:val="16"/>
        </w:rPr>
        <w:t>CyberGuard provides multimedia, security &amp; privacy, privacy-regulatory defence &amp; penalties and PCI DSS cover — not merely first-party breakdown, and not a bare cyber EXCLUSION (as in AXA XL).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Broad, well-extended Media Liability (S12) — </w:t>
      </w:r>
      <w:r>
        <w:rPr>
          <w:rFonts w:ascii="Lato" w:hAnsi="Lato" w:cs="Lato"/>
          <w:b w:val="0"/>
          <w:i w:val="0"/>
          <w:color w:val="2B2F33"/>
          <w:sz w:val="16"/>
        </w:rPr>
        <w:t>Wide ‘any other civil liability’ grant plus employee-dishonesty write-back, Data-Protection Defence Costs (GBP 250k), Reputation Management (GBP 250k), Withdrawal of Content (GBP 250k), IP-pursuit costs (GBP 25k) and M&amp;A auto-acquisition.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Clean exclusion architecture — </w:t>
      </w:r>
      <w:r>
        <w:rPr>
          <w:rFonts w:ascii="Lato" w:hAnsi="Lato" w:cs="Lato"/>
          <w:b w:val="0"/>
          <w:i w:val="0"/>
          <w:color w:val="2B2F33"/>
          <w:sz w:val="16"/>
        </w:rPr>
        <w:t>The general cyber/date exclusion is dis-applied to Sections 12–15, so the liability sections are governed by their own bespoke terms — avoiding the ‘silent-cyber strip’ seen in a competitor PI section and AXA XL’s blanket cyber exclusion.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Favourable fines/penalties carve-back — </w:t>
      </w:r>
      <w:r>
        <w:rPr>
          <w:rFonts w:ascii="Lato" w:hAnsi="Lato" w:cs="Lato"/>
          <w:b w:val="0"/>
          <w:i w:val="0"/>
          <w:color w:val="2B2F33"/>
          <w:sz w:val="16"/>
        </w:rPr>
        <w:t>Non-compensatory damages are written back for libel/slander/defamation awards and for punitive damages where the law permits payment — AXA XL, by contrast, excludes punitive/fines absolutely.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Protective, clearly-drafted claims architecture — </w:t>
      </w:r>
      <w:r>
        <w:rPr>
          <w:rFonts w:ascii="Lato" w:hAnsi="Lato" w:cs="Lato"/>
          <w:b w:val="0"/>
          <w:i w:val="0"/>
          <w:color w:val="2B2F33"/>
          <w:sz w:val="16"/>
        </w:rPr>
        <w:t>Claim notification is an express condition precedent; aggregation, retroactive date and territorial/jurisdiction terms are clearly defined.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8 — Areas competitors are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Worldwide PI territory (Tysers) — </w:t>
      </w:r>
      <w:r>
        <w:rPr>
          <w:rFonts w:ascii="Lato" w:hAnsi="Lato" w:cs="Lato"/>
          <w:b w:val="0"/>
          <w:i w:val="0"/>
          <w:color w:val="2B2F33"/>
          <w:sz w:val="16"/>
        </w:rPr>
        <w:t>Tysers PI/E&amp;O is worldwide; TMHCC S12 is limited to the Schedule Geographical Limits and excludes actions brought outside the stated Jurisdiction.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Patent infringement (Tysers) — </w:t>
      </w:r>
      <w:r>
        <w:rPr>
          <w:rFonts w:ascii="Lato" w:hAnsi="Lato" w:cs="Lato"/>
          <w:b w:val="0"/>
          <w:i w:val="0"/>
          <w:color w:val="2B2F33"/>
          <w:sz w:val="16"/>
        </w:rPr>
        <w:t>Tysers covers patent infringement within IP; TMHCC (and Yutree) exclude it.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Statutory / criminal defence costs (Tysers &amp; Yutree) — </w:t>
      </w:r>
      <w:r>
        <w:rPr>
          <w:rFonts w:ascii="Lato" w:hAnsi="Lato" w:cs="Lato"/>
          <w:b w:val="0"/>
          <w:i w:val="0"/>
          <w:color w:val="2B2F33"/>
          <w:sz w:val="16"/>
        </w:rPr>
        <w:t>Tysers funds Bribery/Corporate-Manslaughter/H&amp;S/CDM defence (GBP 1m); Yutree funds criminal-prosecution defence (GBP 250k). TMHCC S12 funds only data-protection defence (broader criminal cover sits in S13/S14).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Distributors &amp; purchasers (Tysers) — </w:t>
      </w:r>
      <w:r>
        <w:rPr>
          <w:rFonts w:ascii="Lato" w:hAnsi="Lato" w:cs="Lato"/>
          <w:b w:val="0"/>
          <w:i w:val="0"/>
          <w:color w:val="2B2F33"/>
          <w:sz w:val="16"/>
        </w:rPr>
        <w:t>Tysers extends PI to purchasers/co-producers/distributors of the insured’s media material (5x limit) — absent from TMHCC.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Journalistic source protection (Tysers) — </w:t>
      </w:r>
      <w:r>
        <w:rPr>
          <w:rFonts w:ascii="Lato" w:hAnsi="Lato" w:cs="Lato"/>
          <w:b w:val="0"/>
          <w:i w:val="0"/>
          <w:color w:val="2B2F33"/>
          <w:sz w:val="16"/>
        </w:rPr>
        <w:t>Tysers funds legal costs to challenge a subpoena requiring disclosure of a source — absent from TMHCC.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Personal Accident &amp; Business Travel (Tysers; Yutree assault) — </w:t>
      </w:r>
      <w:r>
        <w:rPr>
          <w:rFonts w:ascii="Lato" w:hAnsi="Lato" w:cs="Lato"/>
          <w:b w:val="0"/>
          <w:i w:val="0"/>
          <w:color w:val="2B2F33"/>
          <w:sz w:val="16"/>
        </w:rPr>
        <w:t>Tysers has an extensive PA/business-travel section; Yutree covers PA assault. TMHCC, Liberty, Allianz and AXA XL have no PA section.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Granular BI heads (Allianz) — </w:t>
      </w:r>
      <w:r>
        <w:rPr>
          <w:rFonts w:ascii="Lato" w:hAnsi="Lato" w:cs="Lato"/>
          <w:b w:val="0"/>
          <w:i w:val="0"/>
          <w:color w:val="2B2F33"/>
          <w:sz w:val="16"/>
        </w:rPr>
        <w:t>Allianz splits Increased Cost of Working and Book Debts into discrete sections — a presentational advantage.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Standalone Computer Breakdown (Yutree) — </w:t>
      </w:r>
      <w:r>
        <w:rPr>
          <w:rFonts w:ascii="Lato" w:hAnsi="Lato" w:cs="Lato"/>
          <w:b w:val="0"/>
          <w:i w:val="0"/>
          <w:color w:val="2B2F33"/>
          <w:sz w:val="16"/>
        </w:rPr>
        <w:t>Yutree offers a dedicated computer-breakdown section; TMHCC consolidates IT breakdown within S1/S2 — confirm it is explicit.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Limited pollution write-back in PI (Yutree) — </w:t>
      </w:r>
      <w:r>
        <w:rPr>
          <w:rFonts w:ascii="Lato" w:hAnsi="Lato" w:cs="Lato"/>
          <w:b w:val="0"/>
          <w:i w:val="0"/>
          <w:color w:val="2B2F33"/>
          <w:sz w:val="16"/>
        </w:rPr>
        <w:t>Yutree grants a limited pollution write-back for the insured’s own negligent act/error/omission.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6"/>
        </w:rPr>
        <w:t xml:space="preserve">KC dispute-resolution clause (Yutree) — </w:t>
      </w:r>
      <w:r>
        <w:rPr>
          <w:rFonts w:ascii="Lato" w:hAnsi="Lato" w:cs="Lato"/>
          <w:b w:val="0"/>
          <w:i w:val="0"/>
          <w:color w:val="2B2F33"/>
          <w:sz w:val="16"/>
        </w:rPr>
        <w:t>Yutree’s clear King’s Counsel arbitration clause for defence disputes is a drafting-clarity advantage.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App. 9 — Method &amp; assumptions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All six wordings were parsed in full to text; coverage was compared by FUNCTION, not heading, because the wordings are structured differently.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Section maps were taken from each policy’s contents/insuring clauses; feature-level findings from the operative clauses, extensions, conditions and exclusions actually read.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Where a clause could not be verified from the wording it is marked ‘? requires review’ rather than assumed.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No cover has been invented; competitor marketing language has not been treated as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TMHCC is recorded as having a gap ONLY where at least one competitor genuinely provides broader, clearer or materially useful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Exclusions, limits, conditions, warranties and write-backs were reviewed in detail and are not softened.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Liberty, Allianz and AXA XL are property / BI / liability combined packages and contain NO media/PI/E&amp;O, production-indemnity, cyber-liability, legal-expenses or management-liability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6"/>
        </w:rPr>
        <w:t>All six competitor wordings have now been mapped, including AXA XL (the fifth wording).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6"/>
        </w:rPr>
        <w:t>Competitor names are used as supplied; ‘capacity’ insurers are noted from the wordings (Zurich for Tysers; AXA for Yutree; XL Catlin/AXA XL for the AXA XL wording).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6"/>
        </w:rPr>
        <w:t>Primary limits, excesses and any ‘insured/not insured’ section toggles are schedule-driven and were not supplied — section availability reflects the wording booklets only.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6"/>
        </w:rPr>
        <w:t>Allianz’s ‘Personal Accident’ section is referenced in its exclusions but not in the provided cover list — treated as ‘requires review’.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6"/>
        </w:rPr>
        <w:t>AXA XL provides Money as a sub-limited specification within Material Damage (not a standalone section); shown as ‘partial’.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6"/>
        </w:rPr>
        <w:t>Page/clause citations are available in the working text extracts and can be added on request.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737" w:bottom="737" w:left="73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Phase 04 — six-insurer coverage comparison. Indicative; refer to the full wordings. Compared by legal effect, not heading. Subject to TMHCC legal/underwriting sign-off.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7682"/>
      <w:gridCol w:w="7682"/>
    </w:tblGrid>
    <w:tr>
      <w:tc>
        <w:tcPr>
          <w:tcW w:type="dxa" w:w="11369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Music Combined — Coverage Comparison</w:t>
          </w:r>
        </w:p>
      </w:tc>
      <w:tc>
        <w:tcPr>
          <w:tcW w:type="dxa" w:w="399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