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drawing>
          <wp:inline xmlns:a="http://schemas.openxmlformats.org/drawingml/2006/main" xmlns:pic="http://schemas.openxmlformats.org/drawingml/2006/picture">
            <wp:extent cx="582188" cy="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hcc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188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0"/>
      </w:pPr>
    </w:p>
    <w:p>
      <w:pPr>
        <w:spacing w:after="40"/>
      </w:pPr>
      <w:r>
        <w:rPr>
          <w:rFonts w:ascii="Lato" w:hAnsi="Lato" w:cs="Lato"/>
          <w:b/>
          <w:i w:val="0"/>
          <w:color w:val="B88A3C"/>
          <w:sz w:val="22"/>
          <w:caps w:val="true"/>
        </w:rPr>
        <w:t>Phase 06 · Workflow Playbook</w:t>
      </w:r>
    </w:p>
    <w:p>
      <w:pPr>
        <w:spacing w:after="80"/>
        <w:pBdr>
          <w:bottom w:val="single" w:sz="14" w:space="2" w:color="B88A3C"/>
        </w:pBdr>
      </w:pPr>
      <w:r>
        <w:rPr>
          <w:rFonts w:ascii="Lato" w:hAnsi="Lato" w:cs="Lato"/>
          <w:b/>
          <w:i w:val="0"/>
          <w:color w:val="00648B"/>
          <w:sz w:val="60"/>
        </w:rPr>
        <w:t>PolicyBridge Wording Studio</w:t>
      </w:r>
    </w:p>
    <w:p>
      <w:pPr>
        <w:spacing w:after="280" w:before="120"/>
      </w:pPr>
      <w:r>
        <w:rPr>
          <w:rFonts w:ascii="Lato" w:hAnsi="Lato" w:cs="Lato"/>
          <w:b w:val="0"/>
          <w:i w:val="0"/>
          <w:color w:val="2B2F33"/>
          <w:sz w:val="26"/>
        </w:rPr>
        <w:t>A reusable, productised workflow for wording comparison, redlining, gap analysis and document generation</w:t>
      </w:r>
    </w:p>
    <w:p>
      <w:pPr>
        <w:keepNext/>
        <w:spacing w:before="120" w:after="20"/>
      </w:pPr>
      <w:r>
        <w:rPr>
          <w:rFonts w:ascii="Lato" w:hAnsi="Lato" w:cs="Lato"/>
          <w:b/>
          <w:i w:val="0"/>
          <w:color w:val="B88A3C"/>
          <w:sz w:val="20"/>
        </w:rPr>
        <w:t>Wordings reviewed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Worked example: TMHCC 0223C → final (commit 58b8340) vs six competitor wordings</w:t>
      </w:r>
    </w:p>
    <w:p>
      <w:pPr>
        <w:spacing w:after="200"/>
      </w:pPr>
    </w:p>
    <w:p>
      <w:pPr>
        <w:spacing w:after="60" w:before="0"/>
      </w:pPr>
      <w:r>
        <w:rPr>
          <w:rFonts w:ascii="Lato" w:hAnsi="Lato" w:cs="Lato"/>
          <w:b w:val="0"/>
          <w:i/>
          <w:color w:val="6C7378"/>
          <w:sz w:val="17"/>
        </w:rPr>
        <w:t>Captures the exact process developed on the TMHCC Media &amp; Music Combined project so it can be reused for any future wording.</w:t>
      </w:r>
    </w:p>
    <w:p>
      <w:pPr>
        <w:spacing w:after="60" w:before="0"/>
      </w:pPr>
      <w:r>
        <w:rPr>
          <w:rFonts w:ascii="Lato" w:hAnsi="Lato" w:cs="Lato"/>
          <w:b w:val="0"/>
          <w:i/>
          <w:color w:val="6C7378"/>
          <w:sz w:val="17"/>
        </w:rPr>
        <w:t>Inputs: a base wording, an old wording, a new draft wording, multiple competitor wordings and a branded template.</w:t>
      </w:r>
    </w:p>
    <w:p>
      <w:pPr>
        <w:spacing w:after="60" w:before="0"/>
      </w:pPr>
      <w:r>
        <w:rPr>
          <w:rFonts w:ascii="Lato" w:hAnsi="Lato" w:cs="Lato"/>
          <w:b w:val="0"/>
          <w:i/>
          <w:color w:val="6C7378"/>
          <w:sz w:val="17"/>
        </w:rPr>
        <w:t>Outputs: full tracked wording, clean wording, summary of changes, summary of cover, coverage comparison, gap-fill strategy, enhancement register and legal/UW review notes.</w:t>
      </w:r>
    </w:p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00648B"/>
          <w:sz w:val="30"/>
        </w:rPr>
        <w:t>1. Purpose</w:t>
      </w:r>
    </w:p>
    <w:p>
      <w:pPr>
        <w:spacing w:after="80" w:before="0"/>
      </w:pPr>
      <w:r>
        <w:rPr>
          <w:rFonts w:ascii="Lato" w:hAnsi="Lato" w:cs="Lato"/>
          <w:b w:val="0"/>
          <w:i w:val="0"/>
          <w:color w:val="2B2F33"/>
          <w:sz w:val="19"/>
        </w:rPr>
        <w:t>This playbook documents — as a product specification — the end-to-end workflow used to take a base/old wording, a new draft wording, multiple competitor wordings and a branded template, and produce a market-ready document pack: a holistic tracked-changes wording, a clean final wording, a summary of changes, a summary of cover, a coverage comparison, a gap-fill strategy, an enhancement register and legal/underwriting review notes. It is designed to be built into PolicyBridge Wording Studio so the process is repeatable for future contracts and wordings.</w:t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00648B"/>
          <w:sz w:val="30"/>
        </w:rPr>
        <w:t>2. Workflow at a glance</w:t>
      </w:r>
    </w:p>
    <w:tbl>
      <w:tblPr>
        <w:tblW w:type="dxa" w:w="10206"/>
        <w:jc w:val="center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010"/>
        <w:gridCol w:w="2268"/>
      </w:tblGrid>
      <w:tr>
        <w:tc>
          <w:tcPr>
            <w:tcW w:type="dxa" w:w="1928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Stage</w:t>
            </w:r>
          </w:p>
        </w:tc>
        <w:tc>
          <w:tcPr>
            <w:tcW w:type="dxa" w:w="6009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What happens</w:t>
            </w:r>
          </w:p>
        </w:tc>
        <w:tc>
          <w:tcPr>
            <w:tcW w:type="dxa" w:w="2268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Stage output</w:t>
            </w:r>
          </w:p>
        </w:tc>
      </w:tr>
      <w:tr>
        <w:tc>
          <w:tcPr>
            <w:tcW w:type="dxa" w:w="192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1. Source intake</w:t>
            </w:r>
          </w:p>
        </w:tc>
        <w:tc>
          <w:tcPr>
            <w:tcW w:type="dxa" w:w="6010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Upload the OLD / base wording, the current / new draft wording, all competitor wordings, and the branded template. …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Outputs of stage: a Project with all sources ingested, typed and ordered.</w:t>
            </w:r>
          </w:p>
        </w:tc>
      </w:tr>
      <w:tr>
        <w:tc>
          <w:tcPr>
            <w:tcW w:type="dxa" w:w="192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2. Clause parsing &amp; mapping</w:t>
            </w:r>
          </w:p>
        </w:tc>
        <w:tc>
          <w:tcPr>
            <w:tcW w:type="dxa" w:w="6010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Break each wording into clauses: sections, definitions, insuring clauses, extensions, exclusions, conditions, warranties, limits/sub-limits. …</w:t>
            </w:r>
          </w:p>
        </w:tc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Outputs: a clause map per document + a cross-document concordance keyed by coverage function.</w:t>
            </w:r>
          </w:p>
        </w:tc>
      </w:tr>
      <w:tr>
        <w:tc>
          <w:tcPr>
            <w:tcW w:type="dxa" w:w="192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3. Base-to-new redline</w:t>
            </w:r>
          </w:p>
        </w:tc>
        <w:tc>
          <w:tcPr>
            <w:tcW w:type="dxa" w:w="6010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Diff the OLD wording against the NEW wording at clause/paragraph level (and word level within changed clauses). …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Outputs: full tracked-changes wording, clean wording, enhancement register.</w:t>
            </w:r>
          </w:p>
        </w:tc>
      </w:tr>
      <w:tr>
        <w:tc>
          <w:tcPr>
            <w:tcW w:type="dxa" w:w="192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4. Competitor comparison</w:t>
            </w:r>
          </w:p>
        </w:tc>
        <w:tc>
          <w:tcPr>
            <w:tcW w:type="dxa" w:w="6010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Map competitor clauses onto the base structure via the coverage-function taxonomy. …</w:t>
            </w:r>
          </w:p>
        </w:tc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Outputs: a coverage matrix + granular legal-comparison tables.</w:t>
            </w:r>
          </w:p>
        </w:tc>
      </w:tr>
      <w:tr>
        <w:tc>
          <w:tcPr>
            <w:tcW w:type="dxa" w:w="192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5. Gap analysis</w:t>
            </w:r>
          </w:p>
        </w:tc>
        <w:tc>
          <w:tcPr>
            <w:tcW w:type="dxa" w:w="6010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Identify what competitors cover that the base wording does not (and where the base is broader). …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Outputs: a gap-fill strategy + a recommendation queue.</w:t>
            </w:r>
          </w:p>
        </w:tc>
      </w:tr>
      <w:tr>
        <w:tc>
          <w:tcPr>
            <w:tcW w:type="dxa" w:w="192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6. Iterative wording update</w:t>
            </w:r>
          </w:p>
        </w:tc>
        <w:tc>
          <w:tcPr>
            <w:tcW w:type="dxa" w:w="6010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User accepts or rejects each recommendation individually. …</w:t>
            </w:r>
          </w:p>
        </w:tc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Outputs: an updated tracked wording reflecting only accepted items; a parked-items log.</w:t>
            </w:r>
          </w:p>
        </w:tc>
      </w:tr>
      <w:tr>
        <w:tc>
          <w:tcPr>
            <w:tcW w:type="dxa" w:w="192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7. Output generation</w:t>
            </w:r>
          </w:p>
        </w:tc>
        <w:tc>
          <w:tcPr>
            <w:tcW w:type="dxa" w:w="6010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Generate, on demand and branded: final tracked wording; final clean wording; summary of changes; summary of cover; full coverage comparison; gap-fill strategy; enhancement / sign-off register; and legal/UW review notes. …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Outputs: the full market-ready document pack.</w:t>
            </w:r>
          </w:p>
        </w:tc>
      </w:tr>
      <w:tr>
        <w:tc>
          <w:tcPr>
            <w:tcW w:type="dxa" w:w="192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8. Quality controls</w:t>
            </w:r>
          </w:p>
        </w:tc>
        <w:tc>
          <w:tcPr>
            <w:tcW w:type="dxa" w:w="6010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No invented cover; trace every recommendation to source wording (clause ID + page). …</w:t>
            </w:r>
          </w:p>
        </w:tc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Outputs: a QA report asserting these controls were applied.</w:t>
            </w:r>
          </w:p>
        </w:tc>
      </w:tr>
    </w:tbl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00648B"/>
          <w:sz w:val="30"/>
        </w:rPr>
        <w:t>3. The workflow in detail</w:t>
      </w:r>
    </w:p>
    <w:p>
      <w:pPr>
        <w:keepNext/>
        <w:spacing w:before="180" w:after="40"/>
      </w:pPr>
      <w:r>
        <w:rPr>
          <w:rFonts w:ascii="Lato" w:hAnsi="Lato" w:cs="Lato"/>
          <w:b/>
          <w:i w:val="0"/>
          <w:color w:val="00648B"/>
          <w:sz w:val="23"/>
        </w:rPr>
        <w:t>1. Source intake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Upload the OLD / base wording, the current / new draft wording, all competitor wordings, and the branded template.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Capture document metadata: insurer, product, version/reference, date, and document role (base / new / competitor / template).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Set the AUTHORITY ORDER of documents (which wording is the master, which is the baseline, which are comparators) so later steps know what 'wins'.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Accept .docx and .pdf; extract full text (and, for .docx, paragraph styles) so cover can be compared by legal effect, not by heading.</w:t>
      </w:r>
    </w:p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4F7F9"/>
            <w:tcBorders>
              <w:top w:val="single" w:sz="4" w:space="0" w:color="00648B"/>
              <w:left w:val="single" w:sz="22" w:space="0" w:color="00648B"/>
              <w:bottom w:val="single" w:sz="4" w:space="0" w:color="00648B"/>
              <w:right w:val="single" w:sz="4" w:space="0" w:color="00648B"/>
            </w:tcBorders>
          </w:tcPr>
          <w:p>
            <w:pPr>
              <w:spacing w:after="40" w:before="4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9"/>
              </w:rPr>
              <w:t xml:space="preserve">Stage output:  </w:t>
            </w:r>
            <w:r>
              <w:rPr>
                <w:rFonts w:ascii="Lato" w:hAnsi="Lato" w:cs="Lato"/>
                <w:b w:val="0"/>
                <w:i w:val="0"/>
                <w:color w:val="2B2F33"/>
                <w:sz w:val="19"/>
              </w:rPr>
              <w:t>Outputs of stage: a Project with all sources ingested, typed and ordered.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keepNext/>
        <w:spacing w:before="180" w:after="40"/>
      </w:pPr>
      <w:r>
        <w:rPr>
          <w:rFonts w:ascii="Lato" w:hAnsi="Lato" w:cs="Lato"/>
          <w:b/>
          <w:i w:val="0"/>
          <w:color w:val="00648B"/>
          <w:sz w:val="23"/>
        </w:rPr>
        <w:t>2. Clause parsing &amp; mapping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Break each wording into clauses: sections, definitions, insuring clauses, extensions, exclusions, conditions, warranties, limits/sub-limits.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Assign STABLE clause IDs and a normalised clause label so clauses can be referenced across versions and across insurers.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Map each clause to a canonical coverage-function taxonomy (e.g. 'PL: abuse exclusion', 'Media: defamation', 'Money: touring') so equivalent cover is matched even when headings differ.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Flag clauses that cannot be confidently classified for human review.</w:t>
      </w:r>
    </w:p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4F7F9"/>
            <w:tcBorders>
              <w:top w:val="single" w:sz="4" w:space="0" w:color="00648B"/>
              <w:left w:val="single" w:sz="22" w:space="0" w:color="00648B"/>
              <w:bottom w:val="single" w:sz="4" w:space="0" w:color="00648B"/>
              <w:right w:val="single" w:sz="4" w:space="0" w:color="00648B"/>
            </w:tcBorders>
          </w:tcPr>
          <w:p>
            <w:pPr>
              <w:spacing w:after="40" w:before="4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9"/>
              </w:rPr>
              <w:t xml:space="preserve">Stage output:  </w:t>
            </w:r>
            <w:r>
              <w:rPr>
                <w:rFonts w:ascii="Lato" w:hAnsi="Lato" w:cs="Lato"/>
                <w:b w:val="0"/>
                <w:i w:val="0"/>
                <w:color w:val="2B2F33"/>
                <w:sz w:val="19"/>
              </w:rPr>
              <w:t>Outputs: a clause map per document + a cross-document concordance keyed by coverage function.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keepNext/>
        <w:spacing w:before="180" w:after="40"/>
      </w:pPr>
      <w:r>
        <w:rPr>
          <w:rFonts w:ascii="Lato" w:hAnsi="Lato" w:cs="Lato"/>
          <w:b/>
          <w:i w:val="0"/>
          <w:color w:val="00648B"/>
          <w:sz w:val="23"/>
        </w:rPr>
        <w:t>3. Base-to-new redline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Diff the OLD wording against the NEW wording at clause/paragraph level (and word level within changed clauses).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Generate genuine Word tracked changes (w:ins / w:del) so the redline opens in Word with revisions shown.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Separate BASE redline changes from UW REVIEW ENHANCEMENTS using distinct tracked-change authors + highlight + annotation.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Preserve accepted / unaccepted status; never silently merge enhancements.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Build an Enhancement Register from the tagged enhancements (title, section, location, wording, rationale, support, risk, sign-off, status).</w:t>
      </w:r>
    </w:p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4F7F9"/>
            <w:tcBorders>
              <w:top w:val="single" w:sz="4" w:space="0" w:color="00648B"/>
              <w:left w:val="single" w:sz="22" w:space="0" w:color="00648B"/>
              <w:bottom w:val="single" w:sz="4" w:space="0" w:color="00648B"/>
              <w:right w:val="single" w:sz="4" w:space="0" w:color="00648B"/>
            </w:tcBorders>
          </w:tcPr>
          <w:p>
            <w:pPr>
              <w:spacing w:after="40" w:before="4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9"/>
              </w:rPr>
              <w:t xml:space="preserve">Stage output:  </w:t>
            </w:r>
            <w:r>
              <w:rPr>
                <w:rFonts w:ascii="Lato" w:hAnsi="Lato" w:cs="Lato"/>
                <w:b w:val="0"/>
                <w:i w:val="0"/>
                <w:color w:val="2B2F33"/>
                <w:sz w:val="19"/>
              </w:rPr>
              <w:t>Outputs: full tracked-changes wording, clean wording, enhancement register.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keepNext/>
        <w:spacing w:before="180" w:after="40"/>
      </w:pPr>
      <w:r>
        <w:rPr>
          <w:rFonts w:ascii="Lato" w:hAnsi="Lato" w:cs="Lato"/>
          <w:b/>
          <w:i w:val="0"/>
          <w:color w:val="00648B"/>
          <w:sz w:val="23"/>
        </w:rPr>
        <w:t>4. Competitor comparison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Map competitor clauses onto the base structure via the coverage-function taxonomy.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For each coverage feature, determine: equivalent / broader / narrower; identify exclusions and write-backs; identify competitor advantages.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Score TMHCC vs each competitor (✓ covered / ◐ partial / ✗ not identified / ? requires review) by LEGAL EFFECT, never by heading.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Surface asymmetries explicitly (e.g. one insurer excludes a peril while another is silent — the abuse/Tysers case).</w:t>
      </w:r>
    </w:p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4F7F9"/>
            <w:tcBorders>
              <w:top w:val="single" w:sz="4" w:space="0" w:color="00648B"/>
              <w:left w:val="single" w:sz="22" w:space="0" w:color="00648B"/>
              <w:bottom w:val="single" w:sz="4" w:space="0" w:color="00648B"/>
              <w:right w:val="single" w:sz="4" w:space="0" w:color="00648B"/>
            </w:tcBorders>
          </w:tcPr>
          <w:p>
            <w:pPr>
              <w:spacing w:after="40" w:before="4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9"/>
              </w:rPr>
              <w:t xml:space="preserve">Stage output:  </w:t>
            </w:r>
            <w:r>
              <w:rPr>
                <w:rFonts w:ascii="Lato" w:hAnsi="Lato" w:cs="Lato"/>
                <w:b w:val="0"/>
                <w:i w:val="0"/>
                <w:color w:val="2B2F33"/>
                <w:sz w:val="19"/>
              </w:rPr>
              <w:t>Outputs: a coverage matrix + granular legal-comparison tables.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keepNext/>
        <w:spacing w:before="180" w:after="40"/>
      </w:pPr>
      <w:r>
        <w:rPr>
          <w:rFonts w:ascii="Lato" w:hAnsi="Lato" w:cs="Lato"/>
          <w:b/>
          <w:i w:val="0"/>
          <w:color w:val="00648B"/>
          <w:sz w:val="23"/>
        </w:rPr>
        <w:t>5. Gap analysis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Identify what competitors cover that the base wording does not (and where the base is broader).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Classify each gap by impact (product gap vs presentational/labelling vs legal-drafting gap) and priority (High/Medium/Low).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Propose copy-paste-ready gap-fill wording with the EXACT insertion location, mode (automatic/optional/schedule), UW &amp; claims risk, and sign-off.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Present recommendations ONE AT A TIME for acceptance/rejection; never auto-accept.</w:t>
      </w:r>
    </w:p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4F7F9"/>
            <w:tcBorders>
              <w:top w:val="single" w:sz="4" w:space="0" w:color="00648B"/>
              <w:left w:val="single" w:sz="22" w:space="0" w:color="00648B"/>
              <w:bottom w:val="single" w:sz="4" w:space="0" w:color="00648B"/>
              <w:right w:val="single" w:sz="4" w:space="0" w:color="00648B"/>
            </w:tcBorders>
          </w:tcPr>
          <w:p>
            <w:pPr>
              <w:spacing w:after="40" w:before="4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9"/>
              </w:rPr>
              <w:t xml:space="preserve">Stage output:  </w:t>
            </w:r>
            <w:r>
              <w:rPr>
                <w:rFonts w:ascii="Lato" w:hAnsi="Lato" w:cs="Lato"/>
                <w:b w:val="0"/>
                <w:i w:val="0"/>
                <w:color w:val="2B2F33"/>
                <w:sz w:val="19"/>
              </w:rPr>
              <w:t>Outputs: a gap-fill strategy + a recommendation queue.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keepNext/>
        <w:spacing w:before="180" w:after="40"/>
      </w:pPr>
      <w:r>
        <w:rPr>
          <w:rFonts w:ascii="Lato" w:hAnsi="Lato" w:cs="Lato"/>
          <w:b/>
          <w:i w:val="0"/>
          <w:color w:val="00648B"/>
          <w:sz w:val="23"/>
        </w:rPr>
        <w:t>6. Iterative wording update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User accepts or rejects each recommendation individually.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Accepted recommendations become tracked changes (tagged with author + rationale + source support).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Rejected recommendations are PARKED with their wording and reason retained (nothing is lost).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Every change retains an audit trail: AI insight, competitor source, coverage impact, UW risk, legal note, exact location.</w:t>
      </w:r>
    </w:p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4F7F9"/>
            <w:tcBorders>
              <w:top w:val="single" w:sz="4" w:space="0" w:color="00648B"/>
              <w:left w:val="single" w:sz="22" w:space="0" w:color="00648B"/>
              <w:bottom w:val="single" w:sz="4" w:space="0" w:color="00648B"/>
              <w:right w:val="single" w:sz="4" w:space="0" w:color="00648B"/>
            </w:tcBorders>
          </w:tcPr>
          <w:p>
            <w:pPr>
              <w:spacing w:after="40" w:before="4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9"/>
              </w:rPr>
              <w:t xml:space="preserve">Stage output:  </w:t>
            </w:r>
            <w:r>
              <w:rPr>
                <w:rFonts w:ascii="Lato" w:hAnsi="Lato" w:cs="Lato"/>
                <w:b w:val="0"/>
                <w:i w:val="0"/>
                <w:color w:val="2B2F33"/>
                <w:sz w:val="19"/>
              </w:rPr>
              <w:t>Outputs: an updated tracked wording reflecting only accepted items; a parked-items log.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keepNext/>
        <w:spacing w:before="180" w:after="40"/>
      </w:pPr>
      <w:r>
        <w:rPr>
          <w:rFonts w:ascii="Lato" w:hAnsi="Lato" w:cs="Lato"/>
          <w:b/>
          <w:i w:val="0"/>
          <w:color w:val="00648B"/>
          <w:sz w:val="23"/>
        </w:rPr>
        <w:t>7. Output generation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Generate, on demand and branded: final tracked wording; final clean wording; summary of changes; summary of cover; full coverage comparison; gap-fill strategy; enhancement / sign-off register; and legal/UW review notes.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Export to .docx and PDF; preserve branding (logo, fonts, palette) and hyperlinks/contents where present.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Stamp each output with the project, source versions and a 'subject to legal/UW sign-off' footer.</w:t>
      </w:r>
    </w:p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4F7F9"/>
            <w:tcBorders>
              <w:top w:val="single" w:sz="4" w:space="0" w:color="00648B"/>
              <w:left w:val="single" w:sz="22" w:space="0" w:color="00648B"/>
              <w:bottom w:val="single" w:sz="4" w:space="0" w:color="00648B"/>
              <w:right w:val="single" w:sz="4" w:space="0" w:color="00648B"/>
            </w:tcBorders>
          </w:tcPr>
          <w:p>
            <w:pPr>
              <w:spacing w:after="40" w:before="4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9"/>
              </w:rPr>
              <w:t xml:space="preserve">Stage output:  </w:t>
            </w:r>
            <w:r>
              <w:rPr>
                <w:rFonts w:ascii="Lato" w:hAnsi="Lato" w:cs="Lato"/>
                <w:b w:val="0"/>
                <w:i w:val="0"/>
                <w:color w:val="2B2F33"/>
                <w:sz w:val="19"/>
              </w:rPr>
              <w:t>Outputs: the full market-ready document pack.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keepNext/>
        <w:spacing w:before="180" w:after="40"/>
      </w:pPr>
      <w:r>
        <w:rPr>
          <w:rFonts w:ascii="Lato" w:hAnsi="Lato" w:cs="Lato"/>
          <w:b/>
          <w:i w:val="0"/>
          <w:color w:val="00648B"/>
          <w:sz w:val="23"/>
        </w:rPr>
        <w:t>8. Quality controls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No invented cover; trace every recommendation to source wording (clause ID + page).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Distinguish PRODUCT gaps from LEGAL/DRAFTING gaps and from presentational gaps.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Mark every underwriting/legal sign-off requirement; keep UW enhancements separately identifiable and unaccepted by default.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Keep branding consistent; ensure exports are clean and within page margins (no overflow).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Where a clause cannot be verified, mark '? requires review' rather than assume.</w:t>
      </w:r>
    </w:p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4F7F9"/>
            <w:tcBorders>
              <w:top w:val="single" w:sz="4" w:space="0" w:color="00648B"/>
              <w:left w:val="single" w:sz="22" w:space="0" w:color="00648B"/>
              <w:bottom w:val="single" w:sz="4" w:space="0" w:color="00648B"/>
              <w:right w:val="single" w:sz="4" w:space="0" w:color="00648B"/>
            </w:tcBorders>
          </w:tcPr>
          <w:p>
            <w:pPr>
              <w:spacing w:after="40" w:before="4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9"/>
              </w:rPr>
              <w:t xml:space="preserve">Stage output:  </w:t>
            </w:r>
            <w:r>
              <w:rPr>
                <w:rFonts w:ascii="Lato" w:hAnsi="Lato" w:cs="Lato"/>
                <w:b w:val="0"/>
                <w:i w:val="0"/>
                <w:color w:val="2B2F33"/>
                <w:sz w:val="19"/>
              </w:rPr>
              <w:t>Outputs: a QA report asserting these controls were applied.</w:t>
            </w:r>
          </w:p>
        </w:tc>
      </w:tr>
    </w:tbl>
    <w:p>
      <w:pPr>
        <w:spacing w:after="80"/>
      </w:pPr>
    </w:p>
    <w:p>
      <w:pPr>
        <w:spacing w:after="80"/>
      </w:pPr>
    </w:p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00648B"/>
          <w:sz w:val="30"/>
        </w:rPr>
        <w:t>4. How this works in the app interface</w:t>
      </w:r>
    </w:p>
    <w:tbl>
      <w:tblPr>
        <w:tblW w:type="dxa" w:w="10206"/>
        <w:jc w:val="center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8"/>
      </w:tblGrid>
      <w:tr>
        <w:tc>
          <w:tcPr>
            <w:tcW w:type="dxa" w:w="2608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Interface area</w:t>
            </w:r>
          </w:p>
        </w:tc>
        <w:tc>
          <w:tcPr>
            <w:tcW w:type="dxa" w:w="7597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Function</w:t>
            </w:r>
          </w:p>
        </w:tc>
      </w:tr>
      <w:tr>
        <w:tc>
          <w:tcPr>
            <w:tcW w:type="dxa" w:w="260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Project dashboard</w:t>
            </w:r>
          </w:p>
        </w:tc>
        <w:tc>
          <w:tcPr>
            <w:tcW w:type="dxa" w:w="759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List of wording projects; per-project status (sources ingested, redline ready, comparison ready, recommendations open/accepted/rejected, outputs generated, sign-offs outstanding).</w:t>
            </w:r>
          </w:p>
        </w:tc>
      </w:tr>
      <w:tr>
        <w:tc>
          <w:tcPr>
            <w:tcW w:type="dxa" w:w="260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Document intake panel</w:t>
            </w:r>
          </w:p>
        </w:tc>
        <w:tc>
          <w:tcPr>
            <w:tcW w:type="dxa" w:w="759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Drag-drop upload; document typing (base/new/competitor/template); authority-order control; extraction progress and parse-quality flags.</w:t>
            </w:r>
          </w:p>
        </w:tc>
      </w:tr>
      <w:tr>
        <w:tc>
          <w:tcPr>
            <w:tcW w:type="dxa" w:w="260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Clause map viewer</w:t>
            </w:r>
          </w:p>
        </w:tc>
        <w:tc>
          <w:tcPr>
            <w:tcW w:type="dxa" w:w="759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Tree of each wording's clauses with stable IDs and coverage-function tags; search/filter; jump-to-source.</w:t>
            </w:r>
          </w:p>
        </w:tc>
      </w:tr>
      <w:tr>
        <w:tc>
          <w:tcPr>
            <w:tcW w:type="dxa" w:w="260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Side-by-side wording comparison</w:t>
            </w:r>
          </w:p>
        </w:tc>
        <w:tc>
          <w:tcPr>
            <w:tcW w:type="dxa" w:w="759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Old vs new (and base vs competitor) panes with synchronised scrolling and inline tracked-change markup.</w:t>
            </w:r>
          </w:p>
        </w:tc>
      </w:tr>
      <w:tr>
        <w:tc>
          <w:tcPr>
            <w:tcW w:type="dxa" w:w="260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Competitor matrix</w:t>
            </w:r>
          </w:p>
        </w:tc>
        <w:tc>
          <w:tcPr>
            <w:tcW w:type="dxa" w:w="759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Interactive ✓/◐/✗/? matrix by coverage function; click a cell to see the underlying clauses and legal note.</w:t>
            </w:r>
          </w:p>
        </w:tc>
      </w:tr>
      <w:tr>
        <w:tc>
          <w:tcPr>
            <w:tcW w:type="dxa" w:w="260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Gap recommendation queue</w:t>
            </w:r>
          </w:p>
        </w:tc>
        <w:tc>
          <w:tcPr>
            <w:tcW w:type="dxa" w:w="759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One recommendation at a time: AI insight, competitor source, coverage impact, UW risk, legal sign-off note, copy-paste wording, exact insertion location, Accept / Reject / Park.</w:t>
            </w:r>
          </w:p>
        </w:tc>
      </w:tr>
      <w:tr>
        <w:tc>
          <w:tcPr>
            <w:tcW w:type="dxa" w:w="260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Accept / reject workflow</w:t>
            </w:r>
          </w:p>
        </w:tc>
        <w:tc>
          <w:tcPr>
            <w:tcW w:type="dxa" w:w="759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Accepted → becomes a tracked change; Rejected/Parked → retained with reason; full audit trail; nothing auto-accepted.</w:t>
            </w:r>
          </w:p>
        </w:tc>
      </w:tr>
      <w:tr>
        <w:tc>
          <w:tcPr>
            <w:tcW w:type="dxa" w:w="260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Tracked-changes generator</w:t>
            </w:r>
          </w:p>
        </w:tc>
        <w:tc>
          <w:tcPr>
            <w:tcW w:type="dxa" w:w="759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Produces the full Word redline with separate authors for base vs UW enhancements; highlight + annotation; clean version on demand.</w:t>
            </w:r>
          </w:p>
        </w:tc>
      </w:tr>
      <w:tr>
        <w:tc>
          <w:tcPr>
            <w:tcW w:type="dxa" w:w="260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Summary document generator</w:t>
            </w:r>
          </w:p>
        </w:tc>
        <w:tc>
          <w:tcPr>
            <w:tcW w:type="dxa" w:w="759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Generates summary of changes, summary of cover, coverage comparison, gap-fill strategy, enhancement register — all branded.</w:t>
            </w:r>
          </w:p>
        </w:tc>
      </w:tr>
      <w:tr>
        <w:tc>
          <w:tcPr>
            <w:tcW w:type="dxa" w:w="260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Sign-off dashboard</w:t>
            </w:r>
          </w:p>
        </w:tc>
        <w:tc>
          <w:tcPr>
            <w:tcW w:type="dxa" w:w="759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Outstanding underwriting/legal sign-offs per enhancement; status (awaiting / approved / rejected); owner; date.</w:t>
            </w:r>
          </w:p>
        </w:tc>
      </w:tr>
      <w:tr>
        <w:tc>
          <w:tcPr>
            <w:tcW w:type="dxa" w:w="260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Export centre</w:t>
            </w:r>
          </w:p>
        </w:tc>
        <w:tc>
          <w:tcPr>
            <w:tcW w:type="dxa" w:w="759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Branded .docx + PDF exports of every document; bulk 'final pack' export; version history.</w:t>
            </w:r>
          </w:p>
        </w:tc>
      </w:tr>
    </w:tbl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00648B"/>
          <w:sz w:val="30"/>
        </w:rPr>
        <w:t>5. Data model essentials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Project → Documents (typed: base / old / new / competitor / template) → Clauses (stable IDs) → coverage-function tags.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Authority order on Documents drives which wording is master/baseline and which are comparators.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Recommendations link to source Clause IDs (and page) on BOTH the base and the competitor side — enforcing 'trace every recommendation to source'.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Tracked changes store author (base vs UW enhancement), rationale, competitor source, coverage impact, UW/claims risk, sign-off status and accepted/parked state.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Outputs are generated artefacts versioned against the source document versions used.</w:t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00648B"/>
          <w:sz w:val="30"/>
        </w:rPr>
        <w:t>6. Worked example (this project)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Sources: TMHCC 0223C (baseline), TMHCC final (commit 58b8340, new), six competitors (Tysers, Yutree, Liberty, Allianz, AXA XL, Entertainment Elite), Tokio Marine HCC template.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Stage 3 produced a holistic 0223C→final redline (2,161 tracked insertions, 1,105 deletions) with 14 UW enhancements separately identifiable.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Stage 4 produced a one-page coverage matrix + granular legal tables; Stage 5 produced 15 gap-fill recommendations with copy-paste wording.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Stage 4 surfaced the abuse/Tysers asymmetry (TMHCC excludes abuse; Tysers silent) — the kind of by-legal-effect finding the studio must reliably catch.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All outputs branded and exported to .docx + PDF; every enhancement held for UW/legal sign-off.</w:t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00648B"/>
          <w:sz w:val="30"/>
        </w:rPr>
        <w:t>7. Product acceptance criteria</w:t>
      </w:r>
    </w:p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FF6E6"/>
            <w:tcBorders>
              <w:top w:val="single" w:sz="4" w:space="0" w:color="B88A3C"/>
              <w:left w:val="single" w:sz="22" w:space="0" w:color="B88A3C"/>
              <w:bottom w:val="single" w:sz="4" w:space="0" w:color="B88A3C"/>
              <w:right w:val="single" w:sz="4" w:space="0" w:color="B88A3C"/>
            </w:tcBorders>
          </w:tcPr>
          <w:p>
            <w:pPr>
              <w:spacing w:after="40" w:before="40"/>
            </w:pPr>
            <w:r/>
            <w:r>
              <w:rPr>
                <w:rFonts w:ascii="Lato" w:hAnsi="Lato" w:cs="Lato"/>
                <w:b/>
                <w:i w:val="0"/>
                <w:color w:val="B88A3C"/>
                <w:sz w:val="19"/>
              </w:rPr>
              <w:t xml:space="preserve">Definition of done:  </w:t>
            </w:r>
            <w:r>
              <w:rPr>
                <w:rFonts w:ascii="Lato" w:hAnsi="Lato" w:cs="Lato"/>
                <w:b w:val="0"/>
                <w:i w:val="0"/>
                <w:color w:val="2B2F33"/>
                <w:sz w:val="19"/>
              </w:rPr>
              <w:t>PolicyBridge Wording Studio is working correctly only when it can reproduce the SAME mapping, comparison, gap analysis, tracked-changes update and document-generation workflow achieved on this TMHCC project — ingesting multiple wordings, parsing clauses, comparing by legal effect, generating the full tracked redline (with separately-identifiable UW enhancements), the clean wording, the summary of changes, the summary of cover, the coverage comparison, the gap-fill strategy and the enhancement register — all branded, traceable to source and marked for sign-off.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Lato" w:hAnsi="Lato" w:cs="Lato"/>
        <w:b w:val="0"/>
        <w:i/>
        <w:color w:val="AEB4B8"/>
        <w:sz w:val="13"/>
      </w:rPr>
      <w:t>Phase 06 — reusable workflow playbook / product specification for PolicyBridge Wording Studio. Captured from the TMHCC Media &amp; Music Combined project.</w:t>
    </w:r>
  </w:p>
  <w:p>
    <w:pPr>
      <w:jc w:val="center"/>
    </w:pPr>
    <w:r>
      <w:rPr>
        <w:rFonts w:ascii="Lato" w:hAnsi="Lato" w:cs="Lato"/>
        <w:b w:val="0"/>
        <w:i w:val="0"/>
        <w:color w:val="6C7378"/>
        <w:sz w:val="15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pct" w:w="5000"/>
      <w:jc w:val="center"/>
      <w:tblBorders>
        <w:top w:val="none"/>
        <w:left w:val="none"/>
        <w:bottom w:val="none"/>
        <w:right w:val="none"/>
        <w:insideH w:val="none"/>
        <w:insideV w:val="none"/>
      </w:tblBorders>
      <w:tblLayout w:type="fixed"/>
      <w:tblLook w:firstColumn="1" w:firstRow="1" w:lastColumn="0" w:lastRow="0" w:noHBand="0" w:noVBand="1" w:val="04A0"/>
    </w:tblPr>
    <w:tblGrid>
      <w:gridCol w:w="4933"/>
      <w:gridCol w:w="4933"/>
    </w:tblGrid>
    <w:tr>
      <w:tc>
        <w:tcPr>
          <w:tcW w:type="dxa" w:w="7301"/>
          <w:vAlign w:val="center"/>
        </w:tcPr>
        <w:p>
          <w:pPr>
            <w:spacing w:after="0"/>
          </w:pPr>
          <w:r>
            <w:rPr>
              <w:rFonts w:ascii="Lato" w:hAnsi="Lato" w:cs="Lato"/>
              <w:b/>
              <w:i w:val="0"/>
              <w:color w:val="6C7378"/>
              <w:sz w:val="16"/>
            </w:rPr>
            <w:t>PolicyBridge Wording Studio — Workflow Playbook</w:t>
          </w:r>
        </w:p>
      </w:tc>
      <w:tc>
        <w:tcPr>
          <w:tcW w:type="dxa" w:w="2565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329906" cy="30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mhcc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9906" cy="30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ato" w:hAnsi="Lato" w:cs="Lato"/>
      <w:color w:val="2B2F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