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drawing>
          <wp:inline xmlns:a="http://schemas.openxmlformats.org/drawingml/2006/main" xmlns:pic="http://schemas.openxmlformats.org/drawingml/2006/picture">
            <wp:extent cx="582188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hcc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88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0"/>
      </w:pPr>
    </w:p>
    <w:p>
      <w:pPr>
        <w:spacing w:after="40"/>
      </w:pPr>
      <w:r>
        <w:rPr>
          <w:rFonts w:ascii="Lato" w:hAnsi="Lato" w:cs="Lato"/>
          <w:b/>
          <w:i w:val="0"/>
          <w:color w:val="B88A3C"/>
          <w:sz w:val="22"/>
          <w:caps w:val="true"/>
        </w:rPr>
        <w:t>Coverage Comparison — Media &amp; Entertainment</w:t>
      </w:r>
    </w:p>
    <w:p>
      <w:pPr>
        <w:spacing w:after="80"/>
        <w:pBdr>
          <w:bottom w:val="single" w:sz="14" w:space="2" w:color="B88A3C"/>
        </w:pBdr>
      </w:pPr>
      <w:r>
        <w:rPr>
          <w:rFonts w:ascii="Lato" w:hAnsi="Lato" w:cs="Lato"/>
          <w:b/>
          <w:i w:val="0"/>
          <w:color w:val="00648B"/>
          <w:sz w:val="60"/>
        </w:rPr>
        <w:t>Full Coverage Comparison</w:t>
      </w:r>
    </w:p>
    <w:p>
      <w:pPr>
        <w:spacing w:after="280" w:before="120"/>
      </w:pPr>
      <w:r>
        <w:rPr>
          <w:rFonts w:ascii="Lato" w:hAnsi="Lato" w:cs="Lato"/>
          <w:b w:val="0"/>
          <w:i w:val="0"/>
          <w:color w:val="2B2F33"/>
          <w:sz w:val="26"/>
        </w:rPr>
        <w:t>A like-for-like, section-by-section comparison of the TMHCC Media &amp; Music Combined wording against five competitor wordings (Tysers/Zurich, Yutree/AXA, Liberty, Allianz and AXA XL).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Wordings reviewed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TMHCC — Tokio Marine HCC — Media &amp; Music Combined (Tokio Marine HCC); 15 sections (master/primary wording)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Tysers (Zurich) — Tysers “Focus” Combined ‘All Risks’ Media policy (Zurich Insurance plc (capacity)); 9 sections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Yutree (AXA) — Media &amp; Entertainment by Yutree (AXA Insurance UK plc (capacity); Yutree Underwriting (MGA)); 12 cover sections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Liberty — Liberty Entertainment Combined Policy (Liberty (Liberty Specialty Markets)); 6 cover sections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 — Allianz Entertainment ‘Complete’ Policy (Allianz); 8 cover sections (+ Terrorism)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AXA XL — AXA XL Media &amp; Entertainment Combined Corporate (Crisis Management &amp; Special Risks) (XL Catlin Insurance Company UK Ltd (AXA XL)); 3 operative sections (MD / BI / Liability)</w:t>
      </w:r>
    </w:p>
    <w:p>
      <w:pPr>
        <w:spacing w:after="200"/>
      </w:pP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Indicative wording comparison against the TMHCC Media &amp; Music Combined wording — for broking reference only. Always refer to the full policy wordings.</w:t>
      </w:r>
    </w:p>
    <w:p>
      <w:pPr>
        <w:spacing w:after="60" w:before="0"/>
      </w:pPr>
      <w:r>
        <w:rPr>
          <w:rFonts w:ascii="Lato" w:hAnsi="Lato" w:cs="Lato"/>
          <w:b w:val="0"/>
          <w:i/>
          <w:color w:val="6C7378"/>
          <w:sz w:val="17"/>
        </w:rPr>
        <w:t>Market-ready subject to final TMHCC legal / underwriting sign-off.   Prepared from the wordings supplied; competitor capacity insurers noted where stated.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  </w:t>
      </w:r>
      <w:r>
        <w:rPr>
          <w:rFonts w:ascii="Lato" w:hAnsi="Lato" w:cs="Lato"/>
          <w:b/>
          <w:i w:val="0"/>
          <w:color w:val="00648B"/>
          <w:sz w:val="30"/>
        </w:rPr>
        <w:t>Executive summary</w:t>
      </w:r>
    </w:p>
    <w:p>
      <w:pPr>
        <w:spacing w:after="80" w:before="0"/>
        <w:jc w:val="both"/>
      </w:pPr>
      <w:r>
        <w:rPr>
          <w:rFonts w:ascii="Lato" w:hAnsi="Lato" w:cs="Lato"/>
          <w:b w:val="0"/>
          <w:i w:val="0"/>
          <w:color w:val="2B2F33"/>
          <w:sz w:val="19"/>
        </w:rPr>
        <w:t>TMHCC’s Media &amp; Music Combined wording is, structurally, the broadest in the peer group reviewed. It is the only wording that offers all fifteen sections in a single contract, and it is the only wording to provide Loss of Licence, Commercial Legal Expenses, Management Liability and a genuine standalone Cyber-liability section. Three of the five competitors (Liberty, Allianz and AXA XL) are property / business-interruption / liability combined packages and contain no media, professional-indemnity, production-indemnity, cyber, legal-expenses or management-liability cover at all — AXA XL despite carrying a ‘Media &amp; Entertainment’ title.</w:t>
      </w:r>
    </w:p>
    <w:p>
      <w:pPr>
        <w:spacing w:after="80" w:before="0"/>
        <w:jc w:val="both"/>
      </w:pPr>
      <w:r>
        <w:rPr>
          <w:rFonts w:ascii="Lato" w:hAnsi="Lato" w:cs="Lato"/>
          <w:b w:val="0"/>
          <w:i w:val="0"/>
          <w:color w:val="2B2F33"/>
          <w:sz w:val="19"/>
        </w:rPr>
        <w:t>The meaningful competition therefore sits in the sections the wordings share — principally Media Liability / Professional Indemnity (where Tysers, via Zurich, and Yutree, via AXA, both offer strong wordings) and the property / BI / liability suite (where Allianz and Liberty are mature property-led packages).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Headline conclusions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TMHCC wins outright:  </w:t>
      </w:r>
      <w:r>
        <w:rPr>
          <w:rFonts w:ascii="Lato" w:hAnsi="Lato" w:cs="Lato"/>
          <w:b w:val="0"/>
          <w:i w:val="0"/>
          <w:color w:val="2B2F33"/>
          <w:sz w:val="19"/>
        </w:rPr>
        <w:t>TMHCC is broader or unique on at least six rows (Terrorism vs Tysers; Goods in Transit; Loss of Licence; Legal Expenses; Management Liability; standalone Cyber).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Competitors broader:  </w:t>
      </w:r>
      <w:r>
        <w:rPr>
          <w:rFonts w:ascii="Lato" w:hAnsi="Lato" w:cs="Lato"/>
          <w:b w:val="0"/>
          <w:i w:val="0"/>
          <w:color w:val="2B2F33"/>
          <w:sz w:val="19"/>
        </w:rPr>
        <w:t>Tysers PI is worldwide, covers patents, funds statutory/criminal defence costs (GBP 1m), and adds a distributors-&amp;-purchasers extension and journalistic source-protection costs. Tysers and Yutree both offer Personal Accident, which TMHCC does not.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Broadly equivalent:  </w:t>
      </w:r>
      <w:r>
        <w:rPr>
          <w:rFonts w:ascii="Lato" w:hAnsi="Lato" w:cs="Lato"/>
          <w:b w:val="0"/>
          <w:i w:val="0"/>
          <w:color w:val="2B2F33"/>
          <w:sz w:val="19"/>
        </w:rPr>
        <w:t>Core media-liability grants (defamation, IP, privacy, professional negligence, defence costs in addition) are broadly equivalent across TMHCC, Tysers and Yutree.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/>
          <w:i w:val="0"/>
          <w:color w:val="00648B"/>
          <w:sz w:val="19"/>
        </w:rPr>
        <w:t xml:space="preserve">TMHCC clearer:  </w:t>
      </w:r>
      <w:r>
        <w:rPr>
          <w:rFonts w:ascii="Lato" w:hAnsi="Lato" w:cs="Lato"/>
          <w:b w:val="0"/>
          <w:i w:val="0"/>
          <w:color w:val="2B2F33"/>
          <w:sz w:val="19"/>
        </w:rPr>
        <w:t>TMHCC’s data-protection defence costs, clean cyber-exclusion carve-out for the liability sections, and favourable fines/penalties write-back are clearer than at least one competitor.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15138"/>
      </w:tblGrid>
      <w:tr>
        <w:tc>
          <w:tcPr>
            <w:tcW w:type="dxa" w:w="1513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Bottom line: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already presents as the most complete media &amp; entertainment package in this peer group. A focused set of Media-Liability enhancements (a Personal-Accident option, a worldwide/US-Canada territory option, distributors &amp; source-protection extensions, and a clarifying criminal-defence cross-reference) would let TMHCC show a tick on virtually every row — see the separate Gap-Fill / Wording Enhancement Strategy.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2  </w:t>
      </w:r>
      <w:r>
        <w:rPr>
          <w:rFonts w:ascii="Lato" w:hAnsi="Lato" w:cs="Lato"/>
          <w:b/>
          <w:i w:val="0"/>
          <w:color w:val="00648B"/>
          <w:sz w:val="30"/>
        </w:rPr>
        <w:t>Methodology and documents reviewed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Documents reviewed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742"/>
        <w:tblLayout w:type="fixed"/>
      </w:tblPr>
      <w:tblGrid>
        <w:gridCol w:w="2041"/>
        <w:gridCol w:w="5386"/>
        <w:gridCol w:w="3969"/>
        <w:gridCol w:w="3345"/>
      </w:tblGrid>
      <w:tr>
        <w:tc>
          <w:tcPr>
            <w:tcW w:type="dxa" w:w="204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Wording</w:t>
            </w:r>
          </w:p>
        </w:tc>
        <w:tc>
          <w:tcPr>
            <w:tcW w:type="dxa" w:w="5386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Full title</w:t>
            </w:r>
          </w:p>
        </w:tc>
        <w:tc>
          <w:tcPr>
            <w:tcW w:type="dxa" w:w="3969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Capacity / insurer</w:t>
            </w:r>
          </w:p>
        </w:tc>
        <w:tc>
          <w:tcPr>
            <w:tcW w:type="dxa" w:w="334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Structure</w:t>
            </w:r>
          </w:p>
        </w:tc>
      </w:tr>
      <w:tr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TMHCC</w:t>
            </w:r>
          </w:p>
        </w:tc>
        <w:tc>
          <w:tcPr>
            <w:tcW w:type="dxa" w:w="538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Tokio Marine HCC — Media &amp; Music Combined</w:t>
            </w:r>
          </w:p>
        </w:tc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Tokio Marine HCC</w:t>
            </w:r>
          </w:p>
        </w:tc>
        <w:tc>
          <w:tcPr>
            <w:tcW w:type="dxa" w:w="334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15 sections (master/primary wording)</w:t>
            </w:r>
          </w:p>
        </w:tc>
      </w:tr>
      <w:tr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Tysers (Zurich)</w:t>
            </w:r>
          </w:p>
        </w:tc>
        <w:tc>
          <w:tcPr>
            <w:tcW w:type="dxa" w:w="538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“Focus” Combined ‘All Risks’ Media policy</w:t>
            </w:r>
          </w:p>
        </w:tc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Zurich Insurance plc (capacity)</w:t>
            </w:r>
          </w:p>
        </w:tc>
        <w:tc>
          <w:tcPr>
            <w:tcW w:type="dxa" w:w="334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9 sections</w:t>
            </w:r>
          </w:p>
        </w:tc>
      </w:tr>
      <w:tr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Yutree (AXA)</w:t>
            </w:r>
          </w:p>
        </w:tc>
        <w:tc>
          <w:tcPr>
            <w:tcW w:type="dxa" w:w="538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Media &amp; Entertainment by Yutree</w:t>
            </w:r>
          </w:p>
        </w:tc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AXA Insurance UK plc (capacity); Yutree Underwriting (MGA)</w:t>
            </w:r>
          </w:p>
        </w:tc>
        <w:tc>
          <w:tcPr>
            <w:tcW w:type="dxa" w:w="334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12 cover sections</w:t>
            </w:r>
          </w:p>
        </w:tc>
      </w:tr>
      <w:tr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Liberty</w:t>
            </w:r>
          </w:p>
        </w:tc>
        <w:tc>
          <w:tcPr>
            <w:tcW w:type="dxa" w:w="538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Liberty Entertainment Combined Policy</w:t>
            </w:r>
          </w:p>
        </w:tc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Liberty (Liberty Specialty Markets)</w:t>
            </w:r>
          </w:p>
        </w:tc>
        <w:tc>
          <w:tcPr>
            <w:tcW w:type="dxa" w:w="334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6 cover sections</w:t>
            </w:r>
          </w:p>
        </w:tc>
      </w:tr>
      <w:tr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Allianz</w:t>
            </w:r>
          </w:p>
        </w:tc>
        <w:tc>
          <w:tcPr>
            <w:tcW w:type="dxa" w:w="5386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Allianz Entertainment ‘Complete’ Policy</w:t>
            </w:r>
          </w:p>
        </w:tc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Allianz</w:t>
            </w:r>
          </w:p>
        </w:tc>
        <w:tc>
          <w:tcPr>
            <w:tcW w:type="dxa" w:w="334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8 cover sections (+ Terrorism)</w:t>
            </w:r>
          </w:p>
        </w:tc>
      </w:tr>
      <w:tr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AXA XL</w:t>
            </w:r>
          </w:p>
        </w:tc>
        <w:tc>
          <w:tcPr>
            <w:tcW w:type="dxa" w:w="5386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AXA XL Media &amp; Entertainment Combined Corporate (Crisis Management &amp; Special Risks)</w:t>
            </w:r>
          </w:p>
        </w:tc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XL Catlin Insurance Company UK Ltd (AXA XL)</w:t>
            </w:r>
          </w:p>
        </w:tc>
        <w:tc>
          <w:tcPr>
            <w:tcW w:type="dxa" w:w="334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3 operative sections (MD / BI / Liability)</w:t>
            </w:r>
          </w:p>
        </w:tc>
      </w:tr>
    </w:tbl>
    <w:p>
      <w:pPr>
        <w:spacing w:after="120"/>
      </w:pP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B88A3C"/>
          <w:sz w:val="20"/>
        </w:rPr>
        <w:t>Comparison method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six wordings were parsed in full to text; coverage was compared by FUNCTION, not heading, because the wordings are structured differently.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Section maps were taken from each policy’s contents/insuring clauses; feature-level findings from the operative clauses, extensions, conditions and exclusions actually read.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Where a clause could not be verified from the wording it is marked ‘? requires review’ rather than assumed.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cover has been invented; competitor marketing language has not been treated as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TMHCC is recorded as having a gap ONLY where at least one competitor genuinely provides broader, clearer or materially useful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Exclusions, limits, conditions, warranties and write-backs were reviewed in detail and are not softened.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Liberty, Allianz and AXA XL are property / BI / liability combined packages and contain NO media/PI/E&amp;O, production-indemnity, cyber-liability, legal-expenses or management-liability sections.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 five competitor wordings have now been mapped, including AXA XL (the fifth wording).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15138"/>
      </w:tblGrid>
      <w:tr>
        <w:tc>
          <w:tcPr>
            <w:tcW w:type="dxa" w:w="15138"/>
            <w:shd w:val="clear" w:color="auto" w:fill="FBF1DA"/>
            <w:tcBorders>
              <w:top w:val="single" w:sz="4" w:space="0" w:color="B88A3C"/>
              <w:left w:val="single" w:sz="22" w:space="0" w:color="B88A3C"/>
              <w:bottom w:val="single" w:sz="4" w:space="0" w:color="B88A3C"/>
              <w:right w:val="single" w:sz="4" w:space="0" w:color="B88A3C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9"/>
              </w:rPr>
              <w:t xml:space="preserve">Reading the matrices: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✓ = cover clearly present · ◐ = partial / conditional / sub-limited · ✗ = not covered / not identified · ? = unclear, requires review · — = not applicable. In the EXCLUSIONS tables only, ✓ means the exclusion APPLIES, ◐ means a partial exclusion or write-back, and ✗ means the exclusion is absent or carved back.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3  </w:t>
      </w:r>
      <w:r>
        <w:rPr>
          <w:rFonts w:ascii="Lato" w:hAnsi="Lato" w:cs="Lato"/>
          <w:b/>
          <w:i w:val="0"/>
          <w:color w:val="00648B"/>
          <w:sz w:val="30"/>
        </w:rPr>
        <w:t>Market comparison at a glance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Section-by-section availability across all six wordings. This is the headline coverage matrix; feature-level detail for the Media Liability / PI section follows in part 4.</w:t>
      </w:r>
    </w:p>
    <w:p>
      <w:pPr>
        <w:spacing w:after="120"/>
      </w:pPr>
      <w:r>
        <w:rPr>
          <w:rFonts w:ascii="Lato" w:hAnsi="Lato" w:cs="Lato"/>
          <w:b/>
          <w:i w:val="0"/>
          <w:color w:val="1B7A3D"/>
          <w:sz w:val="19"/>
        </w:rPr>
        <w:t xml:space="preserve">✓ </w:t>
      </w:r>
      <w:r>
        <w:rPr>
          <w:rFonts w:ascii="Lato" w:hAnsi="Lato" w:cs="Lato"/>
          <w:b w:val="0"/>
          <w:i w:val="0"/>
          <w:color w:val="6C7378"/>
          <w:sz w:val="17"/>
        </w:rPr>
        <w:t>Covered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8A6A1E"/>
          <w:sz w:val="19"/>
        </w:rPr>
        <w:t xml:space="preserve">◐ </w:t>
      </w:r>
      <w:r>
        <w:rPr>
          <w:rFonts w:ascii="Lato" w:hAnsi="Lato" w:cs="Lato"/>
          <w:b w:val="0"/>
          <w:i w:val="0"/>
          <w:color w:val="6C7378"/>
          <w:sz w:val="17"/>
        </w:rPr>
        <w:t>Partial / conditional / sub-limit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A4233B"/>
          <w:sz w:val="19"/>
        </w:rPr>
        <w:t xml:space="preserve">✗ </w:t>
      </w:r>
      <w:r>
        <w:rPr>
          <w:rFonts w:ascii="Lato" w:hAnsi="Lato" w:cs="Lato"/>
          <w:b w:val="0"/>
          <w:i w:val="0"/>
          <w:color w:val="6C7378"/>
          <w:sz w:val="17"/>
        </w:rPr>
        <w:t>Not covered / not identified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5B6166"/>
          <w:sz w:val="19"/>
        </w:rPr>
        <w:t xml:space="preserve">? </w:t>
      </w:r>
      <w:r>
        <w:rPr>
          <w:rFonts w:ascii="Lato" w:hAnsi="Lato" w:cs="Lato"/>
          <w:b w:val="0"/>
          <w:i w:val="0"/>
          <w:color w:val="6C7378"/>
          <w:sz w:val="17"/>
        </w:rPr>
        <w:t>Unclear – requires review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742"/>
        <w:tblLayout w:type="fixed"/>
      </w:tblPr>
      <w:tblGrid>
        <w:gridCol w:w="3062"/>
        <w:gridCol w:w="851"/>
        <w:gridCol w:w="851"/>
        <w:gridCol w:w="851"/>
        <w:gridCol w:w="851"/>
        <w:gridCol w:w="851"/>
        <w:gridCol w:w="851"/>
        <w:gridCol w:w="6577"/>
      </w:tblGrid>
      <w:tr>
        <w:tc>
          <w:tcPr>
            <w:tcW w:type="dxa" w:w="306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Section of cover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(Zurich)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(AXA)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  <w:tc>
          <w:tcPr>
            <w:tcW w:type="dxa" w:w="6576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Comment / practical impact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 · Business “All Risks” (premises buildings &amp; contents)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six offer premises/contents material damage on an all-risks basis. Allianz, Liberty and AXA XL are property-led packages with granular MD specifications; TMHCC consolidates IT/premises cover here.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S2 · Property &amp; Equipment “All Risks” (production/entertainment equipment)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Owned and hired-in production/entertainment equipment. Tysers (Production Property), Yutree (Production property), Allianz (Specified All Risks), AXA XL (‘Technical Equipment’ within Material Damage). Liberty covers entertainment equipment via specified Schedule items.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S3 · Business Interruption “All Risks”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offer BI. Allianz is structurally broader (splits Increased Cost of Working and Book Debts into discrete sections). AXA XL has a full BI section (incl. Rent Receivable / Turnover). Confirm TMHCC S3 expressly covers ICOW/AICOW and book debts.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S4 · Terrorism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TMHCC, Yutree, Liberty and Allianz provide terrorism cover. Tysers EXCLUDES terrorism (no buy-back). AXA XL EXCLUDES terrorism absolutely (Policy Exclusion 3.4, ex-Employers’ Liability) — client would need standalone Pool Re.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S5 · Employers’ Liability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Statutory EL provided by all six (typically GBP 10m). Broadly equivalent. AXA XL = sub-section 7C.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S6 · Public Liability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Provided by all. Competitors combine Public &amp; Products; TMHCC splits Public (S6) and Products (S7). AXA XL = sub-section 7A.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S7 · Products Liability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Provided by all (combined with Public in the competitor wordings). AXA XL = sub-section 7B.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S8 · Money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Money cover provided by all. AXA XL provides Money as a sub-limited ‘Money’ specification WITHIN the Material Damage section (schedule-driven) rather than a standalone section.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S9 · Goods in Transit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TMHCC, Yutree (GIT section) and Allianz (Own Goods in Transit) provide GIT. Tysers, Liberty and AXA XL do NOT have a dedicated GIT section.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S10 · Loss of Licence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UNIQUE to TMHCC across all five competitors. Premises-licence loss cover under the Licensing Act 2003 — highly relevant for venues/festivals.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S11 · Production Indemnity “All Risks”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TMHCC, Tysers (Multimedia &amp; Producers Indemnity) and Yutree (Production Indemnity) cover production costs / cast / negatives. Liberty, Allianz and AXA XL do NOT offer production indemnity.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S12 · Media Liability / Professional Indemnity (E&amp;O)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The heart of a media wording. TMHCC (S12), Tysers (PI/E&amp;O) and Yutree (PI-Media + PI-Events) provide it. Liberty, Allianz and AXA XL provide NO media/PI/E&amp;O cover — despite AXA XL’s ‘Media &amp; Entertainment’ branding.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S13 · Commercial Legal Expenses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UNIQUE to TMHCC (ARAG-style legal expenses). No competitor wording includes a legal-expenses section.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S14 · Management Liability (D&amp;O / EPL etc.)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UNIQUE to TMHCC. No competitor wording includes management-liability cover.</w:t>
            </w:r>
          </w:p>
        </w:tc>
      </w:tr>
      <w:tr>
        <w:tc>
          <w:tcPr>
            <w:tcW w:type="dxa" w:w="306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S15 · Cyber Liability (standalone)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UNIQUE — TMHCC ‘CyberGuard’ is a genuine standalone cyber policy. Yutree offers Computer Breakdown only. AXA XL has NO cyber section and a broad cyber EXCLUSION (only a Data Protection Act 2018 carve-out within Public Liability). Others: none.</w:t>
            </w:r>
          </w:p>
        </w:tc>
      </w:tr>
      <w:tr>
        <w:tc>
          <w:tcPr>
            <w:tcW w:type="dxa" w:w="306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(+) Personal Accident &amp; Business Travel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1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1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1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577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GAP for TMHCC: no standalone PA/business-travel section. Tysers (PA &amp; Business Travel) is extensive; Yutree covers PA assault. Allianz references a ‘Personal Accident’ section in its exclusions (not in the cover list – review). AXA XL has NO personal-accident cover.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4  </w:t>
      </w:r>
      <w:r>
        <w:rPr>
          <w:rFonts w:ascii="Lato" w:hAnsi="Lato" w:cs="Lato"/>
          <w:b/>
          <w:i w:val="0"/>
          <w:color w:val="00648B"/>
          <w:sz w:val="30"/>
        </w:rPr>
        <w:t>Full coverage matrix — Media Liability / PI feature detail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The Media Liability / Professional Indemnity section (TMHCC S12; Tysers S8; Yutree PI-Media) is the heart of a media wording, so it is compared feature-by-feature below. Liberty and Allianz provide no media/PI cover and are shown as not covered throughout.</w:t>
      </w:r>
    </w:p>
    <w:p>
      <w:pPr>
        <w:spacing w:after="120"/>
      </w:pPr>
      <w:r>
        <w:rPr>
          <w:rFonts w:ascii="Lato" w:hAnsi="Lato" w:cs="Lato"/>
          <w:b/>
          <w:i w:val="0"/>
          <w:color w:val="1B7A3D"/>
          <w:sz w:val="19"/>
        </w:rPr>
        <w:t xml:space="preserve">✓ </w:t>
      </w:r>
      <w:r>
        <w:rPr>
          <w:rFonts w:ascii="Lato" w:hAnsi="Lato" w:cs="Lato"/>
          <w:b w:val="0"/>
          <w:i w:val="0"/>
          <w:color w:val="6C7378"/>
          <w:sz w:val="17"/>
        </w:rPr>
        <w:t>Covered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8A6A1E"/>
          <w:sz w:val="19"/>
        </w:rPr>
        <w:t xml:space="preserve">◐ </w:t>
      </w:r>
      <w:r>
        <w:rPr>
          <w:rFonts w:ascii="Lato" w:hAnsi="Lato" w:cs="Lato"/>
          <w:b w:val="0"/>
          <w:i w:val="0"/>
          <w:color w:val="6C7378"/>
          <w:sz w:val="17"/>
        </w:rPr>
        <w:t>Partial / conditional / sub-limit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A4233B"/>
          <w:sz w:val="19"/>
        </w:rPr>
        <w:t xml:space="preserve">✗ </w:t>
      </w:r>
      <w:r>
        <w:rPr>
          <w:rFonts w:ascii="Lato" w:hAnsi="Lato" w:cs="Lato"/>
          <w:b w:val="0"/>
          <w:i w:val="0"/>
          <w:color w:val="6C7378"/>
          <w:sz w:val="17"/>
        </w:rPr>
        <w:t>Not covered / not identified</w:t>
      </w:r>
      <w:r>
        <w:rPr>
          <w:rFonts w:ascii="Lato" w:hAnsi="Lato" w:cs="Lato"/>
          <w:b w:val="0"/>
          <w:i w:val="0"/>
          <w:color w:val="AEB4B8"/>
          <w:sz w:val="17"/>
        </w:rPr>
        <w:t xml:space="preserve">     </w:t>
      </w:r>
      <w:r>
        <w:rPr>
          <w:rFonts w:ascii="Lato" w:hAnsi="Lato" w:cs="Lato"/>
          <w:b/>
          <w:i w:val="0"/>
          <w:color w:val="5B6166"/>
          <w:sz w:val="19"/>
        </w:rPr>
        <w:t xml:space="preserve">? </w:t>
      </w:r>
      <w:r>
        <w:rPr>
          <w:rFonts w:ascii="Lato" w:hAnsi="Lato" w:cs="Lato"/>
          <w:b w:val="0"/>
          <w:i w:val="0"/>
          <w:color w:val="6C7378"/>
          <w:sz w:val="17"/>
        </w:rPr>
        <w:t>Unclear – requires review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742"/>
        <w:tblLayout w:type="fixed"/>
      </w:tblPr>
      <w:tblGrid>
        <w:gridCol w:w="3175"/>
        <w:gridCol w:w="850"/>
        <w:gridCol w:w="850"/>
        <w:gridCol w:w="850"/>
        <w:gridCol w:w="850"/>
        <w:gridCol w:w="850"/>
        <w:gridCol w:w="850"/>
        <w:gridCol w:w="6464"/>
      </w:tblGrid>
      <w:tr>
        <w:tc>
          <w:tcPr>
            <w:tcW w:type="dxa" w:w="317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Media Liability / PI feature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(Zurich)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(AXA)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  <w:tc>
          <w:tcPr>
            <w:tcW w:type="dxa" w:w="6463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Comment / practical impact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Defamation / libel / slander / malicious falsehood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cover ‘unintentional’ defamation; Tysers covers unless the statement was known/ought-to-have-been-known to be defamatory. Broadly equivalent. Liberty/Allianz/AXA XL: no PI.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IP infringement – copyright / trademark / passing off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three media wordings cover unintentional IP infringement incl. passing-off.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Patent infringement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8.9) expressly includes PATENT infringement within IP cover. TMHCC and Yutree EXCLUDE patents. TMHCC is sensibly more restrictive (patents are hard to underwrite).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Breach of confidence / invasion of privacy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Covered by all three media wordings (TMHCC/Yutree on an ‘unintentional’ basis; Tysers clauses 8.11/8.12).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Breach of professional duty / negligence / E&amp;O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Core E&amp;O. Covered by all three media wordings.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Dishonesty / fraud of employees (write-back)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(Insuring Clause 1.l) and Yutree (Dishonesty &amp; fraud cover) grant an express write-back for employee dishonesty; Tysers via its Criminal/Malicious Acts exclusion with an employee carve-out.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Defence costs payable IN ADDITION to the limit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three pay defence costs in addition, with proportionate reduction once the limit is exceeded.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Territorial / jurisdiction scope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PI is WORLDWIDE. TMHCC limits cover to the Schedule Geographical Limits and EXCLUDES actions brought outside the stated Jurisdiction (default worldwide ex-US/Canada). Yutree restricts US/Canada. Competitor (Tysers) broader.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Data-protection defence costs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grants Data Protection Defence Costs (GBP 250k). Yutree EXCLUDES breach of data-protection law in PI. AXA XL provides only a DP Act 2018 defence-costs extension within Public Liability (not a media/PI grant). TMHCC clearer/broader.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Criminal / statutory prosecution defence costs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pays statutory defence costs (Bribery/Corporate Manslaughter/H&amp;S/CDM — GBP 1m). Yutree pays Criminal Prosecution Defence Costs (GBP 250k). TMHCC S12 grants only Data-Protection defence costs (broader criminal cover sits in S13/S14).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Reputation management / crisis-PR costs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both grant Reputation Management costs (GBP 250k). Not identified in Tysers S8.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Withdrawal / alteration of content (incl. ASA/OFCOM)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both grant Withdrawal of Content (GBP 250k) including ASA/OFCOM complaints. Not identified in Tysers.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Rectification / mitigation costs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three pay rectification/mitigation costs that avert a larger claim (TMHCC Rectification; Tysers 8.14; Yutree Mitigation).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Costs to PROSECUTE infringement of the insured’s own IP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(GBP 25k) and Yutree (IP-rights prosecution) fund pursuit of the insured’s own IP, subject to a supporting legal opinion. Not identified in Tysers.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Distributors &amp; purchasers extension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8.7) extends indemnity to purchasers/co-producers/distributors of the insured’s media material (up to 5x the limit). Not provided by TMHCC or Yutree.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Journalistic source-protection / challenge to subpoena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(clause 8.13) funds legal costs to challenge a subpoena requiring disclosure of a source. Not provided by TMHCC or Yutree — broker-sensitive for editorial/news clients.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Representation costs at investigations / inquiries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(8.15, GBP 25k) covers representation at official examinations/inquiries. TMHCC provides this only via Data-Protection defence; Yutree via Criminal-Prosecution defence.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Loss of documents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Covered by all three media wordings (TMHCC Insuring Clause; Tysers 8.10 GBP 1m; Yutree Loss of Documents, GBP 500 excess).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Unintentional virus transmission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(GBP 500k sub-limit, targeted-virus write-back) and Tysers (8.16, GBP 250k) cover unintentional virus transmission. Yutree treats virus within its broader cyber exclusion.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Mergers &amp; acquisitions / subsidiary auto-acquisition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16"/>
              </w:rPr>
              <w:t xml:space="preserve">Equivalent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both auto-include newly created/acquired entities below a 20% turnover threshold, with notification above. Tysers position requires review.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Pollution write-back (negligent advice)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 grants a limited pollution write-back where the cause is a specific act/error/omission of the insured. TMHCC and Tysers exclude pollution from PI.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Cyber/data general exclusion impact on PI cover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 xml:space="preserve">TMHCC stronger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TMHCC’s general cyber/date exclusion applies to Sections 1–11 ONLY, leaving S12 with bespoke virus/unauthorised-access cover; Tysers’ Electronic-Risk exclusion is dis-applied to S8. Yutree’s PI carries a BROAD cyber &amp; data-protection exclusion.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Senior-counsel (KC) dispute-resolution clause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6"/>
              </w:rPr>
              <w:t xml:space="preserve">Competitor broader · </w:t>
            </w:r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 includes a clear King’s Counsel arbitration clause for defence/settlement disputes. TMHCC relies on a general mediation/dispute condition; Tysers requires review.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5  </w:t>
      </w:r>
      <w:r>
        <w:rPr>
          <w:rFonts w:ascii="Lato" w:hAnsi="Lato" w:cs="Lato"/>
          <w:b/>
          <w:i w:val="0"/>
          <w:color w:val="00648B"/>
          <w:sz w:val="30"/>
        </w:rPr>
        <w:t>Competitor-by-competitor analysis</w:t>
      </w: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Tysers “Focus” Combined ‘All Risks’ Media (capacity: Zurich Insurance plc)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9 sections: Production Property, Property Damage, BI, Money, Production (Multimedia &amp; Producers Indemnity), EL, Public &amp; Products, Professional Indemnity/E&amp;O, Personal Accident &amp; Business Travel.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PI/E&amp;O (S8) is WORLDWIDE and notably broad — includes PATENT infringement, statutory defence costs (Bribery/Corporate Manslaughter/H&amp;S/CDM, GBP 1m), Distributors &amp; Purchasers extension (5x limit), journalistic source-protection costs, and representation costs (GBP 25k).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Extensive standalone Personal Accident &amp; Business Travel section (S9).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Loss of documents sub-limit GBP 1m.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terrorism cover (excluded outright).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dedicated Goods in Transit section (Money only).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Loss of Licence, Legal Expenses, Management Liability or standalone Cyber.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Reputation-Management or Withdrawal-of-Content extension identified in PI.</w:t>
      </w:r>
    </w:p>
    <w:p>
      <w:pPr>
        <w:spacing w:after="8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Media &amp; Entertainment by Yutree (capacity: AXA Insurance UK plc)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12 cover sections incl. Property, Production Property, Computer Breakdown, BI, Terrorism, EL, Public &amp; Products, Money &amp; PA assault, Goods in Transit, Production Indemnity, PI-Media and PI-Events.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Two PI sections (Media; and Events &amp; Installations) — useful where the client runs live events.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Strong PI extensions: Reputation Management (GBP 250k), Withdrawal of Content (GBP 250k), Criminal Prosecution Defence (GBP 250k), Mitigation, limited Pollution write-back, and a clear King’s Counsel dispute-resolution clause.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Standalone Computer Breakdown section; Goods in Transit section.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PI carries a BROAD cyber &amp; data-protection-law exclusion (strips cyber-related PI and DP defence).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Excludes patents.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Loss of Licence, Legal Expenses, Management Liability or standalone Cyber-liability section.</w:t>
      </w:r>
    </w:p>
    <w:p>
      <w:pPr>
        <w:spacing w:after="8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Liberty Entertainment Combined Policy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6 cover sections: Material Damage, Business Interruption, Terrorism, Money, Employer’s Liability, Public &amp; Products Liability.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Property-led wording with detailed Material-Damage extensions (removal to private home, capital additions, professional fees).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Clear, well-structured general exclusions/conditions.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Media Liability / PI / E&amp;O cover — not an errors-&amp;-omissions wording.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Production Indemnity, Goods in Transit, Loss of Licence, Legal Expenses, Management Liability, Cyber or Personal Accident.</w:t>
      </w:r>
    </w:p>
    <w:p>
      <w:pPr>
        <w:spacing w:after="8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Allianz Entertainment ‘Complete’ Policy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8 cover sections (+Terrorism): Property Damage, BI, Increased Cost of Working, Book Debts, Money, Own Goods in Transit, Specified All Risks, EL, Public &amp; Products.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Granular BI suite — Increased Cost of Working and Book Debts as discrete sections.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Mature property-package drafting (Specified All Risks, GIT).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Media Liability / PI / E&amp;O cover.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Production Indemnity, Loss of Licence, Legal Expenses, Management Liability or standalone Cyber.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Personal Accident referenced in exclusions but not in the provided cover list (requires review).</w:t>
      </w:r>
    </w:p>
    <w:p>
      <w:pPr>
        <w:spacing w:after="8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AXA XL — Media &amp; Entertainment Combined Corporate (XL Catlin Insurance Company UK Ltd; ‘Crisis Management &amp; Special Risks’, June 2021)</w:t>
      </w: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8"/>
        </w:rPr>
        <w:t>3 operative sections only: Material Damage (Buildings/Contents, Machinery/Plant/Equipment, ‘Technical Equipment’ and a Money specification), Business Interruption (incl. Rent Receivable/Turnover), and Liability (7A Public, 7B Product, 7C Employers’).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1B7A3D"/>
          <w:sz w:val="20"/>
        </w:rPr>
        <w:t>Where it competes well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Clean, modern ‘single contract’ combined drafting; Material Damage covers Technical Equipment used in the Business and includes a Money specification.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Public Liability includes a Data Protection Act 2018 defence-costs extension (a deliberate carve-out from the broad cyber exclusion).</w:t>
      </w:r>
    </w:p>
    <w:p>
      <w:pPr>
        <w:keepNext/>
        <w:spacing w:before="120" w:after="20"/>
      </w:pPr>
      <w:r>
        <w:rPr>
          <w:rFonts w:ascii="Lato" w:hAnsi="Lato" w:cs="Lato"/>
          <w:b/>
          <w:i w:val="0"/>
          <w:color w:val="00648B"/>
          <w:sz w:val="20"/>
        </w:rPr>
        <w:t>Where TMHCC is broader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NO Media Liability / PI / E&amp;O, Production Indemnity, Cyber section, Legal Expenses, Management Liability, Loss of Licence, Goods in Transit or Personal Accident — despite the ‘Media &amp; Entertainment’ title.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Terrorism EXCLUDED absolutely (Policy Exclusion 3.4, ex-EL) — no buy-back.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Punitive/exemplary damages and fines EXCLUDED absolutely (3.2) — no defamation write-back.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Broad cyber / electronic-data exclusion across all sections (only a DP Act 2018 carve-out within Public Liability).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15138"/>
      </w:tblGrid>
      <w:tr>
        <w:tc>
          <w:tcPr>
            <w:tcW w:type="dxa" w:w="15138"/>
            <w:shd w:val="clear" w:color="auto" w:fill="EEF1F3"/>
            <w:tcBorders>
              <w:top w:val="single" w:sz="4" w:space="0" w:color="6C7378"/>
              <w:left w:val="single" w:sz="22" w:space="0" w:color="6C7378"/>
              <w:bottom w:val="single" w:sz="4" w:space="0" w:color="6C7378"/>
              <w:right w:val="single" w:sz="4" w:space="0" w:color="6C7378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6C7378"/>
                <w:sz w:val="19"/>
              </w:rPr>
              <w:t xml:space="preserve">All five competitors mapped: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Tysers (Zurich), Yutree (AXA), Liberty, Allianz and AXA XL have each been parsed in full and assessed against the TMHCC base wording. AXA XL — the fifth wording — confirms the pattern: it is a lean property/BI/liability package with no media/PI cover.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6  </w:t>
      </w:r>
      <w:r>
        <w:rPr>
          <w:rFonts w:ascii="Lato" w:hAnsi="Lato" w:cs="Lato"/>
          <w:b/>
          <w:i w:val="0"/>
          <w:color w:val="00648B"/>
          <w:sz w:val="30"/>
        </w:rPr>
        <w:t>TMHCC strengths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Where the TMHCC base wording is demonstrably stronger, broader or clearer than the competitor wordings reviewed: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742"/>
        <w:tblLayout w:type="fixed"/>
      </w:tblPr>
      <w:tblGrid>
        <w:gridCol w:w="3969"/>
        <w:gridCol w:w="10773"/>
      </w:tblGrid>
      <w:tr>
        <w:tc>
          <w:tcPr>
            <w:tcW w:type="dxa" w:w="3969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Strength</w:t>
            </w:r>
          </w:p>
        </w:tc>
        <w:tc>
          <w:tcPr>
            <w:tcW w:type="dxa" w:w="1077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Why it matters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Widest section count in the peer group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The only wording among the six offering all 15 sections in a single contract — a genuine ‘one-stop’ media &amp; entertainment package. Three of the five competitors (Liberty, Allianz and AXA XL) carry NO media/PI cover at all.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Four sections no competitor offers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Loss of Licence (S10), Commercial Legal Expenses (S13), Management Liability (S14) and a standalone Cyber-liability section (S15 CyberGuard) are unique to TMHCC across all five competitors.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Standalone cyber that is genuine liability cover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CyberGuard provides multimedia, security &amp; privacy, privacy-regulatory defence &amp; penalties and PCI DSS cover — not merely first-party breakdown, and not a bare cyber EXCLUSION (as in AXA XL).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Broad, well-extended Media Liability (S12)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Wide ‘any other civil liability’ grant plus employee-dishonesty write-back, Data-Protection Defence Costs (GBP 250k), Reputation Management (GBP 250k), Withdrawal of Content (GBP 250k), IP-pursuit costs (GBP 25k) and M&amp;A auto-acquisition.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Clean exclusion architecture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The general cyber/date exclusion is dis-applied to Sections 12–15, so the liability sections are governed by their own bespoke terms — avoiding the ‘silent-cyber strip’ seen in a competitor PI section and AXA XL’s blanket cyber exclusion.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Favourable fines/penalties carve-back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Non-compensatory damages are written back for libel/slander/defamation awards and for punitive damages where the law permits payment — AXA XL, by contrast, excludes punitive/fines absolutely.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7"/>
              </w:rPr>
              <w:t>Protective, clearly-drafted claims architecture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Claim notification is an express condition precedent; aggregation, retroactive date and territorial/jurisdiction terms are clearly defined.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7  </w:t>
      </w:r>
      <w:r>
        <w:rPr>
          <w:rFonts w:ascii="Lato" w:hAnsi="Lato" w:cs="Lato"/>
          <w:b/>
          <w:i w:val="0"/>
          <w:color w:val="00648B"/>
          <w:sz w:val="30"/>
        </w:rPr>
        <w:t>Areas where competitors are broader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Stated objectively — where a competitor genuinely provides broader, clearer or materially useful cover. Each item is carried into the separate Gap-Fill / Wording Enhancement Strategy.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742"/>
        <w:tblLayout w:type="fixed"/>
      </w:tblPr>
      <w:tblGrid>
        <w:gridCol w:w="3969"/>
        <w:gridCol w:w="10773"/>
      </w:tblGrid>
      <w:tr>
        <w:tc>
          <w:tcPr>
            <w:tcW w:type="dxa" w:w="3969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Area (competitor)</w:t>
            </w:r>
          </w:p>
        </w:tc>
        <w:tc>
          <w:tcPr>
            <w:tcW w:type="dxa" w:w="10772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What the competitor does / TMHCC position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Worldwide PI territory (Tysers)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PI/E&amp;O is worldwide; TMHCC S12 is limited to the Schedule Geographical Limits and excludes actions brought outside the stated Jurisdiction.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Patent infringement (Tysers)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covers patent infringement within IP; TMHCC (and Yutree) exclude it.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Statutory / criminal defence costs (Tysers &amp; Yutree)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funds Bribery/Corporate-Manslaughter/H&amp;S/CDM defence (GBP 1m); Yutree funds criminal-prosecution defence (GBP 250k). TMHCC S12 funds only data-protection defence (broader criminal cover sits in S13/S14).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Distributors &amp; purchasers (Tysers)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extends PI to purchasers/co-producers/distributors of the insured’s media material (5x limit) — absent from TMHCC.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Journalistic source protection (Tysers)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funds legal costs to challenge a subpoena requiring disclosure of a source — absent from TMHCC.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Personal Accident &amp; Business Travel (Tysers; Yutree assault)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Tysers has an extensive PA/business-travel section; Yutree covers PA assault. TMHCC, Liberty, Allianz and AXA XL have no PA section.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Granular BI heads (Allianz)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Allianz splits Increased Cost of Working and Book Debts into discrete sections — a presentational advantage.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Standalone Computer Breakdown (Yutree)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 offers a dedicated computer-breakdown section; TMHCC consolidates IT breakdown within S1/S2 — confirm it is explicit.</w:t>
            </w:r>
          </w:p>
        </w:tc>
      </w:tr>
      <w:tr>
        <w:tc>
          <w:tcPr>
            <w:tcW w:type="dxa" w:w="396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Limited pollution write-back in PI (Yutree)</w:t>
            </w:r>
          </w:p>
        </w:tc>
        <w:tc>
          <w:tcPr>
            <w:tcW w:type="dxa" w:w="10773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 grants a limited pollution write-back for the insured’s own negligent act/error/omission.</w:t>
            </w:r>
          </w:p>
        </w:tc>
      </w:tr>
      <w:tr>
        <w:tc>
          <w:tcPr>
            <w:tcW w:type="dxa" w:w="3969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17"/>
              </w:rPr>
              <w:t>KC dispute-resolution clause (Yutree)</w:t>
            </w:r>
          </w:p>
        </w:tc>
        <w:tc>
          <w:tcPr>
            <w:tcW w:type="dxa" w:w="10773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7"/>
              </w:rPr>
              <w:t>Yutree’s clear King’s Counsel arbitration clause for defence disputes is a drafting-clarity advantage.</w:t>
            </w:r>
          </w:p>
        </w:tc>
      </w:tr>
    </w:tbl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8  </w:t>
      </w:r>
      <w:r>
        <w:rPr>
          <w:rFonts w:ascii="Lato" w:hAnsi="Lato" w:cs="Lato"/>
          <w:b/>
          <w:i w:val="0"/>
          <w:color w:val="00648B"/>
          <w:sz w:val="30"/>
        </w:rPr>
        <w:t>Exclusions comparison</w:t>
      </w: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General exclusions (all sections)</w:t>
      </w: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15138"/>
      </w:tblGrid>
      <w:tr>
        <w:tc>
          <w:tcPr>
            <w:tcW w:type="dxa" w:w="15138"/>
            <w:shd w:val="clear" w:color="auto" w:fill="FBF1DA"/>
            <w:tcBorders>
              <w:top w:val="single" w:sz="4" w:space="0" w:color="B88A3C"/>
              <w:left w:val="single" w:sz="22" w:space="0" w:color="B88A3C"/>
              <w:bottom w:val="single" w:sz="4" w:space="0" w:color="B88A3C"/>
              <w:right w:val="single" w:sz="4" w:space="0" w:color="B88A3C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19"/>
              </w:rPr>
              <w:t xml:space="preserve">Note: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In this table ✓ = the exclusion APPLIES, ◐ = partial / write-back present, ✗ = exclusion absent or carved back, ? = requires review.</w:t>
            </w:r>
          </w:p>
        </w:tc>
      </w:tr>
    </w:tbl>
    <w:p>
      <w:pPr>
        <w:spacing w:after="80"/>
      </w:pP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742"/>
        <w:tblLayout w:type="fixed"/>
      </w:tblPr>
      <w:tblGrid>
        <w:gridCol w:w="3175"/>
        <w:gridCol w:w="850"/>
        <w:gridCol w:w="850"/>
        <w:gridCol w:w="850"/>
        <w:gridCol w:w="850"/>
        <w:gridCol w:w="850"/>
        <w:gridCol w:w="850"/>
        <w:gridCol w:w="6464"/>
      </w:tblGrid>
      <w:tr>
        <w:tc>
          <w:tcPr>
            <w:tcW w:type="dxa" w:w="317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General exclusion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(Zurich)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(AXA)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  <w:tc>
          <w:tcPr>
            <w:tcW w:type="dxa" w:w="6463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Comment / practical impact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War / nuclear / radioactive contamination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Standard market exclusion present in all six wordings (AXA XL 3.3/3.5, incl. weapons of mass destruction). Broadly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Terrorism (property/BI)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TMHCC, Yutree, Liberty, Allianz write terrorism back via a dedicated section. Tysers and AXA XL (3.4) EXCLUDE terrorism outright with no buy-back.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Pollution / contamination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Excluded by all with the usual sudden/accidental &amp; defined-peril write-backs (AXA XL: MD exclusion (p) and Liability pollution exclusion).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Asbestos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Tysers PI has a professional-duty WRITE-BACK (cover where liability arises from negligent advice, GBP 1m, ex-BI). TMHCC, Yutree and AXA XL (3.1, ex-EL) exclude asbestos more strictly.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Cyber / electronic risk (first-party damage &amp; BI)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exclude cyber-caused damage/BI. KEY DIFFERENCE: TMHCC dis-applies its cyber/date exclusion to Sections 12–15; Tysers dis-applies Electronic Risk to S8 PI. AXA XL’s cyber exclusion (3.7) is broad with only a DP Act 2018 carve-out; Yutree’s PI carries a broad cyber/data exclusion.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Date recognition / data-processing failure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Standard ‘millennium/date’-style exclusion in the property packages. AXA XL has no separate date clause — subsumed within its broad cyber/electronic-data exclusion. Equivalent in substance.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Communicable disease / pandemic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AXA XL (3.8) both carry a BROAD communicable-disease exclusion (applies notwithstanding all other terms). Not identified in Tysers; Yutree/Liberty/Allianz require confirmation. TMHCC is well-protected here (a deliberate restriction).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Sanctions / trade restrictions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carry a sanctions clause (AXA XL 4.4). TMHCC has both a Trading-Sanctions and an International-Sanctions clause. Equivalent.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Northern Ireland (civil commotion) / sonic bangs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Standard UK property-package carve-outs present in Tysers/Liberty/Allianz; TMHCC and AXA XL treatment within property sections requires confirmation.</w:t>
            </w:r>
          </w:p>
        </w:tc>
      </w:tr>
    </w:tbl>
    <w:p>
      <w:pPr>
        <w:spacing w:after="120"/>
      </w:pPr>
    </w:p>
    <w:p>
      <w:pPr>
        <w:keepNext/>
        <w:spacing w:before="180" w:after="40"/>
      </w:pPr>
      <w:r>
        <w:rPr>
          <w:rFonts w:ascii="Lato" w:hAnsi="Lato" w:cs="Lato"/>
          <w:b/>
          <w:i w:val="0"/>
          <w:color w:val="00648B"/>
          <w:sz w:val="23"/>
        </w:rPr>
        <w:t>Media Liability / PI-specific exclusions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Liberty, Allianz and AXA XL have no PI section and are shown as not applicable.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742"/>
        <w:tblLayout w:type="fixed"/>
      </w:tblPr>
      <w:tblGrid>
        <w:gridCol w:w="3175"/>
        <w:gridCol w:w="850"/>
        <w:gridCol w:w="850"/>
        <w:gridCol w:w="850"/>
        <w:gridCol w:w="850"/>
        <w:gridCol w:w="850"/>
        <w:gridCol w:w="850"/>
        <w:gridCol w:w="6464"/>
      </w:tblGrid>
      <w:tr>
        <w:tc>
          <w:tcPr>
            <w:tcW w:type="dxa" w:w="3175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PI exclusion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(Zurich)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</w:t>
            </w:r>
          </w:p>
          <w:p>
            <w:pPr>
              <w:spacing w:after="20" w:before="0"/>
              <w:jc w:val="center"/>
            </w:pPr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(AXA)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850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  <w:tc>
          <w:tcPr>
            <w:tcW w:type="dxa" w:w="6463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Comment / practical impact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Contractual / assumed liability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Excluded by all three media wordings, with the standard write-back for liability that would exist absent the contract.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Deliberate / reckless / dishonest acts (with employee write-back)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All exclude deliberate/dishonest acts of the insured but write back dishonest acts of employees. Equivalent.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Bodily injury / property damage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Excluded unless arising from negligent publication/advice.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Fines / penalties / punitive damages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excludes non-compensatory damages BUT writes back libel/slander/defamation awards and punitive damages where the law permits — a favourable carve-back. (Note: AXA XL’s general policy excludes punitive/exemplary damages and fines ABSOLUTELY, with no write-back — TMHCC is clearer/broader.)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Prior known claims / circumstances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Excluded by all three (claims-made hygiene). Equivalent.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Insolvency / financial failure of the insured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EEF1F3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5B6166"/>
                <w:sz w:val="21"/>
              </w:rPr>
              <w:t>?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expressly excludes claims arising from its own insolvency/liquidation. Competitor positions require review.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USA / Canada jurisdiction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excludes actions brought / governed outside the stated Jurisdiction (default ex-US/Canada). Tysers PI is WORLDWIDE. Yutree restricts US/Canada exposure. Competitor (Tysers) broader.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Patent infringement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Yutree exclude patents; Tysers covers patent infringement. TMHCC sensibly more restrictive.</w:t>
            </w:r>
          </w:p>
        </w:tc>
      </w:tr>
      <w:tr>
        <w:tc>
          <w:tcPr>
            <w:tcW w:type="dxa" w:w="317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Cyber act / breach of data-protection law (within PI)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FBE6E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A4233B"/>
                <w:sz w:val="21"/>
              </w:rPr>
              <w:t>✗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Yutree’s PI carries a broad cyber-act &amp; data-protection-law exclusion. TMHCC instead grants bespoke cover (virus, unauthorised access, DP defence costs) — TMHCC broader/clearer.</w:t>
            </w:r>
          </w:p>
        </w:tc>
      </w:tr>
      <w:tr>
        <w:tc>
          <w:tcPr>
            <w:tcW w:type="dxa" w:w="317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Pollution / seepage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E3F1E8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1B7A3D"/>
                <w:sz w:val="21"/>
              </w:rPr>
              <w:t>✓</w:t>
            </w:r>
          </w:p>
        </w:tc>
        <w:tc>
          <w:tcPr>
            <w:tcW w:type="dxa" w:w="850"/>
            <w:shd w:val="clear" w:color="auto" w:fill="FBF1DA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6A1E"/>
                <w:sz w:val="21"/>
              </w:rPr>
              <w:t>◐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850"/>
            <w:shd w:val="clear" w:color="auto" w:fill="F2F4F5"/>
          </w:tcPr>
          <w:p>
            <w:pPr>
              <w:spacing w:after="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8A9095"/>
                <w:sz w:val="21"/>
              </w:rPr>
              <w:t>—</w:t>
            </w:r>
          </w:p>
        </w:tc>
        <w:tc>
          <w:tcPr>
            <w:tcW w:type="dxa" w:w="6464"/>
            <w:shd w:val="clear" w:color="auto" w:fill="F4F7F9"/>
          </w:tcPr>
          <w:p>
            <w:pPr>
              <w:spacing w:after="2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6"/>
              </w:rPr>
              <w:t>TMHCC and Tysers exclude pollution from PI; Yutree grants a limited write-back for the insured’s own negligent act/error/omission.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15138"/>
      </w:tblGrid>
      <w:tr>
        <w:tc>
          <w:tcPr>
            <w:tcW w:type="dxa" w:w="1513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Exclusions — key takeaways: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is sensibly MORE protected on communicable disease, patents and US/Canada jurisdiction. The genuine write-back opportunities a competitor offers are: asbestos professional-duty (Tysers), pollution negligent-advice (Yutree) and a rated worldwide/US-Canada PI option (Tysers). TMHCC is clearer where its cyber/date exclusion is dis-applied to the liability sections, avoiding a ‘silent-cyber strip’ of PI.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9  </w:t>
      </w:r>
      <w:r>
        <w:rPr>
          <w:rFonts w:ascii="Lato" w:hAnsi="Lato" w:cs="Lato"/>
          <w:b/>
          <w:i w:val="0"/>
          <w:color w:val="00648B"/>
          <w:sz w:val="30"/>
        </w:rPr>
        <w:t>Conditions, warranties and claims obligations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742"/>
        <w:tblLayout w:type="fixed"/>
      </w:tblPr>
      <w:tblGrid>
        <w:gridCol w:w="2211"/>
        <w:gridCol w:w="2552"/>
        <w:gridCol w:w="2211"/>
        <w:gridCol w:w="2211"/>
        <w:gridCol w:w="1871"/>
        <w:gridCol w:w="1871"/>
        <w:gridCol w:w="1814"/>
      </w:tblGrid>
      <w:tr>
        <w:tc>
          <w:tcPr>
            <w:tcW w:type="dxa" w:w="221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Condition / obligation</w:t>
            </w:r>
          </w:p>
        </w:tc>
        <w:tc>
          <w:tcPr>
            <w:tcW w:type="dxa" w:w="255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221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 (Zurich)</w:t>
            </w:r>
          </w:p>
        </w:tc>
        <w:tc>
          <w:tcPr>
            <w:tcW w:type="dxa" w:w="221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 (AXA)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181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</w:tr>
      <w:tr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Claim notification</w:t>
            </w:r>
          </w:p>
        </w:tc>
        <w:tc>
          <w:tcPr>
            <w:tcW w:type="dxa" w:w="255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Express CONDITION PRECEDENT to liability — notify as soon as practicable (S1–11); S13 within 28 days; S12 claims-made notification during the period. Among the most protective drafting.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Notification under Special Condition 1; S8 PI is claims-made.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Claims-made; defined notification conditions for claims and claim circumstances.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Forward every claim document immediately on receipt.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Forward claim/notify per claims condition; potential proportionate remedy.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Written notice to Insurer per Policy Conditions; claims co-operation conditions.</w:t>
            </w:r>
          </w:p>
        </w:tc>
      </w:tr>
      <w:tr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Basis of cover (PI/Media)</w:t>
            </w:r>
          </w:p>
        </w:tc>
        <w:tc>
          <w:tcPr>
            <w:tcW w:type="dxa" w:w="255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Media Liability is claims-made with Retroactive Date; defence-costs in addition.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S8 PI/E&amp;O claims-made; defence costs in addition; Excess does not apply to defence costs.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PI-Media claims-made; retroactive date; defence costs in addition.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— no PI/media section.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— no PI/media section.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— no PI/media section.</w:t>
            </w:r>
          </w:p>
        </w:tc>
      </w:tr>
      <w:tr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Reasonable precautions / cyber-security</w:t>
            </w:r>
          </w:p>
        </w:tc>
        <w:tc>
          <w:tcPr>
            <w:tcW w:type="dxa" w:w="255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imposes detailed computer-security conditions (firewall, AV, password change/60 days, encryption, logging, back-ups) and ‘reasonable steps to avoid loss’.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Loss-of-documents condition requires back-ups at least every 7 days off-site.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Reasonable-precautions and security expectations apply.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General ‘your duties’ / reasonable precautions section.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Reasonable-precautions and maintenance conditions.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Reasonable-precautions / maintenance and duty-of-care conditions.</w:t>
            </w:r>
          </w:p>
        </w:tc>
      </w:tr>
      <w:tr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Change of control</w:t>
            </w:r>
          </w:p>
        </w:tc>
        <w:tc>
          <w:tcPr>
            <w:tcW w:type="dxa" w:w="255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cover ceases on a change of control unless notified and agreed by endorsement.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Requires review.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Addressed via subsidiary creation/acquisition cover.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(no PI).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(no PI).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 (no PI).</w:t>
            </w:r>
          </w:p>
        </w:tc>
      </w:tr>
      <w:tr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Premium payment</w:t>
            </w:r>
          </w:p>
        </w:tc>
        <w:tc>
          <w:tcPr>
            <w:tcW w:type="dxa" w:w="255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premium payment clause — 60 days, with 15-day cancellation notice.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policy/General Conditions.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Premium-adjustment condition with cancellation rights.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Standard cancellation section.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Standard cancellation provisions.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Standard premium / cancellation provisions (Policy Conditions).</w:t>
            </w:r>
          </w:p>
        </w:tc>
      </w:tr>
      <w:tr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Fair presentation (Insurance Act 2015)</w:t>
            </w:r>
          </w:p>
        </w:tc>
        <w:tc>
          <w:tcPr>
            <w:tcW w:type="dxa" w:w="2552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Duty of fair presentation applies (UK).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Duty of fair presentation; Zurich data terms.</w:t>
            </w:r>
          </w:p>
        </w:tc>
        <w:tc>
          <w:tcPr>
            <w:tcW w:type="dxa" w:w="221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Express duty of fair presentation.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‘Your duties’ — fair presentation.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Fair-presentation conditions.</w:t>
            </w:r>
          </w:p>
        </w:tc>
        <w:tc>
          <w:tcPr>
            <w:tcW w:type="dxa" w:w="1814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relies on information provided; fair-presentation basis.</w:t>
            </w:r>
          </w:p>
        </w:tc>
      </w:tr>
      <w:tr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Defence / dispute resolution</w:t>
            </w:r>
          </w:p>
        </w:tc>
        <w:tc>
          <w:tcPr>
            <w:tcW w:type="dxa" w:w="2552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consent required (CP); general mediation/dispute condition (England &amp; Wales).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controls defence; consent to settle.</w:t>
            </w:r>
          </w:p>
        </w:tc>
        <w:tc>
          <w:tcPr>
            <w:tcW w:type="dxa" w:w="221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Clear King’s Counsel arbitration clause for defence/settlement disputes — strong drafting.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conduct-of-claims rights.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conduct-of-claims rights.</w:t>
            </w:r>
          </w:p>
        </w:tc>
        <w:tc>
          <w:tcPr>
            <w:tcW w:type="dxa" w:w="1814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Insurer conduct-of-claims rights.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15138"/>
      </w:tblGrid>
      <w:tr>
        <w:tc>
          <w:tcPr>
            <w:tcW w:type="dxa" w:w="1513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Claims obligations: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TMHCC’s claim-notification is an EXPRESS condition precedent to liability — among the most protective drafting in the peer group, and a point to retain (not soften). Yutree’s King’s Counsel dispute clause is a drafting-clarity advantage TMHCC could adopt.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10  </w:t>
      </w:r>
      <w:r>
        <w:rPr>
          <w:rFonts w:ascii="Lato" w:hAnsi="Lato" w:cs="Lato"/>
          <w:b/>
          <w:i w:val="0"/>
          <w:color w:val="00648B"/>
          <w:sz w:val="30"/>
        </w:rPr>
        <w:t>Limits, sub-limits and excess comparison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Primary limits and excesses are schedule-driven and were not supplied; the table below compares the principal SUB-LIMITS within the Media Liability / PI sections (Liberty, Allianz and AXA XL have no PI section).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458"/>
        <w:tblLayout w:type="fixed"/>
      </w:tblPr>
      <w:tblGrid>
        <w:gridCol w:w="2608"/>
        <w:gridCol w:w="2041"/>
        <w:gridCol w:w="2098"/>
        <w:gridCol w:w="2098"/>
        <w:gridCol w:w="1871"/>
        <w:gridCol w:w="1871"/>
        <w:gridCol w:w="1871"/>
      </w:tblGrid>
      <w:tr>
        <w:tc>
          <w:tcPr>
            <w:tcW w:type="dxa" w:w="260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Media / PI sub-limit</w:t>
            </w:r>
          </w:p>
        </w:tc>
        <w:tc>
          <w:tcPr>
            <w:tcW w:type="dxa" w:w="204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209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 (Zurich)</w:t>
            </w:r>
          </w:p>
        </w:tc>
        <w:tc>
          <w:tcPr>
            <w:tcW w:type="dxa" w:w="209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 (AXA)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Primary limit of indemnity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Schedule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Schedule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Schedule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Virus transmission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500,000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Within cyber excl.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Data-protection defence costs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Excluded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PL: DP Act 2018 ext.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Criminal / statutory defence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 (DP only)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1,000,000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Reputation management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Withdrawal of content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250,000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Pursue insured’s own IP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25,000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Limit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Loss of documents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Per Schedule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1,000,000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Limit (GBP 500 xs)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Representation costs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DP only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25,000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Within crim. defence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Court attendance (per day)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500 / 250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GBP 500 / 250 (25k agg)</w:t>
            </w:r>
          </w:p>
        </w:tc>
        <w:tc>
          <w:tcPr>
            <w:tcW w:type="dxa" w:w="2098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Review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  <w:tr>
        <w:tc>
          <w:tcPr>
            <w:tcW w:type="dxa" w:w="260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6"/>
              </w:rPr>
              <w:t>Distributors &amp; purchasers</w:t>
            </w:r>
          </w:p>
        </w:tc>
        <w:tc>
          <w:tcPr>
            <w:tcW w:type="dxa" w:w="204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5x limit</w:t>
            </w:r>
          </w:p>
        </w:tc>
        <w:tc>
          <w:tcPr>
            <w:tcW w:type="dxa" w:w="2098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  <w:tc>
          <w:tcPr>
            <w:tcW w:type="dxa" w:w="1871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n/a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W w:type="pct" w:w="5000"/>
        <w:tblLayout w:type="fixed"/>
      </w:tblPr>
      <w:tblGrid>
        <w:gridCol w:w="15138"/>
      </w:tblGrid>
      <w:tr>
        <w:tc>
          <w:tcPr>
            <w:tcW w:type="dxa" w:w="15138"/>
            <w:shd w:val="clear" w:color="auto" w:fill="EAF1F5"/>
            <w:tcBorders>
              <w:top w:val="single" w:sz="4" w:space="0" w:color="00648B"/>
              <w:left w:val="single" w:sz="22" w:space="0" w:color="00648B"/>
              <w:bottom w:val="single" w:sz="4" w:space="0" w:color="00648B"/>
              <w:right w:val="single" w:sz="4" w:space="0" w:color="00648B"/>
            </w:tcBorders>
          </w:tcPr>
          <w:p>
            <w:pPr>
              <w:spacing w:after="40" w:before="4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9"/>
              </w:rPr>
              <w:t xml:space="preserve">Excess:  </w:t>
            </w:r>
            <w:r>
              <w:rPr>
                <w:rFonts w:ascii="Lato" w:hAnsi="Lato" w:cs="Lato"/>
                <w:b w:val="0"/>
                <w:i w:val="0"/>
                <w:color w:val="2B2F33"/>
                <w:sz w:val="19"/>
              </w:rPr>
              <w:t>TMHCC and the competitors apply a per-claim excess per the Schedule; both Tysers and TMHCC pay defence costs in addition to the limit (Tysers states the excess does not apply to defence costs). Confirm final limits/excesses against each Schedule.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11  </w:t>
      </w:r>
      <w:r>
        <w:rPr>
          <w:rFonts w:ascii="Lato" w:hAnsi="Lato" w:cs="Lato"/>
          <w:b/>
          <w:i w:val="0"/>
          <w:color w:val="00648B"/>
          <w:sz w:val="30"/>
        </w:rPr>
        <w:t>Legal / underwriting review notes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Items flagged ‘requires review’ in the matrices, plus points for TMHCC legal / underwriting sign-off: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whether TMHCC offers Personal Accident / Business Travel by endorsement (no standalone section identified).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Allianz references a ‘Personal Accident’ section in its exclusions that is not in the provided cover list — confirm against the Allianz schedule.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communicable-disease exclusion positions in the Yutree, Liberty and Allianz wordings (TMHCC carries a broad exclusion).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Tysers and Yutree positions on fines/penalties and insolvency exclusions within PI (marked ‘review’).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Confirm Increased Cost of Working / Book Debts and computer-breakdown are expressly addressed within TMHCC S3 and S1/S2 respectively.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Primary limits, excesses and any ‘insured/not insured’ toggles are schedule-driven and must be confirmed against each Schedule.</w:t>
      </w:r>
    </w:p>
    <w:p>
      <w:pPr>
        <w:pStyle w:val="ListBullet"/>
        <w:spacing w:after="40"/>
        <w:ind w:left="340"/>
      </w:pPr>
      <w:r>
        <w:rPr>
          <w:rFonts w:ascii="Lato" w:hAnsi="Lato" w:cs="Lato"/>
          <w:b w:val="0"/>
          <w:i w:val="0"/>
          <w:color w:val="2B2F33"/>
          <w:sz w:val="19"/>
        </w:rPr>
        <w:t>This comparison is indicative and for broking reference; it is subject to final TMHCC legal / underwriting sign-off before market use.</w:t>
      </w:r>
    </w:p>
    <w:p>
      <w:r>
        <w:br w:type="page"/>
      </w:r>
    </w:p>
    <w:p>
      <w:pPr>
        <w:keepNext/>
        <w:spacing w:before="280" w:after="40"/>
        <w:pBdr>
          <w:bottom w:val="single" w:sz="8" w:space="2" w:color="B88A3C"/>
        </w:pBdr>
      </w:pPr>
      <w:r>
        <w:rPr>
          <w:rFonts w:ascii="Lato" w:hAnsi="Lato" w:cs="Lato"/>
          <w:b/>
          <w:i w:val="0"/>
          <w:color w:val="B88A3C"/>
          <w:sz w:val="30"/>
        </w:rPr>
        <w:t xml:space="preserve">12  </w:t>
      </w:r>
      <w:r>
        <w:rPr>
          <w:rFonts w:ascii="Lato" w:hAnsi="Lato" w:cs="Lato"/>
          <w:b/>
          <w:i w:val="0"/>
          <w:color w:val="00648B"/>
          <w:sz w:val="30"/>
        </w:rPr>
        <w:t>Appendix — detailed clause mapping</w:t>
      </w:r>
    </w:p>
    <w:p>
      <w:pPr>
        <w:spacing w:after="80" w:before="0"/>
      </w:pPr>
      <w:r>
        <w:rPr>
          <w:rFonts w:ascii="Lato" w:hAnsi="Lato" w:cs="Lato"/>
          <w:b w:val="0"/>
          <w:i w:val="0"/>
          <w:color w:val="2B2F33"/>
          <w:sz w:val="19"/>
        </w:rPr>
        <w:t>Cross-reference of comparable cover by FUNCTION across the wordings (section names are the actual headings used in each policy).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D6DCE0"/>
          <w:left w:val="single" w:sz="4" w:space="0" w:color="D6DCE0"/>
          <w:bottom w:val="single" w:sz="4" w:space="0" w:color="D6DCE0"/>
          <w:right w:val="single" w:sz="4" w:space="0" w:color="D6DCE0"/>
          <w:insideH w:val="single" w:sz="4" w:space="0" w:color="D6DCE0"/>
          <w:insideV w:val="single" w:sz="4" w:space="0" w:color="D6DCE0"/>
        </w:tblBorders>
        <w:tblW w:type="dxa" w:w="14232"/>
        <w:tblLayout w:type="fixed"/>
      </w:tblPr>
      <w:tblGrid>
        <w:gridCol w:w="2268"/>
        <w:gridCol w:w="2155"/>
        <w:gridCol w:w="2155"/>
        <w:gridCol w:w="2041"/>
        <w:gridCol w:w="1871"/>
        <w:gridCol w:w="1871"/>
        <w:gridCol w:w="1871"/>
      </w:tblGrid>
      <w:tr>
        <w:tc>
          <w:tcPr>
            <w:tcW w:type="dxa" w:w="2268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Cover (by function)</w:t>
            </w:r>
          </w:p>
        </w:tc>
        <w:tc>
          <w:tcPr>
            <w:tcW w:type="dxa" w:w="21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TMHCC</w:t>
            </w:r>
          </w:p>
        </w:tc>
        <w:tc>
          <w:tcPr>
            <w:tcW w:type="dxa" w:w="2154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Tysers (Zurich)</w:t>
            </w:r>
          </w:p>
        </w:tc>
        <w:tc>
          <w:tcPr>
            <w:tcW w:type="dxa" w:w="204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Yutree (AXA)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Liberty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Allianz</w:t>
            </w:r>
          </w:p>
        </w:tc>
        <w:tc>
          <w:tcPr>
            <w:tcW w:type="dxa" w:w="1871"/>
            <w:shd w:val="clear" w:color="auto" w:fill="00648B"/>
          </w:tcPr>
          <w:p>
            <w:pPr>
              <w:spacing w:after="20" w:before="0"/>
              <w:jc w:val="center"/>
            </w:pPr>
            <w:r/>
            <w:r>
              <w:rPr>
                <w:rFonts w:ascii="Lato" w:hAnsi="Lato" w:cs="Lato"/>
                <w:b/>
                <w:i w:val="0"/>
                <w:color w:val="FFFFFF"/>
                <w:sz w:val="17"/>
              </w:rPr>
              <w:t>AXA XL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Premises material damage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 Business ‘All Risks’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S2 Property Damage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Property damage – All risks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 Material Damage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 Property Damage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MD: Buildings/Contents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Production / entertainment equipment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S2 Property &amp; Equipment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 Production Property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Production property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Within S1 / Schedule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S6 Specified All Risks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MD: Technical Equipment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Business interruption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S3 Business Interruption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S3 BI ‘All Risks’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BI – All risks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S2 Business Interruption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S2 BI / S2a ICOW / S3 Book Debts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BI Section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Terrorism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S4 Terrorism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Excluded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Terrorism section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S3 Terrorism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Terrorism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Excluded (3.4)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Employers’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S5 Employers’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S6 Employers’ Liability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Employers liability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S5 Employer’s Liability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S7 Employers’ Liability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7C Employers’ Liability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Public &amp; products liability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S6 Public / S7 Products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S7 Public &amp; Products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Public &amp; products liability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S6 Public &amp; Products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S8 Public &amp; Products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7A Public / 7B Product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Money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S8 Money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S4 Money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Money &amp; PA assault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S4 Money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S4 Money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MD: Money spec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Goods in transit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S9 Goods in Transit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Goods in transit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S5 Own Goods in Transit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Loss of licence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S10 Loss of Licence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Production indemnity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S11 Production Indemnity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S5 Multimedia &amp; Producers Indemnity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Production indemnity – All risks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Media liability / PI / E&amp;O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S12 Media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S8 Professional Indemnity/E&amp;O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PI – Media; PI – Events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Legal expenses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S13 Commercial Legal Expenses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Management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S14 Management Liability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  <w:tr>
        <w:tc>
          <w:tcPr>
            <w:tcW w:type="dxa" w:w="2268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Cyber liability (standalone)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S15 CyberGuard</w:t>
            </w:r>
          </w:p>
        </w:tc>
        <w:tc>
          <w:tcPr>
            <w:tcW w:type="dxa" w:w="2155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04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Computer breakdown (first-party)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  <w:shd w:val="clear" w:color="auto" w:fill="F4F7F9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Excluded (3.7)</w:t>
            </w:r>
          </w:p>
        </w:tc>
      </w:tr>
      <w:tr>
        <w:tc>
          <w:tcPr>
            <w:tcW w:type="dxa" w:w="2268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/>
                <w:i w:val="0"/>
                <w:color w:val="00648B"/>
                <w:sz w:val="15"/>
              </w:rPr>
              <w:t>Personal accident / travel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2155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S9 PA &amp; Business Travel</w:t>
            </w:r>
          </w:p>
        </w:tc>
        <w:tc>
          <w:tcPr>
            <w:tcW w:type="dxa" w:w="204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PA assault (Money/PA)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Referenced – review</w:t>
            </w:r>
          </w:p>
        </w:tc>
        <w:tc>
          <w:tcPr>
            <w:tcW w:type="dxa" w:w="1871"/>
          </w:tcPr>
          <w:p>
            <w:pPr>
              <w:spacing w:after="20" w:before="0"/>
            </w:pPr>
            <w:r/>
            <w:r>
              <w:rPr>
                <w:rFonts w:ascii="Lato" w:hAnsi="Lato" w:cs="Lato"/>
                <w:b w:val="0"/>
                <w:i w:val="0"/>
                <w:color w:val="2B2F33"/>
                <w:sz w:val="15"/>
              </w:rPr>
              <w:t>—</w:t>
            </w:r>
          </w:p>
        </w:tc>
      </w:tr>
    </w:tbl>
    <w:p>
      <w:pPr>
        <w:spacing w:after="120"/>
      </w:pPr>
    </w:p>
    <w:p>
      <w:pPr>
        <w:spacing w:after="80" w:before="0"/>
      </w:pPr>
      <w:r>
        <w:rPr>
          <w:rFonts w:ascii="Lato" w:hAnsi="Lato" w:cs="Lato"/>
          <w:b w:val="0"/>
          <w:i/>
          <w:color w:val="6C7378"/>
          <w:sz w:val="17"/>
        </w:rPr>
        <w:t>End of Full Coverage Comparison. A companion document — TMHCC Gap-Fill / Wording Enhancement Strategy — sets out the recommended enhancements arising from this comparison.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Lato" w:hAnsi="Lato" w:cs="Lato"/>
        <w:b w:val="0"/>
        <w:i/>
        <w:color w:val="AEB4B8"/>
        <w:sz w:val="13"/>
      </w:rPr>
      <w:t>Indicative wording comparison — broking reference only. Refer to the full policy wordings. Subject to TMHCC legal/underwriting sign-off.</w:t>
    </w:r>
  </w:p>
  <w:p>
    <w:pPr>
      <w:jc w:val="center"/>
    </w:pPr>
    <w:r>
      <w:rPr>
        <w:rFonts w:ascii="Lato" w:hAnsi="Lato" w:cs="Lato"/>
        <w:b w:val="0"/>
        <w:i w:val="0"/>
        <w:color w:val="6C7378"/>
        <w:sz w:val="15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ayout w:type="fixed"/>
      <w:tblLook w:firstColumn="1" w:firstRow="1" w:lastColumn="0" w:lastRow="0" w:noHBand="0" w:noVBand="1" w:val="04A0"/>
      <w:tblW w:type="pct" w:w="5000"/>
      <w:tblLayout w:type="fixed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7569"/>
      <w:gridCol w:w="7569"/>
    </w:tblGrid>
    <w:tr>
      <w:tc>
        <w:tcPr>
          <w:tcW w:type="dxa" w:w="11202"/>
          <w:vAlign w:val="center"/>
        </w:tcPr>
        <w:p>
          <w:pPr>
            <w:spacing w:after="0"/>
          </w:pPr>
          <w:r>
            <w:rPr>
              <w:rFonts w:ascii="Lato" w:hAnsi="Lato" w:cs="Lato"/>
              <w:b/>
              <w:i w:val="0"/>
              <w:color w:val="6C7378"/>
              <w:sz w:val="16"/>
            </w:rPr>
            <w:t>TMHCC Media &amp; Entertainment</w:t>
          </w:r>
        </w:p>
      </w:tc>
      <w:tc>
        <w:tcPr>
          <w:tcW w:type="dxa" w:w="3936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29906" cy="30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mhcc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9906" cy="30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Lato" w:hAnsi="Lato" w:cs="Lato"/>
      <w:color w:val="2B2F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