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582188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hcc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188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0"/>
      </w:pPr>
    </w:p>
    <w:p>
      <w:pPr>
        <w:spacing w:after="40"/>
      </w:pPr>
      <w:r>
        <w:rPr>
          <w:rFonts w:ascii="Lato" w:hAnsi="Lato" w:cs="Lato"/>
          <w:b/>
          <w:i w:val="0"/>
          <w:color w:val="B88A3C"/>
          <w:sz w:val="22"/>
          <w:caps w:val="true"/>
        </w:rPr>
        <w:t>Wording Enhancement — Media &amp; Entertainment</w:t>
      </w:r>
    </w:p>
    <w:p>
      <w:pPr>
        <w:spacing w:after="80"/>
        <w:pBdr>
          <w:bottom w:val="single" w:sz="14" w:space="2" w:color="B88A3C"/>
        </w:pBdr>
      </w:pPr>
      <w:r>
        <w:rPr>
          <w:rFonts w:ascii="Lato" w:hAnsi="Lato" w:cs="Lato"/>
          <w:b/>
          <w:i w:val="0"/>
          <w:color w:val="00648B"/>
          <w:sz w:val="60"/>
        </w:rPr>
        <w:t>TMHCC Gap-Fill &amp;</w:t>
        <w:br/>
        <w:t>Wording Enhancement Strategy</w:t>
      </w:r>
    </w:p>
    <w:p>
      <w:pPr>
        <w:spacing w:after="280" w:before="120"/>
      </w:pPr>
      <w:r>
        <w:rPr>
          <w:rFonts w:ascii="Lato" w:hAnsi="Lato" w:cs="Lato"/>
          <w:b w:val="0"/>
          <w:i w:val="0"/>
          <w:color w:val="2B2F33"/>
          <w:sz w:val="26"/>
        </w:rPr>
        <w:t>Strategic, action-focused recommendations to make the TMHCC Media &amp; Music Combined base wording more holistic, clearer and demonstrably market-leading.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Wordings reviewed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Benchmarked against all five competitor wordings: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Tysers (Zurich), Yutree (AXA), Liberty, Allianz and AXA XL (XL Catlin) — now incorporated</w:t>
      </w:r>
    </w:p>
    <w:p>
      <w:pPr>
        <w:spacing w:after="200"/>
      </w:pPr>
    </w:p>
    <w:p>
      <w:pPr>
        <w:spacing w:after="60" w:before="0"/>
      </w:pPr>
      <w:r>
        <w:rPr>
          <w:rFonts w:ascii="Lato" w:hAnsi="Lato" w:cs="Lato"/>
          <w:b w:val="0"/>
          <w:i/>
          <w:color w:val="6C7378"/>
          <w:sz w:val="17"/>
        </w:rPr>
        <w:t>Companion to the Full Coverage Comparison. Every recommendation is evidence-based — supported by at least one competitor wording.</w:t>
      </w:r>
    </w:p>
    <w:p>
      <w:pPr>
        <w:spacing w:after="60" w:before="0"/>
      </w:pPr>
      <w:r>
        <w:rPr>
          <w:rFonts w:ascii="Lato" w:hAnsi="Lato" w:cs="Lato"/>
          <w:b w:val="0"/>
          <w:i/>
          <w:color w:val="6C7378"/>
          <w:sz w:val="17"/>
        </w:rPr>
        <w:t>Recommendations are commercial proposals only and are subject to final TMHCC legal / underwriting sign-off.</w:t>
      </w: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1  </w:t>
      </w:r>
      <w:r>
        <w:rPr>
          <w:rFonts w:ascii="Lato" w:hAnsi="Lato" w:cs="Lato"/>
          <w:b/>
          <w:i w:val="0"/>
          <w:color w:val="00648B"/>
          <w:sz w:val="30"/>
        </w:rPr>
        <w:t>Executive summary</w:t>
      </w:r>
    </w:p>
    <w:p>
      <w:pPr>
        <w:spacing w:after="80" w:before="0"/>
        <w:jc w:val="both"/>
      </w:pPr>
      <w:r>
        <w:rPr>
          <w:rFonts w:ascii="Lato" w:hAnsi="Lato" w:cs="Lato"/>
          <w:b w:val="0"/>
          <w:i w:val="0"/>
          <w:color w:val="2B2F33"/>
          <w:sz w:val="19"/>
        </w:rPr>
        <w:t>The Full Coverage Comparison confirms that TMHCC already offers the broadest media &amp; entertainment package in the peer group — the only wording with all fifteen sections, and the only one with Loss of Licence, Legal Expenses, Management Liability and a genuine standalone Cyber section. The purpose of this document is not to broaden recklessly, but to close the small number of places where a competitor genuinely shows more, so that TMHCC can present a tick on virtually every comparison row.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What moves the needle most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1.  </w:t>
      </w:r>
      <w:r>
        <w:rPr>
          <w:rFonts w:ascii="Lato" w:hAnsi="Lato" w:cs="Lato"/>
          <w:b w:val="0"/>
          <w:i w:val="0"/>
          <w:color w:val="2B2F33"/>
          <w:sz w:val="19"/>
        </w:rPr>
        <w:t>Add a Personal Accident &amp; Business Travel option — the only whole section two competitors offer that TMHCC does not.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2.  </w:t>
      </w:r>
      <w:r>
        <w:rPr>
          <w:rFonts w:ascii="Lato" w:hAnsi="Lato" w:cs="Lato"/>
          <w:b w:val="0"/>
          <w:i w:val="0"/>
          <w:color w:val="2B2F33"/>
          <w:sz w:val="19"/>
        </w:rPr>
        <w:t>Offer a rated worldwide / US-Canada territory option for Media Liability — Tysers PI is worldwide.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3.  </w:t>
      </w:r>
      <w:r>
        <w:rPr>
          <w:rFonts w:ascii="Lato" w:hAnsi="Lato" w:cs="Lato"/>
          <w:b w:val="0"/>
          <w:i w:val="0"/>
          <w:color w:val="2B2F33"/>
          <w:sz w:val="19"/>
        </w:rPr>
        <w:t>Add a Distributors &amp; Purchasers extension and journalistic source-protection costs to Media Liability (both Tysers).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4.  </w:t>
      </w:r>
      <w:r>
        <w:rPr>
          <w:rFonts w:ascii="Lato" w:hAnsi="Lato" w:cs="Lato"/>
          <w:b w:val="0"/>
          <w:i w:val="0"/>
          <w:color w:val="2B2F33"/>
          <w:sz w:val="19"/>
        </w:rPr>
        <w:t>Clarify where criminal / regulatory defence costs live (S12 vs S13/S14) — a near nil-cost fix that removes an apparent gap.</w:t>
      </w:r>
    </w:p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EAF1F5"/>
            <w:tcBorders>
              <w:top w:val="single" w:sz="4" w:space="0" w:color="00648B"/>
              <w:left w:val="single" w:sz="22" w:space="0" w:color="00648B"/>
              <w:bottom w:val="single" w:sz="4" w:space="0" w:color="00648B"/>
              <w:right w:val="single" w:sz="4" w:space="0" w:color="00648B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9"/>
              </w:rPr>
              <w:t xml:space="preserve">Discipline retained: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TMHCC should KEEP its more restrictive positions on patents, communicable disease and default US/Canada jurisdiction. These are deliberate, defensible underwriting choices, not gaps — the worldwide/US-Canada exposure is best offered as a rated option rather than given away.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2  </w:t>
      </w:r>
      <w:r>
        <w:rPr>
          <w:rFonts w:ascii="Lato" w:hAnsi="Lato" w:cs="Lato"/>
          <w:b/>
          <w:i w:val="0"/>
          <w:color w:val="00648B"/>
          <w:sz w:val="30"/>
        </w:rPr>
        <w:t>Strategic objective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9"/>
        </w:rPr>
        <w:t>To evolve the TMHCC base wording from ‘already the broadest’ to ‘demonstrably market-leading on every row’ — by: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filling the few genuine coverage gaps a competitor exposes;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adding targeted exclusion write-backs where they are commercially useful and underwriting-acceptable;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sharpening definitions and conditions for clarity; and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doing all of the above without diluting TMHCC’s disciplined risk selection or its protective claims architecture.</w:t>
      </w:r>
    </w:p>
    <w:p>
      <w:pPr>
        <w:spacing w:after="80" w:before="80"/>
      </w:pPr>
      <w:r>
        <w:rPr>
          <w:rFonts w:ascii="Lato" w:hAnsi="Lato" w:cs="Lato"/>
          <w:b w:val="0"/>
          <w:i w:val="0"/>
          <w:color w:val="2B2F33"/>
          <w:sz w:val="19"/>
        </w:rPr>
        <w:t>Each recommendation below states the competitor evidence, the current TMHCC position, the proposed action and the underwriting/claims impact, with a priority rating.</w:t>
      </w: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3  </w:t>
      </w:r>
      <w:r>
        <w:rPr>
          <w:rFonts w:ascii="Lato" w:hAnsi="Lato" w:cs="Lato"/>
          <w:b/>
          <w:i w:val="0"/>
          <w:color w:val="00648B"/>
          <w:sz w:val="30"/>
        </w:rPr>
        <w:t>Priority gap-fill recommendations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9"/>
        </w:rPr>
        <w:t>All recommendations at a glance, ordered by priority.</w:t>
      </w:r>
    </w:p>
    <w:tbl>
      <w:tblPr>
        <w:tblW w:type="dxa" w:w="10093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454"/>
        <w:gridCol w:w="3912"/>
        <w:gridCol w:w="2381"/>
        <w:gridCol w:w="1871"/>
        <w:gridCol w:w="1474"/>
      </w:tblGrid>
      <w:tr>
        <w:tc>
          <w:tcPr>
            <w:tcW w:type="dxa" w:w="45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391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Recommendation</w:t>
            </w:r>
          </w:p>
        </w:tc>
        <w:tc>
          <w:tcPr>
            <w:tcW w:type="dxa" w:w="238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Evidence (competitor)</w:t>
            </w:r>
          </w:p>
        </w:tc>
        <w:tc>
          <w:tcPr>
            <w:tcW w:type="dxa" w:w="187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Action type</w:t>
            </w:r>
          </w:p>
        </w:tc>
        <w:tc>
          <w:tcPr>
            <w:tcW w:type="dxa" w:w="147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454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1</w:t>
            </w:r>
          </w:p>
        </w:tc>
        <w:tc>
          <w:tcPr>
            <w:tcW w:type="dxa" w:w="391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2B2F33"/>
                <w:sz w:val="16"/>
              </w:rPr>
              <w:t>Add a Personal Accident &amp; Business Travel extension/section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(extensive); Yutree (PA assault)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Add section/extension</w:t>
            </w:r>
          </w:p>
        </w:tc>
        <w:tc>
          <w:tcPr>
            <w:tcW w:type="dxa" w:w="1474"/>
            <w:shd w:val="clear" w:color="auto" w:fill="FBE6EA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2</w:t>
            </w:r>
          </w:p>
        </w:tc>
        <w:tc>
          <w:tcPr>
            <w:tcW w:type="dxa" w:w="391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2B2F33"/>
                <w:sz w:val="16"/>
              </w:rPr>
              <w:t>Offer a worldwide / US-Canada territory option for Media Liability</w:t>
            </w:r>
          </w:p>
        </w:tc>
        <w:tc>
          <w:tcPr>
            <w:tcW w:type="dxa" w:w="238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(PI worldwide)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Add rated option</w:t>
            </w:r>
          </w:p>
        </w:tc>
        <w:tc>
          <w:tcPr>
            <w:tcW w:type="dxa" w:w="1474"/>
            <w:shd w:val="clear" w:color="auto" w:fill="FBE6EA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>High</w:t>
            </w:r>
          </w:p>
        </w:tc>
      </w:tr>
      <w:tr>
        <w:tc>
          <w:tcPr>
            <w:tcW w:type="dxa" w:w="454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3</w:t>
            </w:r>
          </w:p>
        </w:tc>
        <w:tc>
          <w:tcPr>
            <w:tcW w:type="dxa" w:w="391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2B2F33"/>
                <w:sz w:val="16"/>
              </w:rPr>
              <w:t>Broaden criminal / regulatory defence-costs in Media Liability (or signpost S13/S14)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(statutory defence GBP 1m); Yutree (criminal prosecution defence GBP 250k)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Clarify / cross-ref</w:t>
            </w:r>
          </w:p>
        </w:tc>
        <w:tc>
          <w:tcPr>
            <w:tcW w:type="dxa" w:w="1474"/>
            <w:shd w:val="clear" w:color="auto" w:fill="FBE6EA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>Medium-High</w:t>
            </w:r>
          </w:p>
        </w:tc>
      </w:tr>
      <w:tr>
        <w:tc>
          <w:tcPr>
            <w:tcW w:type="dxa" w:w="454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4</w:t>
            </w:r>
          </w:p>
        </w:tc>
        <w:tc>
          <w:tcPr>
            <w:tcW w:type="dxa" w:w="391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2B2F33"/>
                <w:sz w:val="16"/>
              </w:rPr>
              <w:t>Add a Distributors &amp; Purchasers extension to Media Liability</w:t>
            </w:r>
          </w:p>
        </w:tc>
        <w:tc>
          <w:tcPr>
            <w:tcW w:type="dxa" w:w="238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(clause 8.7, up to 5x limit)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Add extension</w:t>
            </w:r>
          </w:p>
        </w:tc>
        <w:tc>
          <w:tcPr>
            <w:tcW w:type="dxa" w:w="1474"/>
            <w:shd w:val="clear" w:color="auto" w:fill="FBF1DA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6"/>
              </w:rPr>
              <w:t>Medium</w:t>
            </w:r>
          </w:p>
        </w:tc>
      </w:tr>
      <w:tr>
        <w:tc>
          <w:tcPr>
            <w:tcW w:type="dxa" w:w="454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5</w:t>
            </w:r>
          </w:p>
        </w:tc>
        <w:tc>
          <w:tcPr>
            <w:tcW w:type="dxa" w:w="391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2B2F33"/>
                <w:sz w:val="16"/>
              </w:rPr>
              <w:t>Add journalistic source-protection costs to Media Liability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(clause 8.13)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Add extension</w:t>
            </w:r>
          </w:p>
        </w:tc>
        <w:tc>
          <w:tcPr>
            <w:tcW w:type="dxa" w:w="1474"/>
            <w:shd w:val="clear" w:color="auto" w:fill="FBF1DA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6</w:t>
            </w:r>
          </w:p>
        </w:tc>
        <w:tc>
          <w:tcPr>
            <w:tcW w:type="dxa" w:w="391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2B2F33"/>
                <w:sz w:val="16"/>
              </w:rPr>
              <w:t>Add representation costs at investigations/inquiries to Media Liability</w:t>
            </w:r>
          </w:p>
        </w:tc>
        <w:tc>
          <w:tcPr>
            <w:tcW w:type="dxa" w:w="238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(clause 8.15, GBP 25k)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Add extension</w:t>
            </w:r>
          </w:p>
        </w:tc>
        <w:tc>
          <w:tcPr>
            <w:tcW w:type="dxa" w:w="1474"/>
            <w:shd w:val="clear" w:color="auto" w:fill="FBF1DA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6"/>
              </w:rPr>
              <w:t>Medium</w:t>
            </w:r>
          </w:p>
        </w:tc>
      </w:tr>
      <w:tr>
        <w:tc>
          <w:tcPr>
            <w:tcW w:type="dxa" w:w="454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7</w:t>
            </w:r>
          </w:p>
        </w:tc>
        <w:tc>
          <w:tcPr>
            <w:tcW w:type="dxa" w:w="391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2B2F33"/>
                <w:sz w:val="16"/>
              </w:rPr>
              <w:t>Consider a limited asbestos / pollution professional-duty write-back in PI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(asbestos professional-duty write-back, GBP 1m, ex-BI); Yutree (pollution write-back for own negligence)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Add write-back</w:t>
            </w:r>
          </w:p>
        </w:tc>
        <w:tc>
          <w:tcPr>
            <w:tcW w:type="dxa" w:w="1474"/>
            <w:shd w:val="clear" w:color="auto" w:fill="FBF1DA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8</w:t>
            </w:r>
          </w:p>
        </w:tc>
        <w:tc>
          <w:tcPr>
            <w:tcW w:type="dxa" w:w="391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2B2F33"/>
                <w:sz w:val="16"/>
              </w:rPr>
              <w:t>Make Increased Cost of Working / Book Debts explicit in BI</w:t>
            </w:r>
          </w:p>
        </w:tc>
        <w:tc>
          <w:tcPr>
            <w:tcW w:type="dxa" w:w="238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Allianz (ICOW; Book Debts)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Clarify wording</w:t>
            </w:r>
          </w:p>
        </w:tc>
        <w:tc>
          <w:tcPr>
            <w:tcW w:type="dxa" w:w="1474"/>
            <w:shd w:val="clear" w:color="auto" w:fill="FBF1DA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6"/>
              </w:rPr>
              <w:t>Medium</w:t>
            </w:r>
          </w:p>
        </w:tc>
      </w:tr>
      <w:tr>
        <w:tc>
          <w:tcPr>
            <w:tcW w:type="dxa" w:w="454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9</w:t>
            </w:r>
          </w:p>
        </w:tc>
        <w:tc>
          <w:tcPr>
            <w:tcW w:type="dxa" w:w="391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2B2F33"/>
                <w:sz w:val="16"/>
              </w:rPr>
              <w:t>Adopt a King’s Counsel dispute-resolution clause in Media Liability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Yutree (KC clause)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Amend condition</w:t>
            </w:r>
          </w:p>
        </w:tc>
        <w:tc>
          <w:tcPr>
            <w:tcW w:type="dxa" w:w="1474"/>
            <w:shd w:val="clear" w:color="auto" w:fill="EEF1F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>Low-Medium</w:t>
            </w:r>
          </w:p>
        </w:tc>
      </w:tr>
      <w:tr>
        <w:tc>
          <w:tcPr>
            <w:tcW w:type="dxa" w:w="454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10</w:t>
            </w:r>
          </w:p>
        </w:tc>
        <w:tc>
          <w:tcPr>
            <w:tcW w:type="dxa" w:w="391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2B2F33"/>
                <w:sz w:val="16"/>
              </w:rPr>
              <w:t>Confirm/clarify computer-breakdown cover within S1/S2</w:t>
            </w:r>
          </w:p>
        </w:tc>
        <w:tc>
          <w:tcPr>
            <w:tcW w:type="dxa" w:w="238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Yutree (standalone Computer Breakdown section)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Clarify wording</w:t>
            </w:r>
          </w:p>
        </w:tc>
        <w:tc>
          <w:tcPr>
            <w:tcW w:type="dxa" w:w="1474"/>
            <w:shd w:val="clear" w:color="auto" w:fill="EEF1F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>Low-Medium</w:t>
            </w:r>
          </w:p>
        </w:tc>
      </w:tr>
      <w:tr>
        <w:tc>
          <w:tcPr>
            <w:tcW w:type="dxa" w:w="454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11</w:t>
            </w:r>
          </w:p>
        </w:tc>
        <w:tc>
          <w:tcPr>
            <w:tcW w:type="dxa" w:w="391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2B2F33"/>
                <w:sz w:val="16"/>
              </w:rPr>
              <w:t>Add a defined term for ‘Media Material’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(defines Media Material)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Amend definition</w:t>
            </w:r>
          </w:p>
        </w:tc>
        <w:tc>
          <w:tcPr>
            <w:tcW w:type="dxa" w:w="1474"/>
            <w:shd w:val="clear" w:color="auto" w:fill="EEF1F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12</w:t>
            </w:r>
          </w:p>
        </w:tc>
        <w:tc>
          <w:tcPr>
            <w:tcW w:type="dxa" w:w="391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2B2F33"/>
                <w:sz w:val="16"/>
              </w:rPr>
              <w:t>LEAVE UNCHANGED — patents, communicable disease and default US/Canada exclusion</w:t>
            </w:r>
          </w:p>
        </w:tc>
        <w:tc>
          <w:tcPr>
            <w:tcW w:type="dxa" w:w="238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(patents, worldwide); AXA XL (supports restriction)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Leave unchanged</w:t>
            </w:r>
          </w:p>
        </w:tc>
        <w:tc>
          <w:tcPr>
            <w:tcW w:type="dxa" w:w="1474"/>
            <w:shd w:val="clear" w:color="auto" w:fill="EEF1F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>Low</w:t>
            </w:r>
          </w:p>
        </w:tc>
      </w:tr>
    </w:tbl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4  </w:t>
      </w:r>
      <w:r>
        <w:rPr>
          <w:rFonts w:ascii="Lato" w:hAnsi="Lato" w:cs="Lato"/>
          <w:b/>
          <w:i w:val="0"/>
          <w:color w:val="00648B"/>
          <w:sz w:val="30"/>
        </w:rPr>
        <w:t>Coverage gaps to consider filling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9"/>
        </w:rPr>
        <w:t>Detailed recommendation cards, in priority order.</w:t>
      </w: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1.  Add a Personal Accident &amp; Business Travel extension/section</w:t>
      </w:r>
      <w:r>
        <w:rPr>
          <w:rFonts w:ascii="Lato" w:hAnsi="Lato" w:cs="Lato"/>
          <w:b/>
          <w:i w:val="0"/>
          <w:color w:val="A4233B"/>
          <w:sz w:val="18"/>
        </w:rPr>
        <w:t xml:space="preserve">   [ Priority: High ]</w:t>
      </w:r>
    </w:p>
    <w:tbl>
      <w:tblPr>
        <w:tblW w:type="dxa" w:w="9866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Competitor(s)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Tysers (extensive); Yutree (PA assault)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What the competitor does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Tysers provides a full personal-accident and business-travel section (directors/employees/visitors, family travel, assault); Yutree covers personal-accident assault.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Current TMHCC position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No standalone PA / business-travel section within the 15-section structure.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Gap / opportunity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Entertainment clients (crew, artists, touring personnel) routinely expect PA/business-travel; its absence is visible on a section-by-section comparison.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Proposed TMHCC action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Add new optional extension/section (PA &amp; Business Travel) — capacity-permitting.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Commercial benefit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Closes a whole-section gap; lets TMHCC show a tick on a row two competitors win.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Broker / client benefit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Brokers can place crew/touring PA within the same contract.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Underwriting risk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Medium — PA/travel is well-understood; control via benefit schedule, age limits, hazardous-activity carve-outs.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Claims risk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Low–medium; defined benefits cap exposure.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Legal / underwriting review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Confirm capacity/appetite for PA &amp; travel; draft benefit schedule and assault definition.</w:t>
            </w:r>
          </w:p>
        </w:tc>
      </w:tr>
    </w:tbl>
    <w:p>
      <w:pPr>
        <w:spacing w:after="16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2.  Offer a worldwide / US-Canada territory option for Media Liability</w:t>
      </w:r>
      <w:r>
        <w:rPr>
          <w:rFonts w:ascii="Lato" w:hAnsi="Lato" w:cs="Lato"/>
          <w:b/>
          <w:i w:val="0"/>
          <w:color w:val="A4233B"/>
          <w:sz w:val="18"/>
        </w:rPr>
        <w:t xml:space="preserve">   [ Priority: High ]</w:t>
      </w:r>
    </w:p>
    <w:tbl>
      <w:tblPr>
        <w:tblW w:type="dxa" w:w="9866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Competitor(s)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Tysers (PI worldwide)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What the competitor does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Tysers PI/E&amp;O applies worldwide with no jurisdiction exclusion.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Current TMHCC position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S12 limited to Schedule Geographical Limits; excludes actions brought/governed outside the stated Jurisdiction (default ex-US/Canada).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Gap / opportunity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Media clients with global digital distribution can be exposed to US/Canada actions; TMHCC’s default looks narrower on the matrix.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Proposed TMHCC action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Add an optional worldwide (incl. or excl. US/Canada) write-back to the Geographical Limits / Legal Action exclusion, rated accordingly.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Commercial benefit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Converts a ‘partial’ to a ‘covered’ for global clients without changing the default risk appetite.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Broker / client benefit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Brokers can quote global-distribution risks competitively.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Underwriting risk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High if US/Canada included — price/sub-limit/higher excess; keep ex-US/Canada as default.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Claims risk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Higher in US/Canada (costs, punitive). Control via defence-cost caps and consent.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Legal / underwriting review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Draft optional endorsement; confirm reinsurance treaty territory.</w:t>
            </w:r>
          </w:p>
        </w:tc>
      </w:tr>
    </w:tbl>
    <w:p>
      <w:pPr>
        <w:spacing w:after="16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3.  Broaden criminal / regulatory defence-costs in Media Liability (or signpost S13/S14)</w:t>
      </w:r>
      <w:r>
        <w:rPr>
          <w:rFonts w:ascii="Lato" w:hAnsi="Lato" w:cs="Lato"/>
          <w:b/>
          <w:i w:val="0"/>
          <w:color w:val="A4233B"/>
          <w:sz w:val="18"/>
        </w:rPr>
        <w:t xml:space="preserve">   [ Priority: Medium-High ]</w:t>
      </w:r>
    </w:p>
    <w:tbl>
      <w:tblPr>
        <w:tblW w:type="dxa" w:w="9866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Competitor(s)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Tysers (statutory defence GBP 1m); Yutree (criminal prosecution defence GBP 250k)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What the competitor does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Fund defence of statutory/criminal proceedings (Bribery, Corporate Manslaughter, H&amp;S, CDM) arising from the business.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Current TMHCC position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S12 funds only Data-Protection defence costs (GBP 250k); broader criminal/regulatory defence sits in S13 Legal Expenses and S14 Management Liability.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Gap / opportunity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On a section-by-section read of S12 alone, TMHCC looks narrower.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Proposed TMHCC action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Either add a modest criminal/regulatory defence-costs extension to S12, or add an express cross-reference noting that statutory/criminal defence is provided under S13/S14.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Commercial benefit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Removes an apparent gap with minimal added exposure.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Broker / client benefit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Clarifies where the criminal-defence cover lives.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Underwriting risk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Low–medium — a clarifying cross-reference is essentially nil-cost.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Claims risk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Low.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Legal / underwriting review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Confirm S13/S14 triggers; draft cross-reference wording.</w:t>
            </w:r>
          </w:p>
        </w:tc>
      </w:tr>
    </w:tbl>
    <w:p>
      <w:pPr>
        <w:spacing w:after="16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4.  Add a Distributors &amp; Purchasers extension to Media Liability</w:t>
      </w:r>
      <w:r>
        <w:rPr>
          <w:rFonts w:ascii="Lato" w:hAnsi="Lato" w:cs="Lato"/>
          <w:b/>
          <w:i w:val="0"/>
          <w:color w:val="8A6A1E"/>
          <w:sz w:val="18"/>
        </w:rPr>
        <w:t xml:space="preserve">   [ Priority: Medium ]</w:t>
      </w:r>
    </w:p>
    <w:tbl>
      <w:tblPr>
        <w:tblW w:type="dxa" w:w="9866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Competitor(s)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Tysers (clause 8.7, up to 5x limit)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What the competitor does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Extends indemnity to purchasers/co-producers/distributors of the insured’s media material, subject to control-of-defence and notice conditions.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Current TMHCC position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No equivalent extension.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Gap / opportunity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Production/distribution clients expect their distribution chain to be protected.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Proposed TMHCC action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Add an optional Distributors &amp; Purchasers extension with a capped aggregate (e.g. a multiple of the limit) and clear conditions.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Commercial benefit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Strong differentiator for production-house clients.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Broker / client benefit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Supports media clients that license/distribute content.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Underwriting risk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Medium — control via 36-month claim window, certificate, control-of-defence (mirror Tysers conditions).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Claims risk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Medium; aggregate multiple must be capped.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Legal / underwriting review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Draft extension; confirm acceptable aggregate multiple.</w:t>
            </w:r>
          </w:p>
        </w:tc>
      </w:tr>
    </w:tbl>
    <w:p>
      <w:pPr>
        <w:spacing w:after="16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5.  Add journalistic source-protection costs to Media Liability</w:t>
      </w:r>
      <w:r>
        <w:rPr>
          <w:rFonts w:ascii="Lato" w:hAnsi="Lato" w:cs="Lato"/>
          <w:b/>
          <w:i w:val="0"/>
          <w:color w:val="8A6A1E"/>
          <w:sz w:val="18"/>
        </w:rPr>
        <w:t xml:space="preserve">   [ Priority: Medium ]</w:t>
      </w:r>
    </w:p>
    <w:tbl>
      <w:tblPr>
        <w:tblW w:type="dxa" w:w="9866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Competitor(s)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Tysers (clause 8.13)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What the competitor does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Funds legal costs to challenge a subpoena/court order requiring disclosure of a source.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Current TMHCC position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Not provided.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Gap / opportunity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Broker-sensitive for editorial, news and publishing clients.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Proposed TMHCC action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Add a modest sub-limited source-protection costs extension (insurer consent; reasonable prospects test).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Commercial benefit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Distinctive, low-frequency, brand-positive cover.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Broker / client benefit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Differentiator for editorial/news clients.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Underwriting risk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Low — small sub-limit; consent and prospects-of-success conditions.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Claims risk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Low frequency.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Legal / underwriting review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Draft sub-limited extension.</w:t>
            </w:r>
          </w:p>
        </w:tc>
      </w:tr>
    </w:tbl>
    <w:p>
      <w:pPr>
        <w:spacing w:after="16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6.  Add representation costs at investigations/inquiries to Media Liability</w:t>
      </w:r>
      <w:r>
        <w:rPr>
          <w:rFonts w:ascii="Lato" w:hAnsi="Lato" w:cs="Lato"/>
          <w:b/>
          <w:i w:val="0"/>
          <w:color w:val="8A6A1E"/>
          <w:sz w:val="18"/>
        </w:rPr>
        <w:t xml:space="preserve">   [ Priority: Medium ]</w:t>
      </w:r>
    </w:p>
    <w:tbl>
      <w:tblPr>
        <w:tblW w:type="dxa" w:w="9866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Competitor(s)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Tysers (clause 8.15, GBP 25k)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What the competitor does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Funds representation at official examinations/inquiries that could give rise to a claim.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Current TMHCC position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Provided only via Data-Protection defence; otherwise absent.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Gap / opportunity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Regulators increasingly investigate content/advertising.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Proposed TMHCC action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Add a sub-limited representation-costs extension (e.g. GBP 25k).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Commercial benefit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Cheap, visible enhancement.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Broker / client benefit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Useful for advertising/marketing clients (ASA/CMA).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Underwriting risk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Low — small sub-limit.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Claims risk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Low.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Legal / underwriting review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Draft sub-limited extension; align with S13/S14.</w:t>
            </w:r>
          </w:p>
        </w:tc>
      </w:tr>
    </w:tbl>
    <w:p>
      <w:pPr>
        <w:spacing w:after="16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7.  Consider a limited asbestos / pollution professional-duty write-back in PI</w:t>
      </w:r>
      <w:r>
        <w:rPr>
          <w:rFonts w:ascii="Lato" w:hAnsi="Lato" w:cs="Lato"/>
          <w:b/>
          <w:i w:val="0"/>
          <w:color w:val="8A6A1E"/>
          <w:sz w:val="18"/>
        </w:rPr>
        <w:t xml:space="preserve">   [ Priority: Medium ]</w:t>
      </w:r>
    </w:p>
    <w:tbl>
      <w:tblPr>
        <w:tblW w:type="dxa" w:w="9866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Competitor(s)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Tysers (asbestos professional-duty write-back, GBP 1m, ex-BI); Yutree (pollution write-back for own negligence)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What the competitor does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Cover PI liability that arises purely from negligent professional advice touching asbestos/pollution — not the contamination itself.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Current TMHCC position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S12 excludes asbestos and pollution outright.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Gap / opportunity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Genuine E&amp;O exposures (e.g. negligent advice/specification) fall in the exclusion gap.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Proposed TMHCC action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Consider a narrow, sub-limited write-back limited to negligent advice, expressly excluding bodily injury and the contamination itself.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Commercial benefit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Closes a defensible E&amp;O gap without taking environmental risk.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Broker / client benefit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Helpful for consultancy/advisory media clients.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Underwriting risk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Medium — ring-fence to negligent advice; exclude BI and clean-up.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Claims risk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Medium; cap tightly.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Legal / underwriting review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Careful drafting essential — keep BI and contamination excluded.</w:t>
            </w:r>
          </w:p>
        </w:tc>
      </w:tr>
    </w:tbl>
    <w:p>
      <w:pPr>
        <w:spacing w:after="16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8.  Make Increased Cost of Working / Book Debts explicit in BI</w:t>
      </w:r>
      <w:r>
        <w:rPr>
          <w:rFonts w:ascii="Lato" w:hAnsi="Lato" w:cs="Lato"/>
          <w:b/>
          <w:i w:val="0"/>
          <w:color w:val="8A6A1E"/>
          <w:sz w:val="18"/>
        </w:rPr>
        <w:t xml:space="preserve">   [ Priority: Medium ]</w:t>
      </w:r>
    </w:p>
    <w:tbl>
      <w:tblPr>
        <w:tblW w:type="dxa" w:w="9866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Competitor(s)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Allianz (ICOW; Book Debts)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What the competitor does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Presents ICOW/AICOW and Book Debts as named, discrete cover heads (AXA XL also names Rent Receivable/Turnover).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Current TMHCC position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BI cover exists (S3) but ICOW/book-debts may be implicit.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Gap / opportunity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Presentational — competitors show more named BI heads.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Proposed TMHCC action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Confirm and, if needed, name ICOW/AICOW and book-debts heads expressly in S3.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Commercial benefit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Improves like-for-like BI presentation.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Broker / client benefit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Easier BI comparison at point of sale.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Underwriting risk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Low — clarification, not broadening (if already covered).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Claims risk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Neutral.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Legal / underwriting review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Confirm S3 scope; adjust headings only.</w:t>
            </w:r>
          </w:p>
        </w:tc>
      </w:tr>
    </w:tbl>
    <w:p>
      <w:pPr>
        <w:spacing w:after="16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9.  Adopt a King’s Counsel dispute-resolution clause in Media Liability</w:t>
      </w:r>
      <w:r>
        <w:rPr>
          <w:rFonts w:ascii="Lato" w:hAnsi="Lato" w:cs="Lato"/>
          <w:b/>
          <w:i w:val="0"/>
          <w:color w:val="5B6166"/>
          <w:sz w:val="18"/>
        </w:rPr>
        <w:t xml:space="preserve">   [ Priority: Low-Medium ]</w:t>
      </w:r>
    </w:p>
    <w:tbl>
      <w:tblPr>
        <w:tblW w:type="dxa" w:w="9866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Competitor(s)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Yutree (KC clause)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What the competitor does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On a defence/settlement dispute, the matter is referred to a mutually-agreed King’s Counsel whose view binds both parties.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Current TMHCC position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Relies on a general mediation/dispute condition.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Gap / opportunity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Drafting-clarity opportunity; reduces coverage friction.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Proposed TMHCC action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Add a KC-determination clause to S12 defence/settlement provisions.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Commercial benefit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Signals fair-claims handling.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Broker / client benefit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Reassures clients on defence disputes.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Underwriting risk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Low — procedural.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Claims risk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Reduces dispute cost.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Legal / underwriting review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Standard clause; confirm cost-allocation wording.</w:t>
            </w:r>
          </w:p>
        </w:tc>
      </w:tr>
    </w:tbl>
    <w:p>
      <w:pPr>
        <w:spacing w:after="16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10.  Confirm/clarify computer-breakdown cover within S1/S2</w:t>
      </w:r>
      <w:r>
        <w:rPr>
          <w:rFonts w:ascii="Lato" w:hAnsi="Lato" w:cs="Lato"/>
          <w:b/>
          <w:i w:val="0"/>
          <w:color w:val="5B6166"/>
          <w:sz w:val="18"/>
        </w:rPr>
        <w:t xml:space="preserve">   [ Priority: Low-Medium ]</w:t>
      </w:r>
    </w:p>
    <w:tbl>
      <w:tblPr>
        <w:tblW w:type="dxa" w:w="9866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Competitor(s)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Yutree (standalone Computer Breakdown section)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What the competitor does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Dedicated first-party computer-breakdown section.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Current TMHCC position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IT/breakdown consolidated within S1/S2 (per prior drafting).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Gap / opportunity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Presentational — a competitor shows a named breakdown section.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Proposed TMHCC action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Add an explicit ‘computer/IT breakdown’ sub-heading or signpost within S1/S2.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Commercial benefit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Removes a perceived gap.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Broker / client benefit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Clear answer to ‘is breakdown covered?’.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Underwriting risk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Low — clarification.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Claims risk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Neutral.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Legal / underwriting review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Confirm breakdown is within S1/S2; add signpost.</w:t>
            </w:r>
          </w:p>
        </w:tc>
      </w:tr>
    </w:tbl>
    <w:p>
      <w:pPr>
        <w:spacing w:after="16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11.  Add a defined term for ‘Media Material’</w:t>
      </w:r>
      <w:r>
        <w:rPr>
          <w:rFonts w:ascii="Lato" w:hAnsi="Lato" w:cs="Lato"/>
          <w:b/>
          <w:i w:val="0"/>
          <w:color w:val="5B6166"/>
          <w:sz w:val="18"/>
        </w:rPr>
        <w:t xml:space="preserve">   [ Priority: Low ]</w:t>
      </w:r>
    </w:p>
    <w:tbl>
      <w:tblPr>
        <w:tblW w:type="dxa" w:w="9866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Competitor(s)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Tysers (defines Media Material)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What the competitor does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Defines the subject-matter of cover precisely.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Current TMHCC position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Uses ‘data, text, sounds, images or similar content’ descriptively.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Gap / opportunity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Minor drafting-clarity opportunity.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Proposed TMHCC action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Consider adding a ‘Media Material’ (or ‘Content’) definition.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Commercial benefit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Sharper wording.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Broker / client benefit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Clearer scope.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Underwriting risk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Nil.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Claims risk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Reduces ambiguity.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Legal / underwriting review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Optional drafting polish.</w:t>
            </w:r>
          </w:p>
        </w:tc>
      </w:tr>
    </w:tbl>
    <w:p>
      <w:pPr>
        <w:spacing w:after="16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12.  LEAVE UNCHANGED — patents, communicable disease and default US/Canada exclusion</w:t>
      </w:r>
      <w:r>
        <w:rPr>
          <w:rFonts w:ascii="Lato" w:hAnsi="Lato" w:cs="Lato"/>
          <w:b/>
          <w:i w:val="0"/>
          <w:color w:val="5B6166"/>
          <w:sz w:val="18"/>
        </w:rPr>
        <w:t xml:space="preserve">   [ Priority: Low ]</w:t>
      </w:r>
    </w:p>
    <w:tbl>
      <w:tblPr>
        <w:tblW w:type="dxa" w:w="9866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Competitor(s)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Tysers (patents, worldwide); AXA XL (supports restriction)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What the competitor does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Tysers covers patents and is worldwide; AXA XL by contrast excludes terrorism and punitive damages ABSOLUTELY and carries a broad communicable-disease and cyber exclusion — evidencing that disciplined restrictions are market-normal.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Current TMHCC position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Excludes patents; carries a broad communicable-disease exclusion; default ex-US/Canada jurisdiction.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Gap / opportunity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These are deliberate, defensible restrictions — not true gaps.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Proposed TMHCC action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Leave unchanged (offer US/Canada only as a rated option per rec. 2).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Commercial benefit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Protects portfolio profitability and reinsurance terms.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Broker / client benefit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Explain as disciplined underwriting, not a deficiency.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Underwriting risk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Retaining these protects TMHCC — broadening would materially increase volatility.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Claims risk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Patents and pandemics are high-severity/systemic.</w:t>
            </w:r>
          </w:p>
        </w:tc>
      </w:tr>
      <w:tr>
        <w:tc>
          <w:tcPr>
            <w:tcW w:type="dxa" w:w="2381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Legal / underwriting review</w:t>
            </w:r>
          </w:p>
        </w:tc>
        <w:tc>
          <w:tcPr>
            <w:tcW w:type="dxa" w:w="74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No change recommended; document rationale.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5  </w:t>
      </w:r>
      <w:r>
        <w:rPr>
          <w:rFonts w:ascii="Lato" w:hAnsi="Lato" w:cs="Lato"/>
          <w:b/>
          <w:i w:val="0"/>
          <w:color w:val="00648B"/>
          <w:sz w:val="30"/>
        </w:rPr>
        <w:t>Exclusion write-backs to consider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9"/>
        </w:rPr>
        <w:t>Where a competitor narrows an exclusion or writes cover back, and whether TMHCC should follow. Exclusions are not softened lightly — each note states the underwriting view.</w:t>
      </w:r>
    </w:p>
    <w:tbl>
      <w:tblPr>
        <w:tblW w:type="dxa" w:w="10093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1758"/>
        <w:gridCol w:w="1247"/>
        <w:gridCol w:w="1871"/>
        <w:gridCol w:w="1814"/>
        <w:gridCol w:w="2268"/>
        <w:gridCol w:w="1134"/>
      </w:tblGrid>
      <w:tr>
        <w:tc>
          <w:tcPr>
            <w:tcW w:type="dxa" w:w="1757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Exclusion area</w:t>
            </w:r>
          </w:p>
        </w:tc>
        <w:tc>
          <w:tcPr>
            <w:tcW w:type="dxa" w:w="1247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Competitor</w:t>
            </w:r>
          </w:p>
        </w:tc>
        <w:tc>
          <w:tcPr>
            <w:tcW w:type="dxa" w:w="187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What they do</w:t>
            </w:r>
          </w:p>
        </w:tc>
        <w:tc>
          <w:tcPr>
            <w:tcW w:type="dxa" w:w="181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TMHCC position</w:t>
            </w:r>
          </w:p>
        </w:tc>
        <w:tc>
          <w:tcPr>
            <w:tcW w:type="dxa" w:w="226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Recommended TMHCC action</w:t>
            </w:r>
          </w:p>
        </w:tc>
        <w:tc>
          <w:tcPr>
            <w:tcW w:type="dxa" w:w="113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175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Asbestos (PI)</w:t>
            </w:r>
          </w:p>
        </w:tc>
        <w:tc>
          <w:tcPr>
            <w:tcW w:type="dxa" w:w="1247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Tysers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Professional-duty write-back (GBP 1m, ex-BI)</w:t>
            </w:r>
          </w:p>
        </w:tc>
        <w:tc>
          <w:tcPr>
            <w:tcW w:type="dxa" w:w="181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TMHCC excludes asbestos in PI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Consider narrow negligent-advice write-back (ex-BI, ex-contamination)</w:t>
            </w:r>
          </w:p>
        </w:tc>
        <w:tc>
          <w:tcPr>
            <w:tcW w:type="dxa" w:w="1134"/>
            <w:shd w:val="clear" w:color="auto" w:fill="FBF1DA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5"/>
              </w:rPr>
              <w:t>Medium</w:t>
            </w:r>
          </w:p>
        </w:tc>
      </w:tr>
      <w:tr>
        <w:tc>
          <w:tcPr>
            <w:tcW w:type="dxa" w:w="175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Pollution (PI)</w:t>
            </w:r>
          </w:p>
        </w:tc>
        <w:tc>
          <w:tcPr>
            <w:tcW w:type="dxa" w:w="1247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Yutree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Write-back for insured’s own negligent act/error/omission</w:t>
            </w:r>
          </w:p>
        </w:tc>
        <w:tc>
          <w:tcPr>
            <w:tcW w:type="dxa" w:w="181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TMHCC excludes pollution in PI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Consider narrow negligent-advice write-back</w:t>
            </w:r>
          </w:p>
        </w:tc>
        <w:tc>
          <w:tcPr>
            <w:tcW w:type="dxa" w:w="1134"/>
            <w:shd w:val="clear" w:color="auto" w:fill="FBF1DA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5"/>
              </w:rPr>
              <w:t>Medium</w:t>
            </w:r>
          </w:p>
        </w:tc>
      </w:tr>
      <w:tr>
        <w:tc>
          <w:tcPr>
            <w:tcW w:type="dxa" w:w="175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USA/Canada jurisdiction (PI)</w:t>
            </w:r>
          </w:p>
        </w:tc>
        <w:tc>
          <w:tcPr>
            <w:tcW w:type="dxa" w:w="1247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Tysers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No jurisdiction exclusion (worldwide)</w:t>
            </w:r>
          </w:p>
        </w:tc>
        <w:tc>
          <w:tcPr>
            <w:tcW w:type="dxa" w:w="181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TMHCC excludes actions outside Jurisdiction (default ex-US/Canada)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Offer rated worldwide/US-Canada option; keep default</w:t>
            </w:r>
          </w:p>
        </w:tc>
        <w:tc>
          <w:tcPr>
            <w:tcW w:type="dxa" w:w="1134"/>
            <w:shd w:val="clear" w:color="auto" w:fill="FBE6EA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5"/>
              </w:rPr>
              <w:t>High</w:t>
            </w:r>
          </w:p>
        </w:tc>
      </w:tr>
      <w:tr>
        <w:tc>
          <w:tcPr>
            <w:tcW w:type="dxa" w:w="175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Patent infringement (PI)</w:t>
            </w:r>
          </w:p>
        </w:tc>
        <w:tc>
          <w:tcPr>
            <w:tcW w:type="dxa" w:w="1247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Tysers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Patents covered within IP</w:t>
            </w:r>
          </w:p>
        </w:tc>
        <w:tc>
          <w:tcPr>
            <w:tcW w:type="dxa" w:w="181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TMHCC excludes patents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At most a limited defence-costs write-back; otherwise leave excluded</w:t>
            </w:r>
          </w:p>
        </w:tc>
        <w:tc>
          <w:tcPr>
            <w:tcW w:type="dxa" w:w="1134"/>
            <w:shd w:val="clear" w:color="auto" w:fill="EEF1F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5"/>
              </w:rPr>
              <w:t>Low</w:t>
            </w:r>
          </w:p>
        </w:tc>
      </w:tr>
      <w:tr>
        <w:tc>
          <w:tcPr>
            <w:tcW w:type="dxa" w:w="175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Cyber/data exclusion vs PI</w:t>
            </w:r>
          </w:p>
        </w:tc>
        <w:tc>
          <w:tcPr>
            <w:tcW w:type="dxa" w:w="1247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(TMHCC favourable)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Yutree strips cyber-related PI; AXA XL blanket cyber exclusion</w:t>
            </w:r>
          </w:p>
        </w:tc>
        <w:tc>
          <w:tcPr>
            <w:tcW w:type="dxa" w:w="181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TMHCC dis-applies cyber/date exclusion to S12–15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No change — retain as a TMHCC strength</w:t>
            </w:r>
          </w:p>
        </w:tc>
        <w:tc>
          <w:tcPr>
            <w:tcW w:type="dxa" w:w="1134"/>
            <w:shd w:val="clear" w:color="auto" w:fill="EEF1F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5"/>
              </w:rPr>
              <w:t>n/a</w:t>
            </w:r>
          </w:p>
        </w:tc>
      </w:tr>
      <w:tr>
        <w:tc>
          <w:tcPr>
            <w:tcW w:type="dxa" w:w="175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Fines/penalties (PI)</w:t>
            </w:r>
          </w:p>
        </w:tc>
        <w:tc>
          <w:tcPr>
            <w:tcW w:type="dxa" w:w="1247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(TMHCC favourable)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TMHCC writes back defamation awards &amp; permitted punitive; AXA XL excludes absolutely</w:t>
            </w:r>
          </w:p>
        </w:tc>
        <w:tc>
          <w:tcPr>
            <w:tcW w:type="dxa" w:w="181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TMHCC already favourable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No change — retain</w:t>
            </w:r>
          </w:p>
        </w:tc>
        <w:tc>
          <w:tcPr>
            <w:tcW w:type="dxa" w:w="1134"/>
            <w:shd w:val="clear" w:color="auto" w:fill="EEF1F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5"/>
              </w:rPr>
              <w:t>n/a</w:t>
            </w:r>
          </w:p>
        </w:tc>
      </w:tr>
    </w:tbl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EAF1F5"/>
            <w:tcBorders>
              <w:top w:val="single" w:sz="4" w:space="0" w:color="00648B"/>
              <w:left w:val="single" w:sz="22" w:space="0" w:color="00648B"/>
              <w:bottom w:val="single" w:sz="4" w:space="0" w:color="00648B"/>
              <w:right w:val="single" w:sz="4" w:space="0" w:color="00648B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9"/>
              </w:rPr>
              <w:t xml:space="preserve">Underwriting stance: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Adopt the asbestos and pollution write-backs ONLY in a narrow, sub-limited, negligent-advice form that keeps bodily injury and the contamination/clean-up itself excluded. Offer worldwide/US-Canada as a rated option. Do NOT write patents back beyond, at most, limited defence costs.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6  </w:t>
      </w:r>
      <w:r>
        <w:rPr>
          <w:rFonts w:ascii="Lato" w:hAnsi="Lato" w:cs="Lato"/>
          <w:b/>
          <w:i w:val="0"/>
          <w:color w:val="00648B"/>
          <w:sz w:val="30"/>
        </w:rPr>
        <w:t>Definitions to consider expanding or clarifying</w:t>
      </w:r>
    </w:p>
    <w:tbl>
      <w:tblPr>
        <w:tblW w:type="dxa" w:w="10093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1814"/>
        <w:gridCol w:w="2155"/>
        <w:gridCol w:w="2835"/>
        <w:gridCol w:w="1361"/>
      </w:tblGrid>
      <w:tr>
        <w:tc>
          <w:tcPr>
            <w:tcW w:type="dxa" w:w="192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Definition</w:t>
            </w:r>
          </w:p>
        </w:tc>
        <w:tc>
          <w:tcPr>
            <w:tcW w:type="dxa" w:w="181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Competitor benchmark</w:t>
            </w:r>
          </w:p>
        </w:tc>
        <w:tc>
          <w:tcPr>
            <w:tcW w:type="dxa" w:w="215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Current TMHCC</w:t>
            </w:r>
          </w:p>
        </w:tc>
        <w:tc>
          <w:tcPr>
            <w:tcW w:type="dxa" w:w="2835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Proposed clarification</w:t>
            </w:r>
          </w:p>
        </w:tc>
        <w:tc>
          <w:tcPr>
            <w:tcW w:type="dxa" w:w="136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192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‘Media Material’ / ‘Content’</w:t>
            </w:r>
          </w:p>
        </w:tc>
        <w:tc>
          <w:tcPr>
            <w:tcW w:type="dxa" w:w="181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Tysers defines ‘Media Material’</w:t>
            </w:r>
          </w:p>
        </w:tc>
        <w:tc>
          <w:tcPr>
            <w:tcW w:type="dxa" w:w="215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TMHCC uses ‘data, text, sounds, images or similar content’ descriptively.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Add a defined term to sharpen the subject-matter of S12 cover.</w:t>
            </w:r>
          </w:p>
        </w:tc>
        <w:tc>
          <w:tcPr>
            <w:tcW w:type="dxa" w:w="1361"/>
            <w:shd w:val="clear" w:color="auto" w:fill="EEF1F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5"/>
              </w:rPr>
              <w:t>Low</w:t>
            </w:r>
          </w:p>
        </w:tc>
      </w:tr>
      <w:tr>
        <w:tc>
          <w:tcPr>
            <w:tcW w:type="dxa" w:w="192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Territory — ‘Geographical Limits’ / ‘Jurisdiction’</w:t>
            </w:r>
          </w:p>
        </w:tc>
        <w:tc>
          <w:tcPr>
            <w:tcW w:type="dxa" w:w="181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Tysers (worldwide)</w:t>
            </w:r>
          </w:p>
        </w:tc>
        <w:tc>
          <w:tcPr>
            <w:tcW w:type="dxa" w:w="215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Default worldwide ex-US/Canada; Legal Action exclusion bars actions outside Jurisdiction.</w:t>
            </w:r>
          </w:p>
        </w:tc>
        <w:tc>
          <w:tcPr>
            <w:tcW w:type="dxa" w:w="283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Define a clear optional worldwide / incl.-US-Canada basis selectable in the Schedule.</w:t>
            </w:r>
          </w:p>
        </w:tc>
        <w:tc>
          <w:tcPr>
            <w:tcW w:type="dxa" w:w="1361"/>
            <w:shd w:val="clear" w:color="auto" w:fill="FBE6EA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5"/>
              </w:rPr>
              <w:t>High</w:t>
            </w:r>
          </w:p>
        </w:tc>
      </w:tr>
      <w:tr>
        <w:tc>
          <w:tcPr>
            <w:tcW w:type="dxa" w:w="192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‘Cyber act’ / ‘Computer System’ / ‘Virus’</w:t>
            </w:r>
          </w:p>
        </w:tc>
        <w:tc>
          <w:tcPr>
            <w:tcW w:type="dxa" w:w="181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Yutree defines ‘Cyber act’</w:t>
            </w:r>
          </w:p>
        </w:tc>
        <w:tc>
          <w:tcPr>
            <w:tcW w:type="dxa" w:w="215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TMHCC defines ‘Computer System’ and ‘Virus’ within S12 and operates a separate CyberGuard section.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Align S12 cyber definitions with the CyberGuard section to avoid overlap/ambiguity.</w:t>
            </w:r>
          </w:p>
        </w:tc>
        <w:tc>
          <w:tcPr>
            <w:tcW w:type="dxa" w:w="1361"/>
            <w:shd w:val="clear" w:color="auto" w:fill="FBF1DA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5"/>
              </w:rPr>
              <w:t>Medium</w:t>
            </w:r>
          </w:p>
        </w:tc>
      </w:tr>
      <w:tr>
        <w:tc>
          <w:tcPr>
            <w:tcW w:type="dxa" w:w="192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‘Employee’ / freelancers &amp; contractors</w:t>
            </w:r>
          </w:p>
        </w:tc>
        <w:tc>
          <w:tcPr>
            <w:tcW w:type="dxa" w:w="181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Tysers; Yutree (broad employee defs)</w:t>
            </w:r>
          </w:p>
        </w:tc>
        <w:tc>
          <w:tcPr>
            <w:tcW w:type="dxa" w:w="215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TMHCC S12 includes self-employed/freelance under direction &amp; control — already broad.</w:t>
            </w:r>
          </w:p>
        </w:tc>
        <w:tc>
          <w:tcPr>
            <w:tcW w:type="dxa" w:w="283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Confirm freelancers/loaned staff captured consistently across sections.</w:t>
            </w:r>
          </w:p>
        </w:tc>
        <w:tc>
          <w:tcPr>
            <w:tcW w:type="dxa" w:w="1361"/>
            <w:shd w:val="clear" w:color="auto" w:fill="EEF1F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5"/>
              </w:rPr>
              <w:t>Low</w:t>
            </w:r>
          </w:p>
        </w:tc>
      </w:tr>
    </w:tbl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7  </w:t>
      </w:r>
      <w:r>
        <w:rPr>
          <w:rFonts w:ascii="Lato" w:hAnsi="Lato" w:cs="Lato"/>
          <w:b/>
          <w:i w:val="0"/>
          <w:color w:val="00648B"/>
          <w:sz w:val="30"/>
        </w:rPr>
        <w:t>Conditions / claims obligations to consider improving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Adopt:  </w:t>
      </w:r>
      <w:r>
        <w:rPr>
          <w:rFonts w:ascii="Lato" w:hAnsi="Lato" w:cs="Lato"/>
          <w:b w:val="0"/>
          <w:i w:val="0"/>
          <w:color w:val="2B2F33"/>
          <w:sz w:val="19"/>
        </w:rPr>
        <w:t>Adopt a King’s Counsel dispute-resolution clause in S12 (as Yutree) to give clients certainty on defence/settlement disputes — procedural, low risk.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Clarify:  </w:t>
      </w:r>
      <w:r>
        <w:rPr>
          <w:rFonts w:ascii="Lato" w:hAnsi="Lato" w:cs="Lato"/>
          <w:b w:val="0"/>
          <w:i w:val="0"/>
          <w:color w:val="2B2F33"/>
          <w:sz w:val="19"/>
        </w:rPr>
        <w:t>Add an express cross-reference in S12 confirming that statutory / criminal-defence cover is provided under S13 (Legal Expenses) and S14 (Management Liability).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Clarify:  </w:t>
      </w:r>
      <w:r>
        <w:rPr>
          <w:rFonts w:ascii="Lato" w:hAnsi="Lato" w:cs="Lato"/>
          <w:b w:val="0"/>
          <w:i w:val="0"/>
          <w:color w:val="2B2F33"/>
          <w:sz w:val="19"/>
        </w:rPr>
        <w:t>Add a signpost in S1/S2 confirming computer / IT breakdown is included (Yutree shows a named Computer Breakdown section).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Retain:  </w:t>
      </w:r>
      <w:r>
        <w:rPr>
          <w:rFonts w:ascii="Lato" w:hAnsi="Lato" w:cs="Lato"/>
          <w:b w:val="0"/>
          <w:i w:val="0"/>
          <w:color w:val="2B2F33"/>
          <w:sz w:val="19"/>
        </w:rPr>
        <w:t>RETAIN claim-notification as an express condition precedent — this is more protective than the competitors and should not be softened.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Retain:  </w:t>
      </w:r>
      <w:r>
        <w:rPr>
          <w:rFonts w:ascii="Lato" w:hAnsi="Lato" w:cs="Lato"/>
          <w:b w:val="0"/>
          <w:i w:val="0"/>
          <w:color w:val="2B2F33"/>
          <w:sz w:val="19"/>
        </w:rPr>
        <w:t>RETAIN the detailed S12 computer-security conditions — strong risk control; ensure they are workable for SME media clients.</w:t>
      </w: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8  </w:t>
      </w:r>
      <w:r>
        <w:rPr>
          <w:rFonts w:ascii="Lato" w:hAnsi="Lato" w:cs="Lato"/>
          <w:b/>
          <w:i w:val="0"/>
          <w:color w:val="00648B"/>
          <w:sz w:val="30"/>
        </w:rPr>
        <w:t>Limits and sub-limits to consider reviewing</w:t>
      </w:r>
    </w:p>
    <w:tbl>
      <w:tblPr>
        <w:tblW w:type="dxa" w:w="10093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041"/>
        <w:gridCol w:w="2495"/>
        <w:gridCol w:w="3289"/>
      </w:tblGrid>
      <w:tr>
        <w:tc>
          <w:tcPr>
            <w:tcW w:type="dxa" w:w="226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Sub-limit</w:t>
            </w:r>
          </w:p>
        </w:tc>
        <w:tc>
          <w:tcPr>
            <w:tcW w:type="dxa" w:w="204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TMHCC today</w:t>
            </w:r>
          </w:p>
        </w:tc>
        <w:tc>
          <w:tcPr>
            <w:tcW w:type="dxa" w:w="249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Competitor benchmark</w:t>
            </w:r>
          </w:p>
        </w:tc>
        <w:tc>
          <w:tcPr>
            <w:tcW w:type="dxa" w:w="328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Recommendation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Criminal / statutory defence (S12)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DP defence only (GBP 250k)</w:t>
            </w:r>
          </w:p>
        </w:tc>
        <w:tc>
          <w:tcPr>
            <w:tcW w:type="dxa" w:w="249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GBP 1m; Yutree GBP 250k</w:t>
            </w:r>
          </w:p>
        </w:tc>
        <w:tc>
          <w:tcPr>
            <w:tcW w:type="dxa" w:w="328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Add a modest S12 criminal/regulatory defence sub-limit OR cross-refer to S13/S14.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Representation costs (S12)</w:t>
            </w:r>
          </w:p>
        </w:tc>
        <w:tc>
          <w:tcPr>
            <w:tcW w:type="dxa" w:w="204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Via DP defence only</w:t>
            </w:r>
          </w:p>
        </w:tc>
        <w:tc>
          <w:tcPr>
            <w:tcW w:type="dxa" w:w="249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GBP 25k</w:t>
            </w:r>
          </w:p>
        </w:tc>
        <w:tc>
          <w:tcPr>
            <w:tcW w:type="dxa" w:w="328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Introduce a GBP 25k representation-costs sub-limit.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Distributors &amp; purchasers (S12)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Not offered</w:t>
            </w:r>
          </w:p>
        </w:tc>
        <w:tc>
          <w:tcPr>
            <w:tcW w:type="dxa" w:w="249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up to 5x limit</w:t>
            </w:r>
          </w:p>
        </w:tc>
        <w:tc>
          <w:tcPr>
            <w:tcW w:type="dxa" w:w="328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If adopted, cap the aggregate (e.g. a defined multiple of the limit).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Loss of documents (S12)</w:t>
            </w:r>
          </w:p>
        </w:tc>
        <w:tc>
          <w:tcPr>
            <w:tcW w:type="dxa" w:w="204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Per Schedule</w:t>
            </w:r>
          </w:p>
        </w:tc>
        <w:tc>
          <w:tcPr>
            <w:tcW w:type="dxa" w:w="249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GBP 1m</w:t>
            </w:r>
          </w:p>
        </w:tc>
        <w:tc>
          <w:tcPr>
            <w:tcW w:type="dxa" w:w="328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Confirm an explicit sub-limit for parity of presentation.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Virus transmission (S12)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GBP 500k</w:t>
            </w:r>
          </w:p>
        </w:tc>
        <w:tc>
          <w:tcPr>
            <w:tcW w:type="dxa" w:w="249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GBP 250k</w:t>
            </w:r>
          </w:p>
        </w:tc>
        <w:tc>
          <w:tcPr>
            <w:tcW w:type="dxa" w:w="328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already higher — retain as a strength.</w:t>
            </w:r>
          </w:p>
        </w:tc>
      </w:tr>
    </w:tbl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9  </w:t>
      </w:r>
      <w:r>
        <w:rPr>
          <w:rFonts w:ascii="Lato" w:hAnsi="Lato" w:cs="Lato"/>
          <w:b/>
          <w:i w:val="0"/>
          <w:color w:val="00648B"/>
          <w:sz w:val="30"/>
        </w:rPr>
        <w:t>Market-leading wording opportunities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9"/>
        </w:rPr>
        <w:t>Implemented together, the high-priority items let TMHCC claim a genuine, evidence-based market-leading position: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‘The only media &amp; entertainment wording with all fifteen sections — now including a Personal Accident &amp; Business Travel option.’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‘Worldwide media-liability cover available, including a rated US/Canada extension.’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‘Distribution chain protected — distributors &amp; purchasers extension.’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‘Standalone cyber, legal expenses and management liability built in — not bolt-ons.’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‘Reputation management, withdrawal-of-content and data-protection defence as standard in media liability.’</w:t>
      </w:r>
    </w:p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EAF1F5"/>
            <w:tcBorders>
              <w:top w:val="single" w:sz="4" w:space="0" w:color="00648B"/>
              <w:left w:val="single" w:sz="22" w:space="0" w:color="00648B"/>
              <w:bottom w:val="single" w:sz="4" w:space="0" w:color="00648B"/>
              <w:right w:val="single" w:sz="4" w:space="0" w:color="00648B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9"/>
              </w:rPr>
              <w:t xml:space="preserve">Positioning: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TMHCC can credibly market the wording as broader, clearer and more complete than all five competitor wordings reviewed (Tysers, Yutree, Liberty, Allianz and AXA XL) — subject to legal/underwriting sign-off.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10  </w:t>
      </w:r>
      <w:r>
        <w:rPr>
          <w:rFonts w:ascii="Lato" w:hAnsi="Lato" w:cs="Lato"/>
          <w:b/>
          <w:i w:val="0"/>
          <w:color w:val="00648B"/>
          <w:sz w:val="30"/>
        </w:rPr>
        <w:t>Underwriting risk assessment</w:t>
      </w:r>
    </w:p>
    <w:tbl>
      <w:tblPr>
        <w:tblW w:type="dxa" w:w="10093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3402"/>
        <w:gridCol w:w="1361"/>
        <w:gridCol w:w="3629"/>
        <w:gridCol w:w="1701"/>
      </w:tblGrid>
      <w:tr>
        <w:tc>
          <w:tcPr>
            <w:tcW w:type="dxa" w:w="340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Recommendation</w:t>
            </w:r>
          </w:p>
        </w:tc>
        <w:tc>
          <w:tcPr>
            <w:tcW w:type="dxa" w:w="136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UW risk</w:t>
            </w:r>
          </w:p>
        </w:tc>
        <w:tc>
          <w:tcPr>
            <w:tcW w:type="dxa" w:w="362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Control / stance</w:t>
            </w:r>
          </w:p>
        </w:tc>
        <w:tc>
          <w:tcPr>
            <w:tcW w:type="dxa" w:w="170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Verdict</w:t>
            </w:r>
          </w:p>
        </w:tc>
      </w:tr>
      <w:tr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Personal Accident &amp; Business Travel</w:t>
            </w:r>
          </w:p>
        </w:tc>
        <w:tc>
          <w:tcPr>
            <w:tcW w:type="dxa" w:w="136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Medium</w:t>
            </w:r>
          </w:p>
        </w:tc>
        <w:tc>
          <w:tcPr>
            <w:tcW w:type="dxa" w:w="362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Benefit schedule, age limits, hazardous-activity carve-outs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2B2F33"/>
                <w:sz w:val="16"/>
              </w:rPr>
              <w:t>Adopt (capacity-permitting)</w:t>
            </w:r>
          </w:p>
        </w:tc>
      </w:tr>
      <w:tr>
        <w:tc>
          <w:tcPr>
            <w:tcW w:type="dxa" w:w="340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Worldwide / US-Canada PI option</w:t>
            </w:r>
          </w:p>
        </w:tc>
        <w:tc>
          <w:tcPr>
            <w:tcW w:type="dxa" w:w="1361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High (if US/Canada)</w:t>
            </w:r>
          </w:p>
        </w:tc>
        <w:tc>
          <w:tcPr>
            <w:tcW w:type="dxa" w:w="362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Rated option, sub-limit, higher excess, defence caps; keep ex-US/Canada default</w:t>
            </w:r>
          </w:p>
        </w:tc>
        <w:tc>
          <w:tcPr>
            <w:tcW w:type="dxa" w:w="170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2B2F33"/>
                <w:sz w:val="16"/>
              </w:rPr>
              <w:t>Adopt as option only</w:t>
            </w:r>
          </w:p>
        </w:tc>
      </w:tr>
      <w:tr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Distributors &amp; purchasers</w:t>
            </w:r>
          </w:p>
        </w:tc>
        <w:tc>
          <w:tcPr>
            <w:tcW w:type="dxa" w:w="136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Medium</w:t>
            </w:r>
          </w:p>
        </w:tc>
        <w:tc>
          <w:tcPr>
            <w:tcW w:type="dxa" w:w="362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36-month window, certificate, control of defence, capped aggregate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2B2F33"/>
                <w:sz w:val="16"/>
              </w:rPr>
              <w:t>Adopt with controls</w:t>
            </w:r>
          </w:p>
        </w:tc>
      </w:tr>
      <w:tr>
        <w:tc>
          <w:tcPr>
            <w:tcW w:type="dxa" w:w="340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Criminal-defence clarity / cross-ref</w:t>
            </w:r>
          </w:p>
        </w:tc>
        <w:tc>
          <w:tcPr>
            <w:tcW w:type="dxa" w:w="1361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Low</w:t>
            </w:r>
          </w:p>
        </w:tc>
        <w:tc>
          <w:tcPr>
            <w:tcW w:type="dxa" w:w="362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Cross-reference to S13/S14; small S12 sub-limit</w:t>
            </w:r>
          </w:p>
        </w:tc>
        <w:tc>
          <w:tcPr>
            <w:tcW w:type="dxa" w:w="170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2B2F33"/>
                <w:sz w:val="16"/>
              </w:rPr>
              <w:t>Adopt</w:t>
            </w:r>
          </w:p>
        </w:tc>
      </w:tr>
      <w:tr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Source-protection costs</w:t>
            </w:r>
          </w:p>
        </w:tc>
        <w:tc>
          <w:tcPr>
            <w:tcW w:type="dxa" w:w="136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Low</w:t>
            </w:r>
          </w:p>
        </w:tc>
        <w:tc>
          <w:tcPr>
            <w:tcW w:type="dxa" w:w="362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Small sub-limit; prospects test; consent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2B2F33"/>
                <w:sz w:val="16"/>
              </w:rPr>
              <w:t>Adopt</w:t>
            </w:r>
          </w:p>
        </w:tc>
      </w:tr>
      <w:tr>
        <w:tc>
          <w:tcPr>
            <w:tcW w:type="dxa" w:w="340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Representation costs</w:t>
            </w:r>
          </w:p>
        </w:tc>
        <w:tc>
          <w:tcPr>
            <w:tcW w:type="dxa" w:w="1361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Low</w:t>
            </w:r>
          </w:p>
        </w:tc>
        <w:tc>
          <w:tcPr>
            <w:tcW w:type="dxa" w:w="362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GBP 25k sub-limit</w:t>
            </w:r>
          </w:p>
        </w:tc>
        <w:tc>
          <w:tcPr>
            <w:tcW w:type="dxa" w:w="170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2B2F33"/>
                <w:sz w:val="16"/>
              </w:rPr>
              <w:t>Adopt</w:t>
            </w:r>
          </w:p>
        </w:tc>
      </w:tr>
      <w:tr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Asbestos / pollution PI write-back</w:t>
            </w:r>
          </w:p>
        </w:tc>
        <w:tc>
          <w:tcPr>
            <w:tcW w:type="dxa" w:w="136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Medium</w:t>
            </w:r>
          </w:p>
        </w:tc>
        <w:tc>
          <w:tcPr>
            <w:tcW w:type="dxa" w:w="362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Negligent-advice only; exclude BI &amp; contamination; tight cap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2B2F33"/>
                <w:sz w:val="16"/>
              </w:rPr>
              <w:t>Adopt narrowly</w:t>
            </w:r>
          </w:p>
        </w:tc>
      </w:tr>
      <w:tr>
        <w:tc>
          <w:tcPr>
            <w:tcW w:type="dxa" w:w="340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Patents</w:t>
            </w:r>
          </w:p>
        </w:tc>
        <w:tc>
          <w:tcPr>
            <w:tcW w:type="dxa" w:w="1361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High</w:t>
            </w:r>
          </w:p>
        </w:tc>
        <w:tc>
          <w:tcPr>
            <w:tcW w:type="dxa" w:w="362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Systemic severity</w:t>
            </w:r>
          </w:p>
        </w:tc>
        <w:tc>
          <w:tcPr>
            <w:tcW w:type="dxa" w:w="170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2B2F33"/>
                <w:sz w:val="16"/>
              </w:rPr>
              <w:t>Leave excluded (defence-costs only at most)</w:t>
            </w:r>
          </w:p>
        </w:tc>
      </w:tr>
      <w:tr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Communicable disease / US-Canada default</w:t>
            </w:r>
          </w:p>
        </w:tc>
        <w:tc>
          <w:tcPr>
            <w:tcW w:type="dxa" w:w="136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High</w:t>
            </w:r>
          </w:p>
        </w:tc>
        <w:tc>
          <w:tcPr>
            <w:tcW w:type="dxa" w:w="362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Retain broad exclusion / default territory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2B2F33"/>
                <w:sz w:val="16"/>
              </w:rPr>
              <w:t>Leave unchanged</w:t>
            </w:r>
          </w:p>
        </w:tc>
      </w:tr>
    </w:tbl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11  </w:t>
      </w:r>
      <w:r>
        <w:rPr>
          <w:rFonts w:ascii="Lato" w:hAnsi="Lato" w:cs="Lato"/>
          <w:b/>
          <w:i w:val="0"/>
          <w:color w:val="00648B"/>
          <w:sz w:val="30"/>
        </w:rPr>
        <w:t>Implementation roadmap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Phase 1 — Clarifications (nil / low cost)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Cross-reference criminal/regulatory defence to S13/S14.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Signpost computer/IT breakdown within S1/S2.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Name ICOW/AICOW and book-debts heads expressly in S3.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Add ‘Media Material’ definition; align cyber definitions.</w:t>
      </w:r>
    </w:p>
    <w:p>
      <w:pPr>
        <w:spacing w:after="40"/>
      </w:pP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Phase 2 — Sub-limited extensions (low risk)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Add representation-costs (GBP 25k) and source-protection costs to S12.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Adopt the King’s Counsel dispute-resolution clause.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Confirm explicit loss-of-documents sub-limit.</w:t>
      </w:r>
    </w:p>
    <w:p>
      <w:pPr>
        <w:spacing w:after="40"/>
      </w:pP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Phase 3 — Rated options &amp; new cover (priced)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Add Personal Accident &amp; Business Travel option.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Add rated worldwide / US-Canada PI territory option.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Add Distributors &amp; Purchasers extension with capped aggregate.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Consider narrow asbestos / pollution negligent-advice write-backs.</w:t>
      </w:r>
    </w:p>
    <w:p>
      <w:pPr>
        <w:spacing w:after="40"/>
      </w:pP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Phase 4 — Document deliberate restrictions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Record the rationale for retaining the patent, communicable-disease and default US/Canada exclusions.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Re-issue the comparison if any competitor updates its wording or a further competitor is added.</w:t>
      </w:r>
    </w:p>
    <w:p>
      <w:pPr>
        <w:spacing w:after="40"/>
      </w:pP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12  </w:t>
      </w:r>
      <w:r>
        <w:rPr>
          <w:rFonts w:ascii="Lato" w:hAnsi="Lato" w:cs="Lato"/>
          <w:b/>
          <w:i w:val="0"/>
          <w:color w:val="00648B"/>
          <w:sz w:val="30"/>
        </w:rPr>
        <w:t>Legal / underwriting sign-off notes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All recommendations are commercial proposals and require TMHCC legal and underwriting approval before adoption.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Any write-back must be drafted to preserve the existing exclusion’s intent (especially bodily injury, contamination and systemic risk).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Rated options (PA, worldwide/US-Canada, distributors) require pricing, reinsurance-treaty and capacity confirmation.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Confirm freelancer/contractor and ‘insured’ definitions remain consistent across all amended sections.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No cover has been invented in this strategy; every item is supported by at least one competitor wording cited above.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All five competitor wordings (incl. AXA XL) are incorporated; revisit priorities if any competitor wording is updated.</w:t>
      </w:r>
    </w:p>
    <w:p>
      <w:pPr>
        <w:spacing w:after="120"/>
      </w:pPr>
    </w:p>
    <w:p>
      <w:pPr>
        <w:spacing w:after="80" w:before="0"/>
      </w:pPr>
      <w:r>
        <w:rPr>
          <w:rFonts w:ascii="Lato" w:hAnsi="Lato" w:cs="Lato"/>
          <w:b w:val="0"/>
          <w:i/>
          <w:color w:val="6C7378"/>
          <w:sz w:val="17"/>
        </w:rPr>
        <w:t>End of Gap-Fill / Wording Enhancement Strategy.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Lato" w:hAnsi="Lato" w:cs="Lato"/>
        <w:b w:val="0"/>
        <w:i/>
        <w:color w:val="AEB4B8"/>
        <w:sz w:val="13"/>
      </w:rPr>
      <w:t>Indicative wording comparison — broking reference only. Refer to the full policy wordings. Subject to TMHCC legal/underwriting sign-off.</w:t>
    </w:r>
  </w:p>
  <w:p>
    <w:pPr>
      <w:jc w:val="center"/>
    </w:pPr>
    <w:r>
      <w:rPr>
        <w:rFonts w:ascii="Lato" w:hAnsi="Lato" w:cs="Lato"/>
        <w:b w:val="0"/>
        <w:i w:val="0"/>
        <w:color w:val="6C7378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pct" w:w="5000"/>
      <w:jc w:val="center"/>
      <w:tblBorders>
        <w:top w:val="none"/>
        <w:left w:val="none"/>
        <w:bottom w:val="none"/>
        <w:right w:val="none"/>
        <w:insideH w:val="none"/>
        <w:insideV w:val="none"/>
      </w:tblBorders>
      <w:tblLayout w:type="fixed"/>
      <w:tblLook w:firstColumn="1" w:firstRow="1" w:lastColumn="0" w:lastRow="0" w:noHBand="0" w:noVBand="1" w:val="04A0"/>
    </w:tblPr>
    <w:tblGrid>
      <w:gridCol w:w="4989"/>
      <w:gridCol w:w="4989"/>
    </w:tblGrid>
    <w:tr>
      <w:tc>
        <w:tcPr>
          <w:tcW w:type="dxa" w:w="7384"/>
          <w:vAlign w:val="center"/>
        </w:tcPr>
        <w:p>
          <w:pPr>
            <w:spacing w:after="0"/>
          </w:pPr>
          <w:r>
            <w:rPr>
              <w:rFonts w:ascii="Lato" w:hAnsi="Lato" w:cs="Lato"/>
              <w:b/>
              <w:i w:val="0"/>
              <w:color w:val="6C7378"/>
              <w:sz w:val="16"/>
            </w:rPr>
            <w:t>TMHCC Media &amp; Entertainment</w:t>
          </w:r>
        </w:p>
      </w:tc>
      <w:tc>
        <w:tcPr>
          <w:tcW w:type="dxa" w:w="259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29906" cy="30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mhcc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9906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ato" w:hAnsi="Lato" w:cs="Lato"/>
      <w:color w:val="2B2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