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Coverage Comparison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Full Coverage Comparison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A like-for-like, section-by-section comparison of the TMHCC Media &amp; Music Combined wording against five competitor wordings (Tysers/Zurich, Yutree/AXA, Liberty, Allianz and AXA XL).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— Tokio Marine HCC — Media &amp; Music Combined (Tokio Marine HCC); 15 sections (master/primary wording)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(Zurich) — Tysers “Focus” Combined ‘All Risks’ Media policy (Zurich Insurance plc (capacity)); 9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Yutree (AXA) — Media &amp; Entertainment by Yutree (AXA Insurance UK plc (capacity); Yutree Underwriting (MGA)); 12 cover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 — Liberty Entertainment Combined Policy (Liberty (Liberty Specialty Markets)); 6 cover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— Allianz Entertainment ‘Complete’ Policy (Allianz); 8 cover sections (+ Terrorism)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AXA XL — AXA XL Media &amp; Entertainment Combined Corporate (Crisis Management &amp; Special Risks) (XL Catlin Insurance Company UK Ltd (AXA XL)); 3 operative sections (MD / BI / Liability)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Indicative wording comparison against the TMHCC Media &amp; Music Combined wording — for broking reference only. Always refer to the full policy wordings.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Market-ready subject to final TMHCC legal / underwriting sign-off.   Prepared from the wordings supplied; competitor capacity insurers noted where stated.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Executive summary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TMHCC’s Media &amp; Music Combined wording is, structurally, the broadest in the peer group reviewed. It is the only wording that offers all fifteen sections in a single contract, and it is the only wording to provide Loss of Licence, Commercial Legal Expenses, Management Liability and a genuine standalone Cyber-liability section. Three of the five competitors (Liberty, Allianz and AXA XL) are property / business-interruption / liability combined packages and contain no media, professional-indemnity, production-indemnity, cyber, legal-expenses or management-liability cover at all — AXA XL despite carrying a ‘Media &amp; Entertainment’ title.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The meaningful competition therefore sits in the sections the wordings share — principally Media Liability / Professional Indemnity (where Tysers, via Zurich, and Yutree, via AXA, both offer strong wordings) and the property / BI / liability suite (where Allianz and Liberty are mature property-led packages).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Headline conclusions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TMHCC wins outright:  </w:t>
      </w:r>
      <w:r>
        <w:rPr>
          <w:rFonts w:ascii="Lato" w:hAnsi="Lato" w:cs="Lato"/>
          <w:b w:val="0"/>
          <w:i w:val="0"/>
          <w:color w:val="2B2F33"/>
          <w:sz w:val="19"/>
        </w:rPr>
        <w:t>TMHCC is broader or unique on at least six rows (Terrorism vs Tysers; Goods in Transit; Loss of Licence; Legal Expenses; Management Liability; standalone Cyber).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Competitors broader:  </w:t>
      </w:r>
      <w:r>
        <w:rPr>
          <w:rFonts w:ascii="Lato" w:hAnsi="Lato" w:cs="Lato"/>
          <w:b w:val="0"/>
          <w:i w:val="0"/>
          <w:color w:val="2B2F33"/>
          <w:sz w:val="19"/>
        </w:rPr>
        <w:t>Tysers PI is worldwide, covers patents, funds statutory/criminal defence costs (GBP 1m), and adds a distributors-&amp;-purchasers extension and journalistic source-protection costs. Tysers and Yutree both offer Personal Accident, which TMHCC does not.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Broadly equivalent:  </w:t>
      </w:r>
      <w:r>
        <w:rPr>
          <w:rFonts w:ascii="Lato" w:hAnsi="Lato" w:cs="Lato"/>
          <w:b w:val="0"/>
          <w:i w:val="0"/>
          <w:color w:val="2B2F33"/>
          <w:sz w:val="19"/>
        </w:rPr>
        <w:t>Core media-liability grants (defamation, IP, privacy, professional negligence, defence costs in addition) are broadly equivalent across TMHCC, Tysers and Yutree.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TMHCC clearer:  </w:t>
      </w:r>
      <w:r>
        <w:rPr>
          <w:rFonts w:ascii="Lato" w:hAnsi="Lato" w:cs="Lato"/>
          <w:b w:val="0"/>
          <w:i w:val="0"/>
          <w:color w:val="2B2F33"/>
          <w:sz w:val="19"/>
        </w:rPr>
        <w:t>TMHCC’s data-protection defence costs, clean cyber-exclusion carve-out for the liability sections, and favourable fines/penalties write-back are clearer than at least one competitor.</w:t>
      </w: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Bottom line: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already presents as the most complete media &amp; entertainment package in this peer group. A focused set of Media-Liability enhancements (a Personal-Accident option, a worldwide/US-Canada territory option, distributors &amp; source-protection extensions, and a clarifying criminal-defence cross-reference) would let TMHCC show a tick on virtually every row — see the separate Gap-Fill / Wording Enhancement Strategy.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Methodology and documents reviewed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Documents reviewed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5386"/>
        <w:gridCol w:w="3969"/>
        <w:gridCol w:w="3345"/>
      </w:tblGrid>
      <w:tr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Wording</w:t>
            </w:r>
          </w:p>
        </w:tc>
        <w:tc>
          <w:tcPr>
            <w:tcW w:type="dxa" w:w="5386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Full title</w:t>
            </w:r>
          </w:p>
        </w:tc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Capacity / insurer</w:t>
            </w:r>
          </w:p>
        </w:tc>
        <w:tc>
          <w:tcPr>
            <w:tcW w:type="dxa" w:w="334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Structure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TMHCC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 — Media &amp; Music Combined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15 sections (master/primary wording)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Tysers (Zurich)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“Focus” Combined ‘All Risks’ Media policy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Zurich Insurance plc (capacity)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9 sections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Yutree (AXA)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Media &amp; Entertainment by Yutree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Insurance UK plc (capacity); Yutree Underwriting (MGA)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12 cover sections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Liberty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Entertainment Combined Policy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(Liberty Specialty Markets)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6 cover sections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Allianz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 Entertainment ‘Complete’ Policy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8 cover sections (+ Terrorism)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AXA XL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XL Media &amp; Entertainment Combined Corporate (Crisis Management &amp; Special Risks)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XL Catlin Insurance Company UK Ltd (AXA XL)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3 operative sections (MD / BI / Liability)</w:t>
            </w:r>
          </w:p>
        </w:tc>
      </w:tr>
    </w:tbl>
    <w:p>
      <w:pPr>
        <w:spacing w:after="12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Comparison method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six wordings were parsed in full to text; coverage was compared by FUNCTION, not heading, because the wordings are structured differently.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Section maps were taken from each policy’s contents/insuring clauses; feature-level findings from the operative clauses, extensions, conditions and exclusions actually read.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Where a clause could not be verified from the wording it is marked ‘? requires review’ rather than assumed.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invented; competitor marketing language has not been treated as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is recorded as having a gap ONLY where at least one competitor genuinely provides broader, clearer or materially useful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Exclusions, limits, conditions, warranties and write-backs were reviewed in detail and are not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Liberty, Allianz and AXA XL are property / BI / liability combined packages and contain NO media/PI/E&amp;O, production-indemnity, cyber-liability, legal-expenses or management-liability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five competitor wordings have now been mapped, including AXA XL (the fifth wording).</w:t>
      </w:r>
    </w:p>
    <w:p>
      <w:pPr>
        <w:spacing w:after="80"/>
      </w:pP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FBF1DA"/>
            <w:tcBorders>
              <w:top w:val="single" w:sz="4" w:space="0" w:color="B88A3C"/>
              <w:left w:val="single" w:sz="22" w:space="0" w:color="B88A3C"/>
              <w:bottom w:val="single" w:sz="4" w:space="0" w:color="B88A3C"/>
              <w:right w:val="single" w:sz="4" w:space="0" w:color="B88A3C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9"/>
              </w:rPr>
              <w:t xml:space="preserve">Reading the matrices: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✓ = cover clearly present · ◐ = partial / conditional / sub-limited · ✗ = not covered / not identified · ? = unclear, requires review · — = not applicable. In the EXCLUSIONS tables only, ✓ means the exclusion APPLIES, ◐ means a partial exclusion or write-back, and ✗ means the exclusion is absent or carved back.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Market comparison at a glance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Section-by-section availability across all six wordings. This is the headline coverage matrix; feature-level detail for the Media Liability / PI section follows in part 4.</w:t>
      </w:r>
    </w:p>
    <w:p>
      <w:pPr>
        <w:spacing w:after="120"/>
      </w:pPr>
      <w:r>
        <w:rPr>
          <w:rFonts w:ascii="Lato" w:hAnsi="Lato" w:cs="Lato"/>
          <w:b/>
          <w:i w:val="0"/>
          <w:color w:val="1B7A3D"/>
          <w:sz w:val="19"/>
        </w:rPr>
        <w:t xml:space="preserve">✓ </w:t>
      </w:r>
      <w:r>
        <w:rPr>
          <w:rFonts w:ascii="Lato" w:hAnsi="Lato" w:cs="Lato"/>
          <w:b w:val="0"/>
          <w:i w:val="0"/>
          <w:color w:val="6C7378"/>
          <w:sz w:val="17"/>
        </w:rPr>
        <w:t>Covered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8A6A1E"/>
          <w:sz w:val="19"/>
        </w:rPr>
        <w:t xml:space="preserve">◐ </w:t>
      </w:r>
      <w:r>
        <w:rPr>
          <w:rFonts w:ascii="Lato" w:hAnsi="Lato" w:cs="Lato"/>
          <w:b w:val="0"/>
          <w:i w:val="0"/>
          <w:color w:val="6C7378"/>
          <w:sz w:val="17"/>
        </w:rPr>
        <w:t>Partial / conditional / sub-limit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A4233B"/>
          <w:sz w:val="19"/>
        </w:rPr>
        <w:t xml:space="preserve">✗ </w:t>
      </w:r>
      <w:r>
        <w:rPr>
          <w:rFonts w:ascii="Lato" w:hAnsi="Lato" w:cs="Lato"/>
          <w:b w:val="0"/>
          <w:i w:val="0"/>
          <w:color w:val="6C7378"/>
          <w:sz w:val="17"/>
        </w:rPr>
        <w:t>Not covered / not identified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5B6166"/>
          <w:sz w:val="19"/>
        </w:rPr>
        <w:t xml:space="preserve">? </w:t>
      </w:r>
      <w:r>
        <w:rPr>
          <w:rFonts w:ascii="Lato" w:hAnsi="Lato" w:cs="Lato"/>
          <w:b w:val="0"/>
          <w:i w:val="0"/>
          <w:color w:val="6C7378"/>
          <w:sz w:val="17"/>
        </w:rPr>
        <w:t>Unclear – requires review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062"/>
        <w:gridCol w:w="851"/>
        <w:gridCol w:w="851"/>
        <w:gridCol w:w="851"/>
        <w:gridCol w:w="851"/>
        <w:gridCol w:w="851"/>
        <w:gridCol w:w="851"/>
        <w:gridCol w:w="6577"/>
      </w:tblGrid>
      <w:tr>
        <w:tc>
          <w:tcPr>
            <w:tcW w:type="dxa" w:w="30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Section of cover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576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 · Business “All Risks” (premises buildings &amp; contents)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six offer premises/contents material damage on an all-risks basis. Allianz, Liberty and AXA XL are property-led packages with granular MD specifications; TMHCC consolidates IT/premises cover here.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S2 · Property &amp; Equipment “All Risks” (production/entertainment equipment)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Owned and hired-in production/entertainment equipment. Tysers (Production Property), Yutree (Production property), Allianz (Specified All Risks), AXA XL (‘Technical Equipment’ within Material Damage). Liberty covers entertainment equipment via specified Schedule items.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S3 · Business Interruption “All Risks”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offer BI. Allianz is structurally broader (splits Increased Cost of Working and Book Debts into discrete sections). AXA XL has a full BI section (incl. Rent Receivable / Turnover). Confirm TMHCC S3 expressly covers ICOW/AICOW and book debts.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S4 · Terrorism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Yutree, Liberty and Allianz provide terrorism cover. Tysers EXCLUDES terrorism (no buy-back). AXA XL EXCLUDES terrorism absolutely (Policy Exclusion 3.4, ex-Employers’ Liability) — client would need standalone Pool Re.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S5 · Employers’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Statutory EL provided by all six (typically GBP 10m). Broadly equivalent. AXA XL = sub-section 7C.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S6 · Public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Provided by all. Competitors combine Public &amp; Products; TMHCC splits Public (S6) and Products (S7). AXA XL = sub-section 7A.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S7 · Products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Provided by all (combined with Public in the competitor wordings). AXA XL = sub-section 7B.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S8 · Money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Money cover provided by all. AXA XL provides Money as a sub-limited ‘Money’ specification WITHIN the Material Damage section (schedule-driven) rather than a standalone section.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S9 · Goods in Transit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 (GIT section) and Allianz (Own Goods in Transit) provide GIT. Tysers, Liberty and AXA XL do NOT have a dedicated GIT section.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S10 · Loss of Licence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 across all five competitors. Premises-licence loss cover under the Licensing Act 2003 — highly relevant for venues/festivals.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S11 · Production Indemnity “All Risks”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Tysers (Multimedia &amp; Producers Indemnity) and Yutree (Production Indemnity) cover production costs / cast / negatives. Liberty, Allianz and AXA XL do NOT offer production indemnity.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S12 · Media Liability / Professional Indemnity (E&amp;O)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The heart of a media wording. TMHCC (S12), Tysers (PI/E&amp;O) and Yutree (PI-Media + PI-Events) provide it. Liberty, Allianz and AXA XL provide NO media/PI/E&amp;O cover — despite AXA XL’s ‘Media &amp; Entertainment’ branding.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S13 · Commercial Legal Expenses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 (ARAG-style legal expenses). No competitor wording includes a legal-expenses section.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S14 · Management Liability (D&amp;O / EPL etc.)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TMHCC. No competitor wording includes management-liability cover.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S15 · Cyber Liability (standalone)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— TMHCC ‘CyberGuard’ is a genuine standalone cyber policy. Yutree offers Computer Breakdown only. AXA XL has NO cyber section and a broad cyber EXCLUSION (only a Data Protection Act 2018 carve-out within Public Liability). Others: none.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(+) Personal Accident &amp; Business Travel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GAP for TMHCC: no standalone PA/business-travel section. Tysers (PA &amp; Business Travel) is extensive; Yutree covers PA assault. Allianz references a ‘Personal Accident’ section in its exclusions (not in the cover list – review). AXA XL has NO personal-accident cover.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Full coverage matrix — Media Liability / PI feature detail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The Media Liability / Professional Indemnity section (TMHCC S12; Tysers S8; Yutree PI-Media) is the heart of a media wording, so it is compared feature-by-feature below. Liberty and Allianz provide no media/PI cover and are shown as not covered throughout.</w:t>
      </w:r>
    </w:p>
    <w:p>
      <w:pPr>
        <w:spacing w:after="120"/>
      </w:pPr>
      <w:r>
        <w:rPr>
          <w:rFonts w:ascii="Lato" w:hAnsi="Lato" w:cs="Lato"/>
          <w:b/>
          <w:i w:val="0"/>
          <w:color w:val="1B7A3D"/>
          <w:sz w:val="19"/>
        </w:rPr>
        <w:t xml:space="preserve">✓ </w:t>
      </w:r>
      <w:r>
        <w:rPr>
          <w:rFonts w:ascii="Lato" w:hAnsi="Lato" w:cs="Lato"/>
          <w:b w:val="0"/>
          <w:i w:val="0"/>
          <w:color w:val="6C7378"/>
          <w:sz w:val="17"/>
        </w:rPr>
        <w:t>Covered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8A6A1E"/>
          <w:sz w:val="19"/>
        </w:rPr>
        <w:t xml:space="preserve">◐ </w:t>
      </w:r>
      <w:r>
        <w:rPr>
          <w:rFonts w:ascii="Lato" w:hAnsi="Lato" w:cs="Lato"/>
          <w:b w:val="0"/>
          <w:i w:val="0"/>
          <w:color w:val="6C7378"/>
          <w:sz w:val="17"/>
        </w:rPr>
        <w:t>Partial / conditional / sub-limit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A4233B"/>
          <w:sz w:val="19"/>
        </w:rPr>
        <w:t xml:space="preserve">✗ </w:t>
      </w:r>
      <w:r>
        <w:rPr>
          <w:rFonts w:ascii="Lato" w:hAnsi="Lato" w:cs="Lato"/>
          <w:b w:val="0"/>
          <w:i w:val="0"/>
          <w:color w:val="6C7378"/>
          <w:sz w:val="17"/>
        </w:rPr>
        <w:t>Not covered / not identified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5B6166"/>
          <w:sz w:val="19"/>
        </w:rPr>
        <w:t xml:space="preserve">? </w:t>
      </w:r>
      <w:r>
        <w:rPr>
          <w:rFonts w:ascii="Lato" w:hAnsi="Lato" w:cs="Lato"/>
          <w:b w:val="0"/>
          <w:i w:val="0"/>
          <w:color w:val="6C7378"/>
          <w:sz w:val="17"/>
        </w:rPr>
        <w:t>Unclear – requires review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Media Liability / PI feature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Defamation / libel / slander / malicious falsehood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cover ‘unintentional’ defamation; Tysers covers unless the statement was known/ought-to-have-been-known to be defamatory. Broadly equivalent. Liberty/Allianz/AXA XL: no PI.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IP infringement – copyright / trademark / passing off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media wordings cover unintentional IP infringement incl. passing-off.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8.9) expressly includes PATENT infringement within IP cover. TMHCC and Yutree EXCLUDE patents. TMHCC is sensibly more restrictive (patents are hard to underwrite).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Breach of confidence / invasion of privacy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Covered by all three media wordings (TMHCC/Yutree on an ‘unintentional’ basis; Tysers clauses 8.11/8.12).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Breach of professional duty / negligence / E&amp;O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Core E&amp;O. Covered by all three media wordings.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Dishonesty / fraud of employees (write-back)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(Insuring Clause 1.l) and Yutree (Dishonesty &amp; fraud cover) grant an express write-back for employee dishonesty; Tysers via its Criminal/Malicious Acts exclusion with an employee carve-out.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Defence costs payable IN ADDITION to the limit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pay defence costs in addition, with proportionate reduction once the limit is exceeded.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Territorial / jurisdiction scope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is WORLDWIDE. TMHCC limits cover to the Schedule Geographical Limits and EXCLUDES actions brought outside the stated Jurisdiction (default worldwide ex-US/Canada). Yutree restricts US/Canada. Competitor (Tysers) broader.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Data-protection defence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grants Data Protection Defence Costs (GBP 250k). Yutree EXCLUDES breach of data-protection law in PI. AXA XL provides only a DP Act 2018 defence-costs extension within Public Liability (not a media/PI grant). TMHCC clearer/broader.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prosecution defence costs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pays statutory defence costs (Bribery/Corporate Manslaughter/H&amp;S/CDM — GBP 1m). Yutree pays Criminal Prosecution Defence Costs (GBP 250k). TMHCC S12 grants only Data-Protection defence costs (broader criminal cover sits in S13/S14).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Reputation management / crisis-PR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grant Reputation Management costs (GBP 250k). Not identified in Tysers S8.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Withdrawal / alteration of content (incl. ASA/OFCOM)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grant Withdrawal of Content (GBP 250k) including ASA/OFCOM complaints. Not identified in Tysers.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Rectification / mitigation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pay rectification/mitigation costs that avert a larger claim (TMHCC Rectification; Tysers 8.14; Yutree Mitigation).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Costs to PROSECUTE infringement of the insured’s own IP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(GBP 25k) and Yutree (IP-rights prosecution) fund pursuit of the insured’s own IP, subject to a supporting legal opinion. Not identified in Tysers.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 extension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8.7) extends indemnity to purchasers/co-producers/distributors of the insured’s media material (up to 5x the limit). Not provided by TMHCC or Yutree.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Journalistic source-protection / challenge to subpoena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8.13) funds legal costs to challenge a subpoena requiring disclosure of a source. Not provided by TMHCC or Yutree — broker-sensitive for editorial/news clients.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 at investigations / inquiries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(8.15, GBP 25k) covers representation at official examinations/inquiries. TMHCC provides this only via Data-Protection defence; Yutree via Criminal-Prosecution defence.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Covered by all three media wordings (TMHCC Insuring Clause; Tysers 8.10 GBP 1m; Yutree Loss of Documents, GBP 500 excess).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Unintentional virus transmission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(GBP 500k sub-limit, targeted-virus write-back) and Tysers (8.16, GBP 250k) cover unintentional virus transmission. Yutree treats virus within its broader cyber exclusion.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Mergers &amp; acquisitions / subsidiary auto-acquisition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auto-include newly created/acquired entities below a 20% turnover threshold, with notification above. Tysers position requires review.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write-back (negligent advice)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grants a limited pollution write-back where the cause is a specific act/error/omission of the insured. TMHCC and Tysers exclude pollution from PI.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Cyber/data general exclusion impact on PI cover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TMHCC’s general cyber/date exclusion applies to Sections 1–11 ONLY, leaving S12 with bespoke virus/unauthorised-access cover; Tysers’ Electronic-Risk exclusion is dis-applied to S8. Yutree’s PI carries a BROAD cyber &amp; data-protection exclusion.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Senior-counsel (KC) dispute-resolution clause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includes a clear King’s Counsel arbitration clause for defence/settlement disputes. TMHCC relies on a general mediation/dispute condition; Tysers requires review.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Competitor-by-competitor analysis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Tysers “Focus” Combined ‘All Risks’ Media (capacity: Zurich Insurance plc)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9 sections: Production Property, Property Damage, BI, Money, Production (Multimedia &amp; Producers Indemnity), EL, Public &amp; Products, Professional Indemnity/E&amp;O, Personal Accident &amp; Business Travel.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PI/E&amp;O (S8) is WORLDWIDE and notably broad — includes PATENT infringement, statutory defence costs (Bribery/Corporate Manslaughter/H&amp;S/CDM, GBP 1m), Distributors &amp; Purchasers extension (5x limit), journalistic source-protection costs, and representation costs (GBP 25k).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Extensive standalone Personal Accident &amp; Business Travel section (S9).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Loss of documents sub-limit GBP 1m.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terrorism cover (excluded outright).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dedicated Goods in Transit section (Money only).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Loss of Licence, Legal Expenses, Management Liability or standalone Cyber.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Reputation-Management or Withdrawal-of-Content extension identified in PI.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Media &amp; Entertainment by Yutree (capacity: AXA Insurance UK plc)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12 cover sections incl. Property, Production Property, Computer Breakdown, BI, Terrorism, EL, Public &amp; Products, Money &amp; PA assault, Goods in Transit, Production Indemnity, PI-Media and PI-Events.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Two PI sections (Media; and Events &amp; Installations) — useful where the client runs live events.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Strong PI extensions: Reputation Management (GBP 250k), Withdrawal of Content (GBP 250k), Criminal Prosecution Defence (GBP 250k), Mitigation, limited Pollution write-back, and a clear King’s Counsel dispute-resolution clause.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Standalone Computer Breakdown section; Goods in Transit section.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PI carries a BROAD cyber &amp; data-protection-law exclusion (strips cyber-related PI and DP defence).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Excludes patents.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Loss of Licence, Legal Expenses, Management Liability or standalone Cyber-liability section.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Liberty Entertainment Combined Policy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6 cover sections: Material Damage, Business Interruption, Terrorism, Money, Employer’s Liability, Public &amp; Products Liability.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Property-led wording with detailed Material-Damage extensions (removal to private home, capital additions, professional fees).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Clear, well-structured general exclusions/conditions.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 cover — not an errors-&amp;-omissions wording.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Production Indemnity, Goods in Transit, Loss of Licence, Legal Expenses, Management Liability, Cyber or Personal Accident.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Allianz Entertainment ‘Complete’ Policy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8 cover sections (+Terrorism): Property Damage, BI, Increased Cost of Working, Book Debts, Money, Own Goods in Transit, Specified All Risks, EL, Public &amp; Products.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Granular BI suite — Increased Cost of Working and Book Debts as discrete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Mature property-package drafting (Specified All Risks, GIT).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Production Indemnity, Loss of Licence, Legal Expenses, Management Liability or standalone Cyber.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Personal Accident referenced in exclusions but not in the provided cover list (requires review).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AXA XL — Media &amp; Entertainment Combined Corporate (XL Catlin Insurance Company UK Ltd; ‘Crisis Management &amp; Special Risks’, June 2021)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3 operative sections only: Material Damage (Buildings/Contents, Machinery/Plant/Equipment, ‘Technical Equipment’ and a Money specification), Business Interruption (incl. Rent Receivable/Turnover), and Liability (7A Public, 7B Product, 7C Employers’).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Clean, modern ‘single contract’ combined drafting; Material Damage covers Technical Equipment used in the Business and includes a Money specification.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Public Liability includes a Data Protection Act 2018 defence-costs extension (a deliberate carve-out from the broad cyber exclusion).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E&amp;O, Production Indemnity, Cyber section, Legal Expenses, Management Liability, Loss of Licence, Goods in Transit or Personal Accident — despite the ‘Media &amp; Entertainment’ title.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Terrorism EXCLUDED absolutely (Policy Exclusion 3.4, ex-EL) — no buy-back.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Punitive/exemplary damages and fines EXCLUDED absolutely (3.2) — no defamation write-back.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Broad cyber / electronic-data exclusion across all sections (only a DP Act 2018 carve-out within Public Liability).</w:t>
      </w:r>
    </w:p>
    <w:p>
      <w:pPr>
        <w:spacing w:after="80"/>
      </w:pP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EEF1F3"/>
            <w:tcBorders>
              <w:top w:val="single" w:sz="4" w:space="0" w:color="6C7378"/>
              <w:left w:val="single" w:sz="22" w:space="0" w:color="6C7378"/>
              <w:bottom w:val="single" w:sz="4" w:space="0" w:color="6C7378"/>
              <w:right w:val="single" w:sz="4" w:space="0" w:color="6C7378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6C7378"/>
                <w:sz w:val="19"/>
              </w:rPr>
              <w:t xml:space="preserve">All five competitors mapped: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Tysers (Zurich), Yutree (AXA), Liberty, Allianz and AXA XL have each been parsed in full and assessed against the TMHCC base wording. AXA XL — the fifth wording — confirms the pattern: it is a lean property/BI/liability package with no media/PI cover.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TMHCC strengths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Where the TMHCC base wording is demonstrably stronger, broader or clearer than the competitor wordings reviewed: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10773"/>
      </w:tblGrid>
      <w:tr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Strength</w:t>
            </w:r>
          </w:p>
        </w:tc>
        <w:tc>
          <w:tcPr>
            <w:tcW w:type="dxa" w:w="1077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Why it matters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Widest section count in the peer group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 only wording among the six offering all 15 sections in a single contract — a genuine ‘one-stop’ media &amp; entertainment package. Three of the five competitors (Liberty, Allianz and AXA XL) carry NO media/PI cover at all.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Four sections no competitor offers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Loss of Licence (S10), Commercial Legal Expenses (S13), Management Liability (S14) and a standalone Cyber-liability section (S15 CyberGuard) are unique to TMHCC across all five competitors.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Standalone cyber that is genuine liability cover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CyberGuard provides multimedia, security &amp; privacy, privacy-regulatory defence &amp; penalties and PCI DSS cover — not merely first-party breakdown, and not a bare cyber EXCLUSION (as in AXA XL).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Broad, well-extended Media Liability (S12)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Wide ‘any other civil liability’ grant plus employee-dishonesty write-back, Data-Protection Defence Costs (GBP 250k), Reputation Management (GBP 250k), Withdrawal of Content (GBP 250k), IP-pursuit costs (GBP 25k) and M&amp;A auto-acquisition.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Clean exclusion architecture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 general cyber/date exclusion is dis-applied to Sections 12–15, so the liability sections are governed by their own bespoke terms — avoiding the ‘silent-cyber strip’ seen in a competitor PI section and AXA XL’s blanket cyber exclusion.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Favourable fines/penalties carve-back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Non-compensatory damages are written back for libel/slander/defamation awards and for punitive damages where the law permits payment — AXA XL, by contrast, excludes punitive/fines absolutely.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Protective, clearly-drafted claims architecture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Claim notification is an express condition precedent; aggregation, retroactive date and territorial/jurisdiction terms are clearly defined.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Areas where competitors are broader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Stated objectively — where a competitor genuinely provides broader, clearer or materially useful cover. Each item is carried into the separate Gap-Fill / Wording Enhancement Strategy.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10773"/>
      </w:tblGrid>
      <w:tr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Area (competitor)</w:t>
            </w:r>
          </w:p>
        </w:tc>
        <w:tc>
          <w:tcPr>
            <w:tcW w:type="dxa" w:w="1077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What the competitor does / TMHCC position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Worldwide PI territory (Tysers)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PI/E&amp;O is worldwide; TMHCC S12 is limited to the Schedule Geographical Limits and excludes actions brought outside the stated Jurisdiction.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Patent infringement (Tysers)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covers patent infringement within IP; TMHCC (and Yutree) exclude it.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Statutory / criminal defence costs (Tysers &amp; Yutree)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funds Bribery/Corporate-Manslaughter/H&amp;S/CDM defence (GBP 1m); Yutree funds criminal-prosecution defence (GBP 250k). TMHCC S12 funds only data-protection defence (broader criminal cover sits in S13/S14).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Distributors &amp; purchasers (Tysers)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extends PI to purchasers/co-producers/distributors of the insured’s media material (5x limit) — absent from TMHCC.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Journalistic source protection (Tysers)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funds legal costs to challenge a subpoena requiring disclosure of a source — absent from TMHCC.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Personal Accident &amp; Business Travel (Tysers; Yutree assault)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has an extensive PA/business-travel section; Yutree covers PA assault. TMHCC, Liberty, Allianz and AXA XL have no PA section.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Granular BI heads (Allianz)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Allianz splits Increased Cost of Working and Book Debts into discrete sections — a presentational advantage.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Standalone Computer Breakdown (Yutree)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offers a dedicated computer-breakdown section; TMHCC consolidates IT breakdown within S1/S2 — confirm it is explicit.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Limited pollution write-back in PI (Yutree)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grants a limited pollution write-back for the insured’s own negligent act/error/omission.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KC dispute-resolution clause (Yutree)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Yutree’s clear King’s Counsel arbitration clause for defence disputes is a drafting-clarity advantage.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Exclusions comparison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General exclusions (all sections)</w:t>
      </w: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FBF1DA"/>
            <w:tcBorders>
              <w:top w:val="single" w:sz="4" w:space="0" w:color="B88A3C"/>
              <w:left w:val="single" w:sz="22" w:space="0" w:color="B88A3C"/>
              <w:bottom w:val="single" w:sz="4" w:space="0" w:color="B88A3C"/>
              <w:right w:val="single" w:sz="4" w:space="0" w:color="B88A3C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9"/>
              </w:rPr>
              <w:t xml:space="preserve">Note: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In this table ✓ = the exclusion APPLIES, ◐ = partial / write-back present, ✗ = exclusion absent or carved back, ? = requires review.</w:t>
            </w:r>
          </w:p>
        </w:tc>
      </w:tr>
    </w:tbl>
    <w:p>
      <w:pPr>
        <w:spacing w:after="80"/>
      </w:pP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General exclusion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War / nuclear / radioactive contamination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market exclusion present in all six wordings (AXA XL 3.3/3.5, incl. weapons of mass destruction). Broadly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Terrorism (property/BI)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Yutree, Liberty, Allianz write terrorism back via a dedicated section. Tysers and AXA XL (3.4) EXCLUDE terrorism outright with no buy-back.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/ contamination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with the usual sudden/accidental &amp; defined-peril write-backs (AXA XL: MD exclusion (p) and Liability pollution exclusion).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has a professional-duty WRITE-BACK (cover where liability arises from negligent advice, GBP 1m, ex-BI). TMHCC, Yutree and AXA XL (3.1, ex-EL) exclude asbestos more strictly.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 / electronic risk (first-party damage &amp; BI)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exclude cyber-caused damage/BI. KEY DIFFERENCE: TMHCC dis-applies its cyber/date exclusion to Sections 12–15; Tysers dis-applies Electronic Risk to S8 PI. AXA XL’s cyber exclusion (3.7) is broad with only a DP Act 2018 carve-out; Yutree’s PI carries a broad cyber/data exclusion.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Date recognition / data-processing failure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‘millennium/date’-style exclusion in the property packages. AXA XL has no separate date clause — subsumed within its broad cyber/electronic-data exclusion. Equivalent in substance.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Communicable disease / pandemic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AXA XL (3.8) both carry a BROAD communicable-disease exclusion (applies notwithstanding all other terms). Not identified in Tysers; Yutree/Liberty/Allianz require confirmation. TMHCC is well-protected here (a deliberate restriction).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Sanctions / trade restrictions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carry a sanctions clause (AXA XL 4.4). TMHCC has both a Trading-Sanctions and an International-Sanctions clause. Equivalent.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Northern Ireland (civil commotion) / sonic bangs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UK property-package carve-outs present in Tysers/Liberty/Allianz; TMHCC and AXA XL treatment within property sections requires confirmation.</w:t>
            </w:r>
          </w:p>
        </w:tc>
      </w:tr>
    </w:tbl>
    <w:p>
      <w:pPr>
        <w:spacing w:after="12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Media Liability / PI-specific exclusions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Liberty, Allianz and AXA XL have no PI section and are shown as not applicable.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PI exclusion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Contractual / assumed liability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three media wordings, with the standard write-back for liability that would exist absent the contract.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Deliberate / reckless / dishonest acts (with employee write-back)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exclude deliberate/dishonest acts of the insured but write back dishonest acts of employees. Equivalent.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Bodily injury / property damage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unless arising from negligent publication/advice.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Fines / penalties / punitive damages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excludes non-compensatory damages BUT writes back libel/slander/defamation awards and punitive damages where the law permits — a favourable carve-back. (Note: AXA XL’s general policy excludes punitive/exemplary damages and fines ABSOLUTELY, with no write-back — TMHCC is clearer/broader.)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Prior known claims / circumstances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three (claims-made hygiene).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Insolvency / financial failure of the insured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expressly excludes claims arising from its own insolvency/liquidation. Competitor positions require review.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USA / Canada jurisdiction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excludes actions brought / governed outside the stated Jurisdiction (default ex-US/Canada). Tysers PI is WORLDWIDE. Yutree restricts US/Canada exposure. Competitor (Tysers) broader.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exclude patents; Tysers covers patent infringement. TMHCC sensibly more restrictive.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 act / breach of data-protection law (within PI)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Yutree’s PI carries a broad cyber-act &amp; data-protection-law exclusion. TMHCC instead grants bespoke cover (virus, unauthorised access, DP defence costs) — TMHCC broader/clearer.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/ seepage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Tysers exclude pollution from PI; Yutree grants a limited write-back for the insured’s own negligent act/error/omission.</w:t>
            </w:r>
          </w:p>
        </w:tc>
      </w:tr>
    </w:tbl>
    <w:p>
      <w:pPr>
        <w:spacing w:after="120"/>
      </w:pP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Exclusions — key takeaways: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is sensibly MORE protected on communicable disease, patents and US/Canada jurisdiction. The genuine write-back opportunities a competitor offers are: asbestos professional-duty (Tysers), pollution negligent-advice (Yutree) and a rated worldwide/US-Canada PI option (Tysers). TMHCC is clearer where its cyber/date exclusion is dis-applied to the liability sections, avoiding a ‘silent-cyber strip’ of PI.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Conditions, warranties and claims obligations</w:t>
      </w:r>
    </w:p>
    <w:tbl>
      <w:tblPr>
        <w:tblW w:type="dxa" w:w="1474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552"/>
        <w:gridCol w:w="2211"/>
        <w:gridCol w:w="2211"/>
        <w:gridCol w:w="1871"/>
        <w:gridCol w:w="1871"/>
        <w:gridCol w:w="1814"/>
      </w:tblGrid>
      <w:tr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Condition / obligation</w:t>
            </w:r>
          </w:p>
        </w:tc>
        <w:tc>
          <w:tcPr>
            <w:tcW w:type="dxa" w:w="255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Claim notification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Express CONDITION PRECEDENT to liability — notify as soon as practicable (S1–11); S13 within 28 days; S12 claims-made notification during the period. Among the most protective drafting.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Notification under Special Condition 1; S8 PI is claims-made.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Claims-made; defined notification conditions for claims and claim circumstances.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Forward every claim document immediately on receipt.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Forward claim/notify per claims condition; potential proportionate remedy.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Written notice to Insurer per Policy Conditions; claims co-operation conditions.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Basis of cover (PI/Media)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Media Liability is claims-made with Retroactive Date; defence-costs in addition.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PI/E&amp;O claims-made; defence costs in addition; Excess does not apply to defence costs.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PI-Media claims-made; retroactive date; defence costs in addition.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Reasonable precautions / cyber-security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imposes detailed computer-security conditions (firewall, AV, password change/60 days, encryption, logging, back-ups) and ‘reasonable steps to avoid loss’.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Loss-of-documents condition requires back-ups at least every 7 days off-site.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and security expectations apply.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General ‘your duties’ / reasonable precautions section.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and maintenance conditions.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/ maintenance and duty-of-care conditions.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Change of control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cover ceases on a change of control unless notified and agreed by endorsement.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Requires review.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Addressed via subsidiary creation/acquisition cover.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Premium payment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premium payment clause — 60 days, with 15-day cancellation notice.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policy/General Conditions.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Premium-adjustment condition with cancellation rights.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cancellation section.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cancellation provisions.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premium / cancellation provisions (Policy Conditions).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Fair presentation (Insurance Act 2015)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Duty of fair presentation applies (UK).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Duty of fair presentation; Zurich data terms.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Express duty of fair presentation.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‘Your duties’ — fair presentation.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Fair-presentation conditions.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relies on information provided; fair-presentation basis.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Defence / dispute resolution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consent required (CP); general mediation/dispute condition (England &amp; Wales).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controls defence; consent to settle.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Clear King’s Counsel arbitration clause for defence/settlement disputes — strong drafting.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</w:tr>
    </w:tbl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Claims obligations: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TMHCC’s claim-notification is an EXPRESS condition precedent to liability — among the most protective drafting in the peer group, and a point to retain (not soften). Yutree’s King’s Counsel dispute clause is a drafting-clarity advantage TMHCC could adopt.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10  </w:t>
      </w:r>
      <w:r>
        <w:rPr>
          <w:rFonts w:ascii="Lato" w:hAnsi="Lato" w:cs="Lato"/>
          <w:b/>
          <w:i w:val="0"/>
          <w:color w:val="00648B"/>
          <w:sz w:val="30"/>
        </w:rPr>
        <w:t>Limits, sub-limits and excess comparison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Primary limits and excesses are schedule-driven and were not supplied; the table below compares the principal SUB-LIMITS within the Media Liability / PI sections (Liberty, Allianz and AXA XL have no PI section).</w:t>
      </w:r>
    </w:p>
    <w:tbl>
      <w:tblPr>
        <w:tblW w:type="dxa" w:w="14458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98"/>
        <w:gridCol w:w="2098"/>
        <w:gridCol w:w="1871"/>
        <w:gridCol w:w="1871"/>
        <w:gridCol w:w="1871"/>
      </w:tblGrid>
      <w:tr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Media / PI sub-limit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09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09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Primary limit of indemnity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Virus transmission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cyber excl.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Data-protection defence costs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PL: DP Act 2018 ext.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defence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 (DP only)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1,000,000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Reputation management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Withdrawal of content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Pursue insured’s own IP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Limit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1,000,000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Limit (GBP 500 xs)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DP only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crim. defence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Court attendance (per day)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 / 250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 / 250 (25k agg)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Review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5x limit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</w:tbl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Excess: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and the competitors apply a per-claim excess per the Schedule; both Tysers and TMHCC pay defence costs in addition to the limit (Tysers states the excess does not apply to defence costs). Confirm final limits/excesses against each Schedule.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11  </w:t>
      </w:r>
      <w:r>
        <w:rPr>
          <w:rFonts w:ascii="Lato" w:hAnsi="Lato" w:cs="Lato"/>
          <w:b/>
          <w:i w:val="0"/>
          <w:color w:val="00648B"/>
          <w:sz w:val="30"/>
        </w:rPr>
        <w:t>Legal / underwriting review notes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Items flagged ‘requires review’ in the matrices, plus points for TMHCC legal / underwriting sign-off: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whether TMHCC offers Personal Accident / Business Travel by endorsement (no standalone section identified).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references a ‘Personal Accident’ section in its exclusions that is not in the provided cover list — confirm against the Allianz schedule.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communicable-disease exclusion positions in the Yutree, Liberty and Allianz wordings (TMHCC carries a broad exclusion).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Tysers and Yutree positions on fines/penalties and insolvency exclusions within PI (marked ‘review’).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Increased Cost of Working / Book Debts and computer-breakdown are expressly addressed within TMHCC S3 and S1/S2 respectively.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Primary limits, excesses and any ‘insured/not insured’ toggles are schedule-driven and must be confirmed against each Schedule.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This comparison is indicative and for broking reference; it is subject to final TMHCC legal / underwriting sign-off before market use.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12  </w:t>
      </w:r>
      <w:r>
        <w:rPr>
          <w:rFonts w:ascii="Lato" w:hAnsi="Lato" w:cs="Lato"/>
          <w:b/>
          <w:i w:val="0"/>
          <w:color w:val="00648B"/>
          <w:sz w:val="30"/>
        </w:rPr>
        <w:t>Appendix — detailed clause mapping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Cross-reference of comparable cover by FUNCTION across the wordings (section names are the actual headings used in each policy).</w:t>
      </w:r>
    </w:p>
    <w:tbl>
      <w:tblPr>
        <w:tblW w:type="dxa" w:w="14232"/>
        <w:jc w:val="center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155"/>
        <w:gridCol w:w="2155"/>
        <w:gridCol w:w="2041"/>
        <w:gridCol w:w="1871"/>
        <w:gridCol w:w="1871"/>
        <w:gridCol w:w="1871"/>
      </w:tblGrid>
      <w:tr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Cover (by function)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Premises material damage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Business ‘All Risks’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Property Damage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Property damage – All risks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Material Damage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Property Damage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Buildings/Contents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Production / entertainment equipment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Property &amp; Equipment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Production Property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Production property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S1 / Schedule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Specified All Risks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Technical Equipment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Business interruption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Business Interruption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BI ‘All Risks’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BI – All risks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Business Interruption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BI / S2a ICOW / S3 Book Debts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BI Section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Terrorism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Terrorism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Terrorism section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Terrorism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Terrorism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 (3.4)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Employers’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Employers’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Employers’ Liability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Employers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Employer’s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S7 Employers’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7C Employers’ Liability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Public &amp; products liability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Public / S7 Products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S7 Public &amp; Products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Public &amp; products liability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Public &amp; Products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Public &amp; Products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7A Public / 7B Product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Money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Money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Money &amp; PA assault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Money spec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Goods in transit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S9 Goods in Transit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Goods in transit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Own Goods in Transit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Loss of licence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S10 Loss of Licence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Production indemnity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S11 Production Indemnity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Multimedia &amp; Producers Indemnity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Production indemnity – All risks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Media liability / PI / E&amp;O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Media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Professional Indemnity/E&amp;O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PI – Media; PI – Events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Legal expenses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S13 Commercial Legal Expenses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Management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S14 Management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Cyber liability (standalone)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S15 CyberGuard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Computer breakdown (first-party)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 (3.7)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Personal accident / travel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S9 PA &amp; Business Travel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PA assault (Money/PA)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Referenced – review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</w:tbl>
    <w:p>
      <w:pPr>
        <w:spacing w:after="120"/>
      </w:pP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7"/>
        </w:rPr>
        <w:t>End of Full Coverage Comparison. A companion document — TMHCC Gap-Fill / Wording Enhancement Strategy — sets out the recommended enhancements arising from this comparison.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pct" w:w="5000"/>
      <w:jc w:val="center"/>
      <w:tblBorders>
        <w:top w:val="none"/>
        <w:left w:val="none"/>
        <w:bottom w:val="none"/>
        <w:right w:val="none"/>
        <w:insideH w:val="none"/>
        <w:insideV w:val="none"/>
      </w:tblBorders>
      <w:tblLayout w:type="fixed"/>
      <w:tblLook w:firstColumn="1" w:firstRow="1" w:lastColumn="0" w:lastRow="0" w:noHBand="0" w:noVBand="1" w:val="04A0"/>
    </w:tblPr>
    <w:tblGrid>
      <w:gridCol w:w="7569"/>
      <w:gridCol w:w="7569"/>
    </w:tblGrid>
    <w:tr>
      <w:tc>
        <w:tcPr>
          <w:tcW w:type="dxa" w:w="11202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3936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