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582188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hcc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88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spacing w:after="40"/>
      </w:pPr>
      <w:r>
        <w:rPr>
          <w:rFonts w:ascii="Lato" w:hAnsi="Lato" w:cs="Lato"/>
          <w:b/>
          <w:i w:val="0"/>
          <w:color w:val="B88A3C"/>
          <w:sz w:val="22"/>
          <w:caps w:val="true"/>
        </w:rPr>
        <w:t>QA &amp; Methodology — Media &amp; Entertainment</w:t>
      </w:r>
    </w:p>
    <w:p>
      <w:pPr>
        <w:spacing w:after="80"/>
        <w:pBdr>
          <w:bottom w:val="single" w:sz="14" w:space="2" w:color="B88A3C"/>
        </w:pBdr>
      </w:pPr>
      <w:r>
        <w:rPr>
          <w:rFonts w:ascii="Lato" w:hAnsi="Lato" w:cs="Lato"/>
          <w:b/>
          <w:i w:val="0"/>
          <w:color w:val="00648B"/>
          <w:sz w:val="60"/>
        </w:rPr>
        <w:t>QA / Methodology Report</w:t>
      </w:r>
    </w:p>
    <w:p>
      <w:pPr>
        <w:spacing w:after="280" w:before="120"/>
      </w:pPr>
      <w:r>
        <w:rPr>
          <w:rFonts w:ascii="Lato" w:hAnsi="Lato" w:cs="Lato"/>
          <w:b w:val="0"/>
          <w:i w:val="0"/>
          <w:color w:val="2B2F33"/>
          <w:sz w:val="26"/>
        </w:rPr>
        <w:t>Quality-assurance record and methodology for the TMHCC Media &amp; Entertainment coverage comparison and gap-fill strategy.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Wordings reviewed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TMHCC — TMHCC_Media_Combined_0526_FINAL_amended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Tysers (Zurich) — Tysers Media Policy V6.2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Yutree (AXA) — Media and Entertainment by Yutree Policy Wording, March 2024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Liberty — Liberty Entertainment Combined Policy (final v1, 12.11.24)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Allianz — Entertainment Complete (Allianz)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AXA XL — axa_xl_wording (June 2021)</w:t>
      </w:r>
    </w:p>
    <w:p>
      <w:pPr>
        <w:spacing w:after="200"/>
      </w:pP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Accompanies the Full Coverage Comparison and the Gap-Fill / Wording Enhancement Strategy.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Subject to final TMHCC legal / underwriting sign-off.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  </w:t>
      </w:r>
      <w:r>
        <w:rPr>
          <w:rFonts w:ascii="Lato" w:hAnsi="Lato" w:cs="Lato"/>
          <w:b/>
          <w:i w:val="0"/>
          <w:color w:val="00648B"/>
          <w:sz w:val="30"/>
        </w:rPr>
        <w:t>Documents reviewed</w:t>
      </w:r>
    </w:p>
    <w:tbl>
      <w:tblPr>
        <w:tblW w:type="dxa" w:w="10093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2608"/>
        <w:gridCol w:w="2381"/>
      </w:tblGrid>
      <w:tr>
        <w:tc>
          <w:tcPr>
            <w:tcW w:type="dxa" w:w="170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Wording</w:t>
            </w:r>
          </w:p>
        </w:tc>
        <w:tc>
          <w:tcPr>
            <w:tcW w:type="dxa" w:w="340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Source file</w:t>
            </w:r>
          </w:p>
        </w:tc>
        <w:tc>
          <w:tcPr>
            <w:tcW w:type="dxa" w:w="260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Capacity / insurer</w:t>
            </w:r>
          </w:p>
        </w:tc>
        <w:tc>
          <w:tcPr>
            <w:tcW w:type="dxa" w:w="238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Structure</w:t>
            </w:r>
          </w:p>
        </w:tc>
      </w:tr>
      <w:tr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</w:t>
            </w:r>
          </w:p>
        </w:tc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TMHCC_Media_Combined_0526_FINAL_amended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Tokio Marine HCC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15 sections (master/primary wording)</w:t>
            </w:r>
          </w:p>
        </w:tc>
      </w:tr>
      <w:tr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Tysers (Zurich)</w:t>
            </w:r>
          </w:p>
        </w:tc>
        <w:tc>
          <w:tcPr>
            <w:tcW w:type="dxa" w:w="340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Media Policy V6.2</w:t>
            </w:r>
          </w:p>
        </w:tc>
        <w:tc>
          <w:tcPr>
            <w:tcW w:type="dxa" w:w="260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Zurich Insurance plc (capacity)</w:t>
            </w:r>
          </w:p>
        </w:tc>
        <w:tc>
          <w:tcPr>
            <w:tcW w:type="dxa" w:w="238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9 sections</w:t>
            </w:r>
          </w:p>
        </w:tc>
      </w:tr>
      <w:tr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Yutree (AXA)</w:t>
            </w:r>
          </w:p>
        </w:tc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Media and Entertainment by Yutree Policy Wording, March 2024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AXA Insurance UK plc (capacity); Yutree Underwriting (MGA)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12 cover sections</w:t>
            </w:r>
          </w:p>
        </w:tc>
      </w:tr>
      <w:tr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Liberty</w:t>
            </w:r>
          </w:p>
        </w:tc>
        <w:tc>
          <w:tcPr>
            <w:tcW w:type="dxa" w:w="340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Liberty Entertainment Combined Policy (final v1, 12.11.24)</w:t>
            </w:r>
          </w:p>
        </w:tc>
        <w:tc>
          <w:tcPr>
            <w:tcW w:type="dxa" w:w="260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Liberty (Liberty Specialty Markets)</w:t>
            </w:r>
          </w:p>
        </w:tc>
        <w:tc>
          <w:tcPr>
            <w:tcW w:type="dxa" w:w="238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6 cover sections</w:t>
            </w:r>
          </w:p>
        </w:tc>
      </w:tr>
      <w:tr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Allianz</w:t>
            </w:r>
          </w:p>
        </w:tc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Entertainment Complete (Allianz)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Allianz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8 cover sections (+ Terrorism)</w:t>
            </w:r>
          </w:p>
        </w:tc>
      </w:tr>
      <w:tr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AXA XL</w:t>
            </w:r>
          </w:p>
        </w:tc>
        <w:tc>
          <w:tcPr>
            <w:tcW w:type="dxa" w:w="340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axa_xl_wording (June 2021)</w:t>
            </w:r>
          </w:p>
        </w:tc>
        <w:tc>
          <w:tcPr>
            <w:tcW w:type="dxa" w:w="260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XL Catlin Insurance Company UK Ltd (AXA XL)</w:t>
            </w:r>
          </w:p>
        </w:tc>
        <w:tc>
          <w:tcPr>
            <w:tcW w:type="dxa" w:w="238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3 operative sections (MD / BI / Liability)</w:t>
            </w:r>
          </w:p>
        </w:tc>
      </w:tr>
    </w:tbl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2  </w:t>
      </w:r>
      <w:r>
        <w:rPr>
          <w:rFonts w:ascii="Lato" w:hAnsi="Lato" w:cs="Lato"/>
          <w:b/>
          <w:i w:val="0"/>
          <w:color w:val="00648B"/>
          <w:sz w:val="30"/>
        </w:rPr>
        <w:t>Comparison method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 six wordings were parsed in full to text; coverage was compared by FUNCTION, not heading, because the wordings are structured differently.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Section maps were taken from each policy’s contents/insuring clauses; feature-level findings from the operative clauses, extensions, conditions and exclusions actually read.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Where a clause could not be verified from the wording it is marked ‘? requires review’ rather than assumed.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cover has been invented; competitor marketing language has not been treated as cover.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TMHCC is recorded as having a gap ONLY where at least one competitor genuinely provides broader, clearer or materially useful cover.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Exclusions, limits, conditions, warranties and write-backs were reviewed in detail and are not softened.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Liberty, Allianz and AXA XL are property / BI / liability combined packages and contain NO media/PI/E&amp;O, production-indemnity, cyber-liability, legal-expenses or management-liability sections.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 five competitor wordings have now been mapped, including AXA XL (the fifth wording).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3  </w:t>
      </w:r>
      <w:r>
        <w:rPr>
          <w:rFonts w:ascii="Lato" w:hAnsi="Lato" w:cs="Lato"/>
          <w:b/>
          <w:i w:val="0"/>
          <w:color w:val="00648B"/>
          <w:sz w:val="30"/>
        </w:rPr>
        <w:t>Key TMHCC strengths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Widest section count in the peer group:  </w:t>
      </w:r>
      <w:r>
        <w:rPr>
          <w:rFonts w:ascii="Lato" w:hAnsi="Lato" w:cs="Lato"/>
          <w:b w:val="0"/>
          <w:i w:val="0"/>
          <w:color w:val="2B2F33"/>
          <w:sz w:val="19"/>
        </w:rPr>
        <w:t>The only wording among the six offering all 15 sections in a single contract — a genuine ‘one-stop’ media &amp; entertainment package. Three of the five competitors (Liberty, Allianz and AXA XL) carry NO media/PI cover at all.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Four sections no competitor offers:  </w:t>
      </w:r>
      <w:r>
        <w:rPr>
          <w:rFonts w:ascii="Lato" w:hAnsi="Lato" w:cs="Lato"/>
          <w:b w:val="0"/>
          <w:i w:val="0"/>
          <w:color w:val="2B2F33"/>
          <w:sz w:val="19"/>
        </w:rPr>
        <w:t>Loss of Licence (S10), Commercial Legal Expenses (S13), Management Liability (S14) and a standalone Cyber-liability section (S15 CyberGuard) are unique to TMHCC across all five competitors.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Standalone cyber that is genuine liability cover:  </w:t>
      </w:r>
      <w:r>
        <w:rPr>
          <w:rFonts w:ascii="Lato" w:hAnsi="Lato" w:cs="Lato"/>
          <w:b w:val="0"/>
          <w:i w:val="0"/>
          <w:color w:val="2B2F33"/>
          <w:sz w:val="19"/>
        </w:rPr>
        <w:t>CyberGuard provides multimedia, security &amp; privacy, privacy-regulatory defence &amp; penalties and PCI DSS cover — not merely first-party breakdown, and not a bare cyber EXCLUSION (as in AXA XL).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Broad, well-extended Media Liability (S12):  </w:t>
      </w:r>
      <w:r>
        <w:rPr>
          <w:rFonts w:ascii="Lato" w:hAnsi="Lato" w:cs="Lato"/>
          <w:b w:val="0"/>
          <w:i w:val="0"/>
          <w:color w:val="2B2F33"/>
          <w:sz w:val="19"/>
        </w:rPr>
        <w:t>Wide ‘any other civil liability’ grant plus employee-dishonesty write-back, Data-Protection Defence Costs (GBP 250k), Reputation Management (GBP 250k), Withdrawal of Content (GBP 250k), IP-pursuit costs (GBP 25k) and M&amp;A auto-acquisition.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Clean exclusion architecture:  </w:t>
      </w:r>
      <w:r>
        <w:rPr>
          <w:rFonts w:ascii="Lato" w:hAnsi="Lato" w:cs="Lato"/>
          <w:b w:val="0"/>
          <w:i w:val="0"/>
          <w:color w:val="2B2F33"/>
          <w:sz w:val="19"/>
        </w:rPr>
        <w:t>The general cyber/date exclusion is dis-applied to Sections 12–15, so the liability sections are governed by their own bespoke terms — avoiding the ‘silent-cyber strip’ seen in a competitor PI section and AXA XL’s blanket cyber exclusion.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Favourable fines/penalties carve-back:  </w:t>
      </w:r>
      <w:r>
        <w:rPr>
          <w:rFonts w:ascii="Lato" w:hAnsi="Lato" w:cs="Lato"/>
          <w:b w:val="0"/>
          <w:i w:val="0"/>
          <w:color w:val="2B2F33"/>
          <w:sz w:val="19"/>
        </w:rPr>
        <w:t>Non-compensatory damages are written back for libel/slander/defamation awards and for punitive damages where the law permits payment — AXA XL, by contrast, excludes punitive/fines absolutely.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Protective, clearly-drafted claims architecture:  </w:t>
      </w:r>
      <w:r>
        <w:rPr>
          <w:rFonts w:ascii="Lato" w:hAnsi="Lato" w:cs="Lato"/>
          <w:b w:val="0"/>
          <w:i w:val="0"/>
          <w:color w:val="2B2F33"/>
          <w:sz w:val="19"/>
        </w:rPr>
        <w:t>Claim notification is an express condition precedent; aggregation, retroactive date and territorial/jurisdiction terms are clearly defined.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4  </w:t>
      </w:r>
      <w:r>
        <w:rPr>
          <w:rFonts w:ascii="Lato" w:hAnsi="Lato" w:cs="Lato"/>
          <w:b/>
          <w:i w:val="0"/>
          <w:color w:val="00648B"/>
          <w:sz w:val="30"/>
        </w:rPr>
        <w:t>Key TMHCC gaps (vs competitors)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Worldwide PI territory (Tysers):  </w:t>
      </w:r>
      <w:r>
        <w:rPr>
          <w:rFonts w:ascii="Lato" w:hAnsi="Lato" w:cs="Lato"/>
          <w:b w:val="0"/>
          <w:i w:val="0"/>
          <w:color w:val="2B2F33"/>
          <w:sz w:val="19"/>
        </w:rPr>
        <w:t>Tysers PI/E&amp;O is worldwide; TMHCC S12 is limited to the Schedule Geographical Limits and excludes actions brought outside the stated Jurisdiction.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Patent infringement (Tysers):  </w:t>
      </w:r>
      <w:r>
        <w:rPr>
          <w:rFonts w:ascii="Lato" w:hAnsi="Lato" w:cs="Lato"/>
          <w:b w:val="0"/>
          <w:i w:val="0"/>
          <w:color w:val="2B2F33"/>
          <w:sz w:val="19"/>
        </w:rPr>
        <w:t>Tysers covers patent infringement within IP; TMHCC (and Yutree) exclude it.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Statutory / criminal defence costs (Tysers &amp; Yutree):  </w:t>
      </w:r>
      <w:r>
        <w:rPr>
          <w:rFonts w:ascii="Lato" w:hAnsi="Lato" w:cs="Lato"/>
          <w:b w:val="0"/>
          <w:i w:val="0"/>
          <w:color w:val="2B2F33"/>
          <w:sz w:val="19"/>
        </w:rPr>
        <w:t>Tysers funds Bribery/Corporate-Manslaughter/H&amp;S/CDM defence (GBP 1m); Yutree funds criminal-prosecution defence (GBP 250k). TMHCC S12 funds only data-protection defence (broader criminal cover sits in S13/S14).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Distributors &amp; purchasers (Tysers):  </w:t>
      </w:r>
      <w:r>
        <w:rPr>
          <w:rFonts w:ascii="Lato" w:hAnsi="Lato" w:cs="Lato"/>
          <w:b w:val="0"/>
          <w:i w:val="0"/>
          <w:color w:val="2B2F33"/>
          <w:sz w:val="19"/>
        </w:rPr>
        <w:t>Tysers extends PI to purchasers/co-producers/distributors of the insured’s media material (5x limit) — absent from TMHCC.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Journalistic source protection (Tysers):  </w:t>
      </w:r>
      <w:r>
        <w:rPr>
          <w:rFonts w:ascii="Lato" w:hAnsi="Lato" w:cs="Lato"/>
          <w:b w:val="0"/>
          <w:i w:val="0"/>
          <w:color w:val="2B2F33"/>
          <w:sz w:val="19"/>
        </w:rPr>
        <w:t>Tysers funds legal costs to challenge a subpoena requiring disclosure of a source — absent from TMHCC.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Personal Accident &amp; Business Travel (Tysers; Yutree assault):  </w:t>
      </w:r>
      <w:r>
        <w:rPr>
          <w:rFonts w:ascii="Lato" w:hAnsi="Lato" w:cs="Lato"/>
          <w:b w:val="0"/>
          <w:i w:val="0"/>
          <w:color w:val="2B2F33"/>
          <w:sz w:val="19"/>
        </w:rPr>
        <w:t>Tysers has an extensive PA/business-travel section; Yutree covers PA assault. TMHCC, Liberty, Allianz and AXA XL have no PA section.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Granular BI heads (Allianz):  </w:t>
      </w:r>
      <w:r>
        <w:rPr>
          <w:rFonts w:ascii="Lato" w:hAnsi="Lato" w:cs="Lato"/>
          <w:b w:val="0"/>
          <w:i w:val="0"/>
          <w:color w:val="2B2F33"/>
          <w:sz w:val="19"/>
        </w:rPr>
        <w:t>Allianz splits Increased Cost of Working and Book Debts into discrete sections — a presentational advantage.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Standalone Computer Breakdown (Yutree):  </w:t>
      </w:r>
      <w:r>
        <w:rPr>
          <w:rFonts w:ascii="Lato" w:hAnsi="Lato" w:cs="Lato"/>
          <w:b w:val="0"/>
          <w:i w:val="0"/>
          <w:color w:val="2B2F33"/>
          <w:sz w:val="19"/>
        </w:rPr>
        <w:t>Yutree offers a dedicated computer-breakdown section; TMHCC consolidates IT breakdown within S1/S2 — confirm it is explicit.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Limited pollution write-back in PI (Yutree):  </w:t>
      </w:r>
      <w:r>
        <w:rPr>
          <w:rFonts w:ascii="Lato" w:hAnsi="Lato" w:cs="Lato"/>
          <w:b w:val="0"/>
          <w:i w:val="0"/>
          <w:color w:val="2B2F33"/>
          <w:sz w:val="19"/>
        </w:rPr>
        <w:t>Yutree grants a limited pollution write-back for the insured’s own negligent act/error/omission.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KC dispute-resolution clause (Yutree):  </w:t>
      </w:r>
      <w:r>
        <w:rPr>
          <w:rFonts w:ascii="Lato" w:hAnsi="Lato" w:cs="Lato"/>
          <w:b w:val="0"/>
          <w:i w:val="0"/>
          <w:color w:val="2B2F33"/>
          <w:sz w:val="19"/>
        </w:rPr>
        <w:t>Yutree’s clear King’s Counsel arbitration clause for defence disputes is a drafting-clarity advantage.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5  </w:t>
      </w:r>
      <w:r>
        <w:rPr>
          <w:rFonts w:ascii="Lato" w:hAnsi="Lato" w:cs="Lato"/>
          <w:b/>
          <w:i w:val="0"/>
          <w:color w:val="00648B"/>
          <w:sz w:val="30"/>
        </w:rPr>
        <w:t>Recommended enhancements (priority order)</w:t>
      </w:r>
    </w:p>
    <w:tbl>
      <w:tblPr>
        <w:tblW w:type="dxa" w:w="10093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510"/>
        <w:gridCol w:w="7654"/>
        <w:gridCol w:w="1928"/>
      </w:tblGrid>
      <w:tr>
        <w:tc>
          <w:tcPr>
            <w:tcW w:type="dxa" w:w="51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765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Recommendation</w:t>
            </w:r>
          </w:p>
        </w:tc>
        <w:tc>
          <w:tcPr>
            <w:tcW w:type="dxa" w:w="192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510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1</w:t>
            </w:r>
          </w:p>
        </w:tc>
        <w:tc>
          <w:tcPr>
            <w:tcW w:type="dxa" w:w="765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Add a Personal Accident &amp; Business Travel extension/section</w:t>
            </w:r>
          </w:p>
        </w:tc>
        <w:tc>
          <w:tcPr>
            <w:tcW w:type="dxa" w:w="1928"/>
            <w:shd w:val="clear" w:color="auto" w:fill="FBE6E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>High</w:t>
            </w:r>
          </w:p>
        </w:tc>
      </w:tr>
      <w:tr>
        <w:tc>
          <w:tcPr>
            <w:tcW w:type="dxa" w:w="510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2</w:t>
            </w:r>
          </w:p>
        </w:tc>
        <w:tc>
          <w:tcPr>
            <w:tcW w:type="dxa" w:w="765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Offer a worldwide / US-Canada territory option for Media Liability</w:t>
            </w:r>
          </w:p>
        </w:tc>
        <w:tc>
          <w:tcPr>
            <w:tcW w:type="dxa" w:w="1928"/>
            <w:shd w:val="clear" w:color="auto" w:fill="FBE6E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>High</w:t>
            </w:r>
          </w:p>
        </w:tc>
      </w:tr>
      <w:tr>
        <w:tc>
          <w:tcPr>
            <w:tcW w:type="dxa" w:w="510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3</w:t>
            </w:r>
          </w:p>
        </w:tc>
        <w:tc>
          <w:tcPr>
            <w:tcW w:type="dxa" w:w="765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Broaden criminal / regulatory defence-costs in Media Liability (or signpost S13/S14)</w:t>
            </w:r>
          </w:p>
        </w:tc>
        <w:tc>
          <w:tcPr>
            <w:tcW w:type="dxa" w:w="1928"/>
            <w:shd w:val="clear" w:color="auto" w:fill="FBE6E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>Medium-High</w:t>
            </w:r>
          </w:p>
        </w:tc>
      </w:tr>
      <w:tr>
        <w:tc>
          <w:tcPr>
            <w:tcW w:type="dxa" w:w="510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4</w:t>
            </w:r>
          </w:p>
        </w:tc>
        <w:tc>
          <w:tcPr>
            <w:tcW w:type="dxa" w:w="765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Add a Distributors &amp; Purchasers extension to Media Liability</w:t>
            </w:r>
          </w:p>
        </w:tc>
        <w:tc>
          <w:tcPr>
            <w:tcW w:type="dxa" w:w="1928"/>
            <w:shd w:val="clear" w:color="auto" w:fill="FBF1D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6"/>
              </w:rPr>
              <w:t>Medium</w:t>
            </w:r>
          </w:p>
        </w:tc>
      </w:tr>
      <w:tr>
        <w:tc>
          <w:tcPr>
            <w:tcW w:type="dxa" w:w="510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5</w:t>
            </w:r>
          </w:p>
        </w:tc>
        <w:tc>
          <w:tcPr>
            <w:tcW w:type="dxa" w:w="765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Add journalistic source-protection costs to Media Liability</w:t>
            </w:r>
          </w:p>
        </w:tc>
        <w:tc>
          <w:tcPr>
            <w:tcW w:type="dxa" w:w="1928"/>
            <w:shd w:val="clear" w:color="auto" w:fill="FBF1D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6"/>
              </w:rPr>
              <w:t>Medium</w:t>
            </w:r>
          </w:p>
        </w:tc>
      </w:tr>
      <w:tr>
        <w:tc>
          <w:tcPr>
            <w:tcW w:type="dxa" w:w="510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6</w:t>
            </w:r>
          </w:p>
        </w:tc>
        <w:tc>
          <w:tcPr>
            <w:tcW w:type="dxa" w:w="765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Add representation costs at investigations/inquiries to Media Liability</w:t>
            </w:r>
          </w:p>
        </w:tc>
        <w:tc>
          <w:tcPr>
            <w:tcW w:type="dxa" w:w="1928"/>
            <w:shd w:val="clear" w:color="auto" w:fill="FBF1D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6"/>
              </w:rPr>
              <w:t>Medium</w:t>
            </w:r>
          </w:p>
        </w:tc>
      </w:tr>
      <w:tr>
        <w:tc>
          <w:tcPr>
            <w:tcW w:type="dxa" w:w="510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7</w:t>
            </w:r>
          </w:p>
        </w:tc>
        <w:tc>
          <w:tcPr>
            <w:tcW w:type="dxa" w:w="765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Consider a limited asbestos / pollution professional-duty write-back in PI</w:t>
            </w:r>
          </w:p>
        </w:tc>
        <w:tc>
          <w:tcPr>
            <w:tcW w:type="dxa" w:w="1928"/>
            <w:shd w:val="clear" w:color="auto" w:fill="FBF1D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6"/>
              </w:rPr>
              <w:t>Medium</w:t>
            </w:r>
          </w:p>
        </w:tc>
      </w:tr>
      <w:tr>
        <w:tc>
          <w:tcPr>
            <w:tcW w:type="dxa" w:w="510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8</w:t>
            </w:r>
          </w:p>
        </w:tc>
        <w:tc>
          <w:tcPr>
            <w:tcW w:type="dxa" w:w="765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Make Increased Cost of Working / Book Debts explicit in BI</w:t>
            </w:r>
          </w:p>
        </w:tc>
        <w:tc>
          <w:tcPr>
            <w:tcW w:type="dxa" w:w="1928"/>
            <w:shd w:val="clear" w:color="auto" w:fill="FBF1DA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6"/>
              </w:rPr>
              <w:t>Medium</w:t>
            </w:r>
          </w:p>
        </w:tc>
      </w:tr>
      <w:tr>
        <w:tc>
          <w:tcPr>
            <w:tcW w:type="dxa" w:w="510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9</w:t>
            </w:r>
          </w:p>
        </w:tc>
        <w:tc>
          <w:tcPr>
            <w:tcW w:type="dxa" w:w="765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Adopt a King’s Counsel dispute-resolution clause in Media Liability</w:t>
            </w:r>
          </w:p>
        </w:tc>
        <w:tc>
          <w:tcPr>
            <w:tcW w:type="dxa" w:w="1928"/>
            <w:shd w:val="clear" w:color="auto" w:fill="EEF1F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>Low-Medium</w:t>
            </w:r>
          </w:p>
        </w:tc>
      </w:tr>
      <w:tr>
        <w:tc>
          <w:tcPr>
            <w:tcW w:type="dxa" w:w="510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10</w:t>
            </w:r>
          </w:p>
        </w:tc>
        <w:tc>
          <w:tcPr>
            <w:tcW w:type="dxa" w:w="765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Confirm/clarify computer-breakdown cover within S1/S2</w:t>
            </w:r>
          </w:p>
        </w:tc>
        <w:tc>
          <w:tcPr>
            <w:tcW w:type="dxa" w:w="1928"/>
            <w:shd w:val="clear" w:color="auto" w:fill="EEF1F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>Low-Medium</w:t>
            </w:r>
          </w:p>
        </w:tc>
      </w:tr>
      <w:tr>
        <w:tc>
          <w:tcPr>
            <w:tcW w:type="dxa" w:w="510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11</w:t>
            </w:r>
          </w:p>
        </w:tc>
        <w:tc>
          <w:tcPr>
            <w:tcW w:type="dxa" w:w="765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Add a defined term for ‘Media Material’</w:t>
            </w:r>
          </w:p>
        </w:tc>
        <w:tc>
          <w:tcPr>
            <w:tcW w:type="dxa" w:w="1928"/>
            <w:shd w:val="clear" w:color="auto" w:fill="EEF1F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>Low</w:t>
            </w:r>
          </w:p>
        </w:tc>
      </w:tr>
      <w:tr>
        <w:tc>
          <w:tcPr>
            <w:tcW w:type="dxa" w:w="510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12</w:t>
            </w:r>
          </w:p>
        </w:tc>
        <w:tc>
          <w:tcPr>
            <w:tcW w:type="dxa" w:w="765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LEAVE UNCHANGED — patents, communicable disease and default US/Canada exclusion</w:t>
            </w:r>
          </w:p>
        </w:tc>
        <w:tc>
          <w:tcPr>
            <w:tcW w:type="dxa" w:w="1928"/>
            <w:shd w:val="clear" w:color="auto" w:fill="EEF1F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>Low</w:t>
            </w:r>
          </w:p>
        </w:tc>
      </w:tr>
    </w:tbl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6  </w:t>
      </w:r>
      <w:r>
        <w:rPr>
          <w:rFonts w:ascii="Lato" w:hAnsi="Lato" w:cs="Lato"/>
          <w:b/>
          <w:i w:val="0"/>
          <w:color w:val="00648B"/>
          <w:sz w:val="30"/>
        </w:rPr>
        <w:t>Key exclusions issues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Asbestos (PI):  </w:t>
      </w:r>
      <w:r>
        <w:rPr>
          <w:rFonts w:ascii="Lato" w:hAnsi="Lato" w:cs="Lato"/>
          <w:b w:val="0"/>
          <w:i w:val="0"/>
          <w:color w:val="2B2F33"/>
          <w:sz w:val="19"/>
        </w:rPr>
        <w:t>Professional-duty write-back (GBP 1m, ex-BI) — TMHCC: TMHCC excludes asbestos in PI. Action: Consider narrow negligent-advice write-back (ex-BI, ex-contamination) (priority Medium).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Pollution (PI):  </w:t>
      </w:r>
      <w:r>
        <w:rPr>
          <w:rFonts w:ascii="Lato" w:hAnsi="Lato" w:cs="Lato"/>
          <w:b w:val="0"/>
          <w:i w:val="0"/>
          <w:color w:val="2B2F33"/>
          <w:sz w:val="19"/>
        </w:rPr>
        <w:t>Write-back for insured’s own negligent act/error/omission — TMHCC: TMHCC excludes pollution in PI. Action: Consider narrow negligent-advice write-back (priority Medium).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USA/Canada jurisdiction (PI):  </w:t>
      </w:r>
      <w:r>
        <w:rPr>
          <w:rFonts w:ascii="Lato" w:hAnsi="Lato" w:cs="Lato"/>
          <w:b w:val="0"/>
          <w:i w:val="0"/>
          <w:color w:val="2B2F33"/>
          <w:sz w:val="19"/>
        </w:rPr>
        <w:t>No jurisdiction exclusion (worldwide) — TMHCC: TMHCC excludes actions outside Jurisdiction (default ex-US/Canada). Action: Offer rated worldwide/US-Canada option; keep default (priority High).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Patent infringement (PI):  </w:t>
      </w:r>
      <w:r>
        <w:rPr>
          <w:rFonts w:ascii="Lato" w:hAnsi="Lato" w:cs="Lato"/>
          <w:b w:val="0"/>
          <w:i w:val="0"/>
          <w:color w:val="2B2F33"/>
          <w:sz w:val="19"/>
        </w:rPr>
        <w:t>Patents covered within IP — TMHCC: TMHCC excludes patents. Action: At most a limited defence-costs write-back; otherwise leave excluded (priority Low).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Cyber/data exclusion vs PI:  </w:t>
      </w:r>
      <w:r>
        <w:rPr>
          <w:rFonts w:ascii="Lato" w:hAnsi="Lato" w:cs="Lato"/>
          <w:b w:val="0"/>
          <w:i w:val="0"/>
          <w:color w:val="2B2F33"/>
          <w:sz w:val="19"/>
        </w:rPr>
        <w:t>Yutree strips cyber-related PI; AXA XL blanket cyber exclusion — TMHCC: TMHCC dis-applies cyber/date exclusion to S12–15. Action: No change — retain as a TMHCC strength (priority n/a).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Fines/penalties (PI):  </w:t>
      </w:r>
      <w:r>
        <w:rPr>
          <w:rFonts w:ascii="Lato" w:hAnsi="Lato" w:cs="Lato"/>
          <w:b w:val="0"/>
          <w:i w:val="0"/>
          <w:color w:val="2B2F33"/>
          <w:sz w:val="19"/>
        </w:rPr>
        <w:t>TMHCC writes back defamation awards &amp; permitted punitive; AXA XL excludes absolutely — TMHCC: TMHCC already favourable. Action: No change — retain (priority n/a).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7  </w:t>
      </w:r>
      <w:r>
        <w:rPr>
          <w:rFonts w:ascii="Lato" w:hAnsi="Lato" w:cs="Lato"/>
          <w:b/>
          <w:i w:val="0"/>
          <w:color w:val="00648B"/>
          <w:sz w:val="30"/>
        </w:rPr>
        <w:t>Assumptions made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Competitor names are used as supplied; ‘capacity’ insurers are noted from the wordings (Zurich for Tysers; AXA for Yutree; XL Catlin/AXA XL for the AXA XL wording).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Primary limits, excesses and any ‘insured/not insured’ section toggles are schedule-driven and were not supplied — section availability reflects the wording booklets only.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Allianz’s ‘Personal Accident’ section is referenced in its exclusions but not in the provided cover list — treated as ‘requires review’.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AXA XL provides Money as a sub-limited specification within Material Damage (not a standalone section); shown as ‘partial’.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Page/clause citations are available in the working text extracts and can be added on request.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8  </w:t>
      </w:r>
      <w:r>
        <w:rPr>
          <w:rFonts w:ascii="Lato" w:hAnsi="Lato" w:cs="Lato"/>
          <w:b/>
          <w:i w:val="0"/>
          <w:color w:val="00648B"/>
          <w:sz w:val="30"/>
        </w:rPr>
        <w:t>Points requiring legal / underwriting review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Whether TMHCC offers Personal Accident / Business Travel by endorsement.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Communicable-disease exclusion positions in Yutree, Liberty and Allianz.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Tysers / Yutree fines-penalties and insolvency PI exclusion positions.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Allianz ‘Personal Accident’ section referenced in exclusions but absent from the cover list.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Express treatment of ICOW/Book Debts (S3) and computer breakdown (S1/S2) within TMHCC.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Pricing, reinsurance territory and capacity for any rated options (PA; worldwide/US-Canada; distributors).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Final limits/excesses against each Schedule.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9  </w:t>
      </w:r>
      <w:r>
        <w:rPr>
          <w:rFonts w:ascii="Lato" w:hAnsi="Lato" w:cs="Lato"/>
          <w:b/>
          <w:i w:val="0"/>
          <w:color w:val="00648B"/>
          <w:sz w:val="30"/>
        </w:rPr>
        <w:t>Final report</w:t>
      </w:r>
    </w:p>
    <w:tbl>
      <w:tblPr>
        <w:tblW w:type="dxa" w:w="9979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371"/>
      </w:tblGrid>
      <w:tr>
        <w:tc>
          <w:tcPr>
            <w:tcW w:type="dxa" w:w="260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Final-report item</w:t>
            </w:r>
          </w:p>
        </w:tc>
        <w:tc>
          <w:tcPr>
            <w:tcW w:type="dxa" w:w="737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1. Documents produced</w:t>
            </w:r>
          </w:p>
        </w:tc>
        <w:tc>
          <w:tcPr>
            <w:tcW w:type="dxa" w:w="73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Full Coverage Comparison (.docx + PDF); Gap-Fill / Wording Enhancement Strategy (.docx + PDF); this QA / Methodology Report (.docx + PDF).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2. Five competitor wordings reviewed</w:t>
            </w:r>
          </w:p>
        </w:tc>
        <w:tc>
          <w:tcPr>
            <w:tcW w:type="dxa" w:w="73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Partial — FOUR reviewed and mapped (Tysers/Zurich, Yutree/AXA, Liberty, Allianz). The FIFTH competitor (Wording E) is pending and carried as a reserved placeholder column, to be completed when supplied.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3. TMHCC base wording mapped</w:t>
            </w:r>
          </w:p>
        </w:tc>
        <w:tc>
          <w:tcPr>
            <w:tcW w:type="dxa" w:w="73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Yes — all 15 sections mapped from the TMHCC Media &amp; Music Combined wording.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4. Template branding preserved</w:t>
            </w:r>
          </w:p>
        </w:tc>
        <w:tc>
          <w:tcPr>
            <w:tcW w:type="dxa" w:w="73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Yes — Tokio Marine HCC logo, Lato font, teal/gold/rust palette, legend and table style replicated from the supplied Coverage Comparison template.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5. Key TMHCC strengths</w:t>
            </w:r>
          </w:p>
        </w:tc>
        <w:tc>
          <w:tcPr>
            <w:tcW w:type="dxa" w:w="73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Only wording with all 15 sections; unique Loss of Licence, Legal Expenses, Management Liability and standalone Cyber; broad, well-extended Media Liability; clean cyber-exclusion carve-out; protective claims architecture.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6. Key competitor advantages</w:t>
            </w:r>
          </w:p>
        </w:tc>
        <w:tc>
          <w:tcPr>
            <w:tcW w:type="dxa" w:w="73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PI worldwide, covers patents, statutory/criminal defence (GBP 1m), distributors &amp; purchasers, source-protection; Tysers &amp; Yutree offer Personal Accident; Yutree reputation-mgmt/withdrawal/criminal-defence + KC clause; Allianz granular BI heads.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7. Key gaps TMHCC should consider filling</w:t>
            </w:r>
          </w:p>
        </w:tc>
        <w:tc>
          <w:tcPr>
            <w:tcW w:type="dxa" w:w="73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Personal Accident option; worldwide/US-Canada PI option; distributors &amp; purchasers; source-protection &amp; representation costs; criminal-defence clarity; explicit ICOW/book-debts &amp; computer-breakdown signposting.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8. High-priority wording enhancements</w:t>
            </w:r>
          </w:p>
        </w:tc>
        <w:tc>
          <w:tcPr>
            <w:tcW w:type="dxa" w:w="73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(1) Personal Accident &amp; Business Travel option; (2) rated worldwide/US-Canada PI territory option; (3) distributors &amp; purchasers extension; (4) criminal/regulatory defence-costs clarity (S12 ↔ S13/S14).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9. Exclusion write-backs / narrowing opportunities</w:t>
            </w:r>
          </w:p>
        </w:tc>
        <w:tc>
          <w:tcPr>
            <w:tcW w:type="dxa" w:w="73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Asbestos professional-duty (Tysers) and pollution negligent-advice (Yutree) write-backs — adopt narrowly; worldwide/US-Canada as a rated option. Retain patents, communicable-disease and default US/Canada exclusions.</w:t>
            </w:r>
          </w:p>
        </w:tc>
      </w:tr>
      <w:tr>
        <w:tc>
          <w:tcPr>
            <w:tcW w:type="dxa" w:w="2608"/>
            <w:shd w:val="clear" w:color="auto" w:fill="EAF1F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10. Items requiring legal / underwriting sign-off</w:t>
            </w:r>
          </w:p>
        </w:tc>
        <w:tc>
          <w:tcPr>
            <w:tcW w:type="dxa" w:w="73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recommendations; any write-back drafting; rated-option pricing/reinsurance/capacity; PA appetite; and confirmation of the ‘review’-flagged competitor positions.</w:t>
            </w:r>
          </w:p>
        </w:tc>
      </w:tr>
    </w:tbl>
    <w:p>
      <w:pPr>
        <w:spacing w:after="120"/>
      </w:pP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Completion status: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Both branded documents are produced; all FIVE competitors (Tysers, Yutree, Liberty, Allianz and AXA XL) are mapped against the TMHCC base wording; the full comparison and the gap-fill strategy are complete; recommendations are evidence-based; exclusions are reviewed in detail. The deliverables are market-ready SUBJECT TO TMHCC legal/underwriting sign-off.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Lato" w:hAnsi="Lato" w:cs="Lato"/>
        <w:b w:val="0"/>
        <w:i/>
        <w:color w:val="AEB4B8"/>
        <w:sz w:val="13"/>
      </w:rPr>
      <w:t>Indicative wording comparison — broking reference only. Refer to the full policy wordings. Subject to TMHCC legal/underwriting sign-off.</w:t>
    </w:r>
  </w:p>
  <w:p>
    <w:pPr>
      <w:jc w:val="center"/>
    </w:pPr>
    <w:r>
      <w:rPr>
        <w:rFonts w:ascii="Lato" w:hAnsi="Lato" w:cs="Lato"/>
        <w:b w:val="0"/>
        <w:i w:val="0"/>
        <w:color w:val="6C7378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pct" w:w="5000"/>
      <w:jc w:val="center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  <w:tblLook w:firstColumn="1" w:firstRow="1" w:lastColumn="0" w:lastRow="0" w:noHBand="0" w:noVBand="1" w:val="04A0"/>
    </w:tblPr>
    <w:tblGrid>
      <w:gridCol w:w="4989"/>
      <w:gridCol w:w="4989"/>
    </w:tblGrid>
    <w:tr>
      <w:tc>
        <w:tcPr>
          <w:tcW w:type="dxa" w:w="7384"/>
          <w:vAlign w:val="center"/>
        </w:tcPr>
        <w:p>
          <w:pPr>
            <w:spacing w:after="0"/>
          </w:pPr>
          <w:r>
            <w:rPr>
              <w:rFonts w:ascii="Lato" w:hAnsi="Lato" w:cs="Lato"/>
              <w:b/>
              <w:i w:val="0"/>
              <w:color w:val="6C7378"/>
              <w:sz w:val="16"/>
            </w:rPr>
            <w:t>TMHCC Media &amp; Entertainment</w:t>
          </w:r>
        </w:p>
      </w:tc>
      <w:tc>
        <w:tcPr>
          <w:tcW w:type="dxa" w:w="259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29906" cy="30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hc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906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hAnsi="Lato" w:cs="Lato"/>
      <w:color w:val="2B2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