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QA Report</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Quality assurance for the 0526 wording amendments,</w:t>
      </w:r>
    </w:p>
    <w:p w14:paraId="52DC5286" w14:textId="77777777" w:rsidR="00E75E61" w:rsidRPr="00E75E61" w:rsidRDefault="00E75E61" w:rsidP="00EE667D">
      <w:pPr>
        <w:pStyle w:val="Subtitle"/>
      </w:pPr>
      <w:r>
        <w:t>Summary of Changes and Summary of Cover</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QUALITY ASSURANCE REPORT</w:t>
      </w:r>
    </w:p>
    <w:p>
      <w:pPr>
        <w:spacing w:after="120" w:before="0"/>
      </w:pPr>
      <w:r>
        <w:rPr>
          <w:rFonts w:ascii="Arial" w:hAnsi="Arial" w:cs="Arial"/>
          <w:b/>
          <w:i w:val="0"/>
          <w:color w:val="C79000"/>
          <w:sz w:val="22"/>
        </w:rPr>
        <w:t>TMHCC Media Combined – 0223C vs 0526</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Purpose.  </w:t>
            </w:r>
            <w:r>
              <w:rPr>
                <w:rFonts w:ascii="Arial" w:hAnsi="Arial" w:cs="Arial"/>
                <w:b w:val="0"/>
                <w:i w:val="0"/>
                <w:color w:val="212121"/>
                <w:sz w:val="20"/>
              </w:rPr>
              <w:t>This report summarises the review carried out to produce the amended new wording, the Summary of Changes and the Summary of Cover. The draft/template was treated as the design source only; all cover and policy content was taken from the actual 0223C and 0526 wordings. Items requiring underwriting or legal sign-off are listed in the Reviewer Notes.</w:t>
            </w:r>
          </w:p>
        </w:tc>
      </w:tr>
    </w:tbl>
    <w:p>
      <w:pPr>
        <w:spacing w:after="80" w:before="0"/>
      </w:pPr>
    </w:p>
    <w:p>
      <w:pPr>
        <w:pStyle w:val="Heading1"/>
        <w:spacing w:before="280" w:after="80"/>
      </w:pPr>
      <w:r>
        <w:rPr>
          <w:rFonts w:ascii="Arial" w:hAnsi="Arial" w:cs="Arial"/>
          <w:b/>
          <w:i w:val="0"/>
          <w:color w:val="009CE5"/>
          <w:sz w:val="30"/>
        </w:rPr>
        <w:t>FILES REVIEWED</w:t>
      </w:r>
    </w:p>
    <w:p>
      <w:pPr>
        <w:pStyle w:val="ListBullet"/>
        <w:spacing w:after="40"/>
      </w:pPr>
      <w:r>
        <w:rPr>
          <w:rFonts w:ascii="Arial" w:hAnsi="Arial" w:cs="Arial"/>
          <w:b w:val="0"/>
          <w:i w:val="0"/>
          <w:sz w:val="20"/>
        </w:rPr>
        <w:t>TMHCC_Media_Combined_0223C_MIB.docx – previous (OLD) wording.</w:t>
      </w:r>
    </w:p>
    <w:p>
      <w:pPr>
        <w:pStyle w:val="ListBullet"/>
        <w:spacing w:after="40"/>
      </w:pPr>
      <w:r>
        <w:rPr>
          <w:rFonts w:ascii="Arial" w:hAnsi="Arial" w:cs="Arial"/>
          <w:b w:val="0"/>
          <w:i w:val="0"/>
          <w:sz w:val="20"/>
        </w:rPr>
        <w:t>TMHCC_Media_Combined_0526_FINAL.docx – new (NEW) wording.</w:t>
      </w:r>
    </w:p>
    <w:p>
      <w:pPr>
        <w:pStyle w:val="ListBullet"/>
        <w:spacing w:after="40"/>
      </w:pPr>
      <w:r>
        <w:rPr>
          <w:rFonts w:ascii="Arial" w:hAnsi="Arial" w:cs="Arial"/>
          <w:b w:val="0"/>
          <w:i w:val="0"/>
          <w:sz w:val="20"/>
        </w:rPr>
        <w:t>TMHCC_Media_Combined_Summary_of_Cover.docx – supplied draft, used as the branding/design source.</w:t>
      </w:r>
    </w:p>
    <w:p>
      <w:pPr>
        <w:pStyle w:val="Heading1"/>
        <w:spacing w:before="280" w:after="80"/>
      </w:pPr>
      <w:r>
        <w:rPr>
          <w:rFonts w:ascii="Arial" w:hAnsi="Arial" w:cs="Arial"/>
          <w:b/>
          <w:i w:val="0"/>
          <w:color w:val="009CE5"/>
          <w:sz w:val="30"/>
        </w:rPr>
        <w:t>DELIVERABLES PRODUCED</w:t>
      </w:r>
    </w:p>
    <w:p>
      <w:pPr>
        <w:pStyle w:val="ListBullet"/>
        <w:spacing w:after="40"/>
      </w:pPr>
      <w:r>
        <w:rPr>
          <w:rFonts w:ascii="Arial" w:hAnsi="Arial" w:cs="Arial"/>
          <w:b w:val="0"/>
          <w:i w:val="0"/>
          <w:sz w:val="20"/>
        </w:rPr>
        <w:t>TMHCC_Media_Combined_0526_FINAL_amended.docx – new wording with a two-column, hyperlinked table of contents showing accurate page numbers (each entry links to the start of its section), page numbers added to the footer throughout, the Section 15 CyberGuard™ wording restyled to match the document and the stray “Section 16” / “Information Technology Section” references corrected (branding otherwise unchanged).</w:t>
      </w:r>
    </w:p>
    <w:p>
      <w:pPr>
        <w:pStyle w:val="ListBullet"/>
        <w:spacing w:after="40"/>
      </w:pPr>
      <w:r>
        <w:rPr>
          <w:rFonts w:ascii="Arial" w:hAnsi="Arial" w:cs="Arial"/>
          <w:b w:val="0"/>
          <w:i w:val="0"/>
          <w:sz w:val="20"/>
        </w:rPr>
        <w:t>TMHCC_Media_Combined_Summary_of_Changes_FINAL.docx (+ PDF) – branded 0223C vs 0526 comparison.</w:t>
      </w:r>
    </w:p>
    <w:p>
      <w:pPr>
        <w:pStyle w:val="ListBullet"/>
        <w:spacing w:after="40"/>
      </w:pPr>
      <w:r>
        <w:rPr>
          <w:rFonts w:ascii="Arial" w:hAnsi="Arial" w:cs="Arial"/>
          <w:b w:val="0"/>
          <w:i w:val="0"/>
          <w:sz w:val="20"/>
        </w:rPr>
        <w:t>TMHCC_Media_Combined_Summary_of_Cover_FINAL.docx (+ PDF) – branded summary based on the 0526 wording only.</w:t>
      </w:r>
    </w:p>
    <w:p>
      <w:pPr>
        <w:pStyle w:val="ListBullet"/>
        <w:spacing w:after="40"/>
      </w:pPr>
      <w:r>
        <w:rPr>
          <w:rFonts w:ascii="Arial" w:hAnsi="Arial" w:cs="Arial"/>
          <w:b w:val="0"/>
          <w:i w:val="0"/>
          <w:sz w:val="20"/>
        </w:rPr>
        <w:t>TMHCC_Media_Combined_QA_Report.docx (+ PDF) – this report.</w:t>
      </w:r>
    </w:p>
    <w:p>
      <w:pPr>
        <w:pStyle w:val="Heading1"/>
        <w:spacing w:before="280" w:after="80"/>
      </w:pPr>
      <w:r>
        <w:rPr>
          <w:rFonts w:ascii="Arial" w:hAnsi="Arial" w:cs="Arial"/>
          <w:b/>
          <w:i w:val="0"/>
          <w:color w:val="009CE5"/>
          <w:sz w:val="30"/>
        </w:rPr>
        <w:t>COMPARISON METHOD</w:t>
      </w:r>
    </w:p>
    <w:p>
      <w:pPr>
        <w:pStyle w:val="ListBullet"/>
        <w:spacing w:after="40"/>
      </w:pPr>
      <w:r>
        <w:rPr>
          <w:rFonts w:ascii="Arial" w:hAnsi="Arial" w:cs="Arial"/>
          <w:b w:val="0"/>
          <w:i w:val="0"/>
          <w:sz w:val="20"/>
        </w:rPr>
        <w:t>Both wordings were read in full and mapped section by section (definitions, conditions, exclusions, each insuring Section, limits and claims conditions).</w:t>
      </w:r>
    </w:p>
    <w:p>
      <w:pPr>
        <w:pStyle w:val="ListBullet"/>
        <w:spacing w:after="40"/>
      </w:pPr>
      <w:r>
        <w:rPr>
          <w:rFonts w:ascii="Arial" w:hAnsi="Arial" w:cs="Arial"/>
          <w:b w:val="0"/>
          <w:i w:val="0"/>
          <w:sz w:val="20"/>
        </w:rPr>
        <w:t>Clauses were compared and classified (new / removed / broader / restricted cover; new / expanded / narrowed exclusion; amended condition or warranty; limit change; clarification; or no material change).</w:t>
      </w:r>
    </w:p>
    <w:p>
      <w:pPr>
        <w:pStyle w:val="ListBullet"/>
        <w:spacing w:after="40"/>
      </w:pPr>
      <w:r>
        <w:rPr>
          <w:rFonts w:ascii="Arial" w:hAnsi="Arial" w:cs="Arial"/>
          <w:b w:val="0"/>
          <w:i w:val="0"/>
          <w:sz w:val="20"/>
        </w:rPr>
        <w:t>Every key exclusion in the new wording was checked against the old wording and rated for severity.</w:t>
      </w:r>
    </w:p>
    <w:p>
      <w:pPr>
        <w:pStyle w:val="ListBullet"/>
        <w:spacing w:after="40"/>
      </w:pPr>
      <w:r>
        <w:rPr>
          <w:rFonts w:ascii="Arial" w:hAnsi="Arial" w:cs="Arial"/>
          <w:b w:val="0"/>
          <w:i w:val="0"/>
          <w:sz w:val="20"/>
        </w:rPr>
        <w:t>Findings were grounded in the actual wording; nothing was inferred where the wording was silent. Uncertain points are listed in the Reviewer Notes rather than guessed.</w:t>
      </w:r>
    </w:p>
    <w:p>
      <w:pPr>
        <w:pStyle w:val="Heading1"/>
        <w:spacing w:before="280" w:after="80"/>
      </w:pPr>
      <w:r>
        <w:rPr>
          <w:rFonts w:ascii="Arial" w:hAnsi="Arial" w:cs="Arial"/>
          <w:b/>
          <w:i w:val="0"/>
          <w:color w:val="009CE5"/>
          <w:sz w:val="30"/>
        </w:rPr>
        <w:t>KEY COVER ENHANCEMENTS</w:t>
      </w:r>
    </w:p>
    <w:p>
      <w:pPr>
        <w:pStyle w:val="ListBullet"/>
        <w:spacing w:after="40"/>
      </w:pPr>
      <w:r>
        <w:rPr>
          <w:rFonts w:ascii="Arial" w:hAnsi="Arial" w:cs="Arial"/>
          <w:b w:val="0"/>
          <w:i w:val="0"/>
          <w:color w:val="1B5E20"/>
          <w:sz w:val="20"/>
        </w:rPr>
        <w:t>Three new operative Sections: Commercial Legal Expenses (13, ARAG), Management Liability (14) and CyberGuard™ Cyber Liability (15).</w:t>
      </w:r>
    </w:p>
    <w:p>
      <w:pPr>
        <w:pStyle w:val="ListBullet"/>
        <w:spacing w:after="40"/>
      </w:pPr>
      <w:r>
        <w:rPr>
          <w:rFonts w:ascii="Arial" w:hAnsi="Arial" w:cs="Arial"/>
          <w:b w:val="0"/>
          <w:i w:val="0"/>
          <w:color w:val="1B5E20"/>
          <w:sz w:val="20"/>
        </w:rPr>
        <w:t>Section 2 (Property &amp; Equipment) clarified and expanded, with a worldwide equipment basis and an Artists’ Technical Equipment extension (GBP 20,000).</w:t>
      </w:r>
    </w:p>
    <w:p>
      <w:pPr>
        <w:pStyle w:val="ListBullet"/>
        <w:spacing w:after="40"/>
      </w:pPr>
      <w:r>
        <w:rPr>
          <w:rFonts w:ascii="Arial" w:hAnsi="Arial" w:cs="Arial"/>
          <w:b w:val="0"/>
          <w:i w:val="0"/>
          <w:color w:val="1B5E20"/>
          <w:sz w:val="20"/>
        </w:rPr>
        <w:t>IT / computer equipment and Breakdown cover retained and integrated into Sections 1 and 2.</w:t>
      </w:r>
    </w:p>
    <w:p>
      <w:pPr>
        <w:pStyle w:val="ListBullet"/>
        <w:spacing w:after="40"/>
      </w:pPr>
      <w:r>
        <w:rPr>
          <w:rFonts w:ascii="Arial" w:hAnsi="Arial" w:cs="Arial"/>
          <w:b w:val="0"/>
          <w:i w:val="0"/>
          <w:color w:val="1B5E20"/>
          <w:sz w:val="20"/>
        </w:rPr>
        <w:t>Security Devices maintenance condition no longer applies to “bells only” intruder alarms.</w:t>
      </w:r>
    </w:p>
    <w:p>
      <w:pPr>
        <w:pStyle w:val="Heading1"/>
        <w:spacing w:before="280" w:after="80"/>
      </w:pPr>
      <w:r>
        <w:rPr>
          <w:rFonts w:ascii="Arial" w:hAnsi="Arial" w:cs="Arial"/>
          <w:b/>
          <w:i w:val="0"/>
          <w:color w:val="009CE5"/>
          <w:sz w:val="30"/>
        </w:rPr>
        <w:t>KEY RESTRICTIONS</w:t>
      </w:r>
    </w:p>
    <w:p>
      <w:pPr>
        <w:pStyle w:val="ListBullet"/>
        <w:spacing w:after="40"/>
      </w:pPr>
      <w:r>
        <w:rPr>
          <w:rFonts w:ascii="Arial" w:hAnsi="Arial" w:cs="Arial"/>
          <w:b w:val="0"/>
          <w:i w:val="0"/>
          <w:color w:val="A4001F"/>
          <w:sz w:val="20"/>
        </w:rPr>
        <w:t>Notification of a claim is now an express Condition Precedent to liability for Sections 1–11 – late notification could entitle insurers to decline a claim.</w:t>
      </w:r>
    </w:p>
    <w:p>
      <w:pPr>
        <w:pStyle w:val="ListBullet"/>
        <w:spacing w:after="40"/>
      </w:pPr>
      <w:r>
        <w:rPr>
          <w:rFonts w:ascii="Arial" w:hAnsi="Arial" w:cs="Arial"/>
          <w:b w:val="0"/>
          <w:i w:val="0"/>
          <w:color w:val="A4001F"/>
          <w:sz w:val="20"/>
        </w:rPr>
        <w:t>The standalone Information Technology Section has been removed; although cover appears reproduced in Sections 1 and 2, the IT-specific structure and any “Data Storage” condition precedent should be confirmed.</w:t>
      </w:r>
    </w:p>
    <w:p>
      <w:pPr>
        <w:pStyle w:val="ListBullet"/>
        <w:spacing w:after="40"/>
      </w:pPr>
      <w:r>
        <w:rPr>
          <w:rFonts w:ascii="Arial" w:hAnsi="Arial" w:cs="Arial"/>
          <w:b w:val="0"/>
          <w:i w:val="0"/>
          <w:color w:val="A4001F"/>
          <w:sz w:val="20"/>
        </w:rPr>
        <w:t>The new specialist Sections carry their own, sometimes broader, exclusions which prevail for those Sections.</w:t>
      </w:r>
    </w:p>
    <w:p>
      <w:pPr>
        <w:pStyle w:val="Heading1"/>
        <w:spacing w:before="280" w:after="80"/>
      </w:pPr>
      <w:r>
        <w:rPr>
          <w:rFonts w:ascii="Arial" w:hAnsi="Arial" w:cs="Arial"/>
          <w:b/>
          <w:i w:val="0"/>
          <w:color w:val="009CE5"/>
          <w:sz w:val="30"/>
        </w:rPr>
        <w:t>KEY EXCLUSIONS</w:t>
      </w:r>
    </w:p>
    <w:p>
      <w:pPr>
        <w:pStyle w:val="ListBullet"/>
        <w:spacing w:after="40"/>
      </w:pPr>
      <w:r>
        <w:rPr>
          <w:rFonts w:ascii="Arial" w:hAnsi="Arial" w:cs="Arial"/>
          <w:b w:val="0"/>
          <w:i w:val="0"/>
          <w:sz w:val="20"/>
        </w:rPr>
        <w:t>General Policy Exclusions are substantively unchanged between 0223C and 0526 (Communicable Disease, Coronavirus/Covid-19, Property Cyber &amp; Data, Terrorism, War, Nuclear, Pollution, Northern Ireland, Sonic Bang, Date Recognition, Fines &amp; Penalties, Excess, Contribution).</w:t>
      </w:r>
    </w:p>
    <w:p>
      <w:pPr>
        <w:pStyle w:val="ListBullet"/>
        <w:spacing w:after="40"/>
      </w:pPr>
      <w:r>
        <w:rPr>
          <w:rFonts w:ascii="Arial" w:hAnsi="Arial" w:cs="Arial"/>
          <w:b w:val="0"/>
          <w:i w:val="0"/>
          <w:sz w:val="20"/>
        </w:rPr>
        <w:t>Applicability changed from “Sections 1–12” to “Sections 1–11” to reflect the new specialist Sections.</w:t>
      </w:r>
    </w:p>
    <w:p>
      <w:pPr>
        <w:pStyle w:val="ListBullet"/>
        <w:spacing w:after="40"/>
      </w:pPr>
      <w:r>
        <w:rPr>
          <w:rFonts w:ascii="Arial" w:hAnsi="Arial" w:cs="Arial"/>
          <w:b w:val="0"/>
          <w:i w:val="0"/>
          <w:sz w:val="20"/>
        </w:rPr>
        <w:t>New exclusion content accompanies the three new Sections (D&amp;O conduct / insured-v-insured / BI-PD; cyber war and infrastructure; legal-expenses prospects and pre-inception matters).</w:t>
      </w:r>
    </w:p>
    <w:p>
      <w:pPr>
        <w:pStyle w:val="ListBullet"/>
        <w:spacing w:after="40"/>
      </w:pPr>
      <w:r>
        <w:rPr>
          <w:rFonts w:ascii="Arial" w:hAnsi="Arial" w:cs="Arial"/>
          <w:b w:val="0"/>
          <w:i w:val="0"/>
          <w:sz w:val="20"/>
        </w:rPr>
        <w:t>Property Cyber and Data Endorsement continues to exclude cyber loss and loss of data from the property Sections, with limited fire/explosion and data-media write-backs.</w:t>
      </w:r>
    </w:p>
    <w:p>
      <w:pPr>
        <w:pStyle w:val="Heading1"/>
        <w:spacing w:before="280" w:after="80"/>
      </w:pPr>
      <w:r>
        <w:rPr>
          <w:rFonts w:ascii="Arial" w:hAnsi="Arial" w:cs="Arial"/>
          <w:b/>
          <w:i w:val="0"/>
          <w:color w:val="009CE5"/>
          <w:sz w:val="30"/>
        </w:rPr>
        <w:t>ASSUMPTIONS MADE</w:t>
      </w:r>
    </w:p>
    <w:p>
      <w:pPr>
        <w:pStyle w:val="ListBullet"/>
        <w:spacing w:after="40"/>
      </w:pPr>
      <w:r>
        <w:rPr>
          <w:rFonts w:ascii="Arial" w:hAnsi="Arial" w:cs="Arial"/>
          <w:b w:val="0"/>
          <w:i w:val="0"/>
          <w:sz w:val="20"/>
        </w:rPr>
        <w:t>All sums insured, limits of indemnity, sub-limits and excesses are Schedule-driven; the Schedule prevails and amounts were not independently confirmed.</w:t>
      </w:r>
    </w:p>
    <w:p>
      <w:pPr>
        <w:pStyle w:val="ListBullet"/>
        <w:spacing w:after="40"/>
      </w:pPr>
      <w:r>
        <w:rPr>
          <w:rFonts w:ascii="Arial" w:hAnsi="Arial" w:cs="Arial"/>
          <w:b w:val="0"/>
          <w:i w:val="0"/>
          <w:sz w:val="20"/>
        </w:rPr>
        <w:t>Sections marked optional (e.g. Terrorism, Loss of Licence, Legal Expenses, Management Liability, Cyber) are in force only where shown in the Schedule.</w:t>
      </w:r>
    </w:p>
    <w:p>
      <w:pPr>
        <w:pStyle w:val="ListBullet"/>
        <w:spacing w:after="40"/>
      </w:pPr>
      <w:r>
        <w:rPr>
          <w:rFonts w:ascii="Arial" w:hAnsi="Arial" w:cs="Arial"/>
          <w:b w:val="0"/>
          <w:i w:val="0"/>
          <w:sz w:val="20"/>
        </w:rPr>
        <w:t>Branding (logo, colours, fonts, cover graphic and footer) was replicated from the supplied Summary of Cover draft and applied to the Summary of Changes and Summary of Cover.</w:t>
      </w:r>
    </w:p>
    <w:p>
      <w:pPr>
        <w:pStyle w:val="ListBullet"/>
        <w:spacing w:after="40"/>
      </w:pPr>
      <w:r>
        <w:rPr>
          <w:rFonts w:ascii="Arial" w:hAnsi="Arial" w:cs="Arial"/>
          <w:b w:val="0"/>
          <w:i w:val="0"/>
          <w:sz w:val="20"/>
        </w:rPr>
        <w:t>The new wording uses a two-column hyperlinked contents with page numbers computed from the rendered document; page numbers are also shown in the footer throughout.</w:t>
      </w:r>
    </w:p>
    <w:p>
      <w:pPr>
        <w:pStyle w:val="Heading1"/>
        <w:spacing w:before="280" w:after="80"/>
      </w:pPr>
      <w:r>
        <w:rPr>
          <w:rFonts w:ascii="Arial" w:hAnsi="Arial" w:cs="Arial"/>
          <w:b/>
          <w:i w:val="0"/>
          <w:color w:val="009CE5"/>
          <w:sz w:val="30"/>
        </w:rPr>
        <w:t>REVIEWER NOTES – CORRECTIONS MADE AND ITEMS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(section title, headings and two-column layout) and now appears in the live contents.</w:t>
      </w:r>
    </w:p>
    <w:p>
      <w:pPr>
        <w:pStyle w:val="ListBullet"/>
        <w:spacing w:after="40"/>
      </w:pPr>
      <w:r>
        <w:rPr>
          <w:rFonts w:ascii="Arial" w:hAnsi="Arial" w:cs="Arial"/>
          <w:b w:val="0"/>
          <w:i w:val="0"/>
          <w:sz w:val="20"/>
        </w:rPr>
        <w:t>CORRECTED: the contents is now a two-column, hyperlinked list with accurate page numbers (computed from the rendered document) and page numbers in the footer throughout, replacing the previous static list.</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Heading1"/>
        <w:spacing w:before="280" w:after="80"/>
      </w:pPr>
      <w:r>
        <w:rPr>
          <w:rFonts w:ascii="Arial" w:hAnsi="Arial" w:cs="Arial"/>
          <w:b/>
          <w:i w:val="0"/>
          <w:color w:val="009CE5"/>
          <w:sz w:val="30"/>
        </w:rPr>
        <w:t>QA CHECKLIST</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5216"/>
        <w:gridCol w:w="5216"/>
      </w:tblGrid>
      <w:tr>
        <w:tc>
          <w:tcPr>
            <w:tcW w:type="dxa" w:w="7800"/>
            <w:shd w:val="clear" w:color="auto" w:fill="009CE5"/>
          </w:tcPr>
          <w:p>
            <w:pPr>
              <w:spacing w:after="20" w:before="20"/>
            </w:pPr>
            <w:r/>
            <w:r>
              <w:rPr>
                <w:rFonts w:ascii="Arial" w:hAnsi="Arial" w:cs="Arial"/>
                <w:b/>
                <w:i w:val="0"/>
                <w:color w:val="FFFFFF"/>
                <w:sz w:val="18"/>
              </w:rPr>
              <w:t>Check</w:t>
            </w:r>
          </w:p>
        </w:tc>
        <w:tc>
          <w:tcPr>
            <w:tcW w:type="dxa" w:w="2100"/>
            <w:shd w:val="clear" w:color="auto" w:fill="009CE5"/>
          </w:tcPr>
          <w:p>
            <w:pPr>
              <w:spacing w:after="20" w:before="20"/>
            </w:pPr>
            <w:r/>
            <w:r>
              <w:rPr>
                <w:rFonts w:ascii="Arial" w:hAnsi="Arial" w:cs="Arial"/>
                <w:b/>
                <w:i w:val="0"/>
                <w:color w:val="FFFFFF"/>
                <w:sz w:val="18"/>
              </w:rPr>
              <w:t>Result</w:t>
            </w:r>
          </w:p>
        </w:tc>
      </w:tr>
      <w:tr>
        <w:tc>
          <w:tcPr>
            <w:tcW w:type="dxa" w:w="7800"/>
          </w:tcPr>
          <w:p>
            <w:pPr>
              <w:spacing w:after="20" w:before="20"/>
            </w:pPr>
            <w:r/>
            <w:r>
              <w:rPr>
                <w:rFonts w:ascii="Arial" w:hAnsi="Arial" w:cs="Arial"/>
                <w:b w:val="0"/>
                <w:i w:val="0"/>
                <w:color w:val="212121"/>
                <w:sz w:val="18"/>
              </w:rPr>
              <w:t>Every material change traceable to OLD and NEW wording</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Every key exclusion in the NEW wording reflected or flagged</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Summary of Cover based on the NEW wording only</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No unsupported cover added; restrictions not softened</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Terminology consistent across documents</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Branding consistent across both summary documents</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Two-column hyperlinked contents + footer page numbers in new wording</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Page numbering, headings, tables and spacing clean</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Both documents ready for PDF conversion</w:t>
            </w:r>
          </w:p>
        </w:tc>
        <w:tc>
          <w:tcPr>
            <w:tcW w:type="dxa" w:w="2100"/>
          </w:tcPr>
          <w:p>
            <w:pPr>
              <w:spacing w:after="20" w:before="20"/>
            </w:pPr>
            <w:r/>
            <w:r>
              <w:rPr>
                <w:rFonts w:ascii="Arial" w:hAnsi="Arial" w:cs="Arial"/>
                <w:b w:val="0"/>
                <w:i w:val="0"/>
                <w:color w:val="212121"/>
                <w:sz w:val="18"/>
              </w:rPr>
              <w:t>Pass</w:t>
            </w:r>
          </w:p>
        </w:tc>
      </w:tr>
      <w:tr>
        <w:tc>
          <w:tcPr>
            <w:tcW w:type="dxa" w:w="7800"/>
          </w:tcPr>
          <w:p>
            <w:pPr>
              <w:spacing w:after="20" w:before="20"/>
            </w:pPr>
            <w:r/>
            <w:r>
              <w:rPr>
                <w:rFonts w:ascii="Arial" w:hAnsi="Arial" w:cs="Arial"/>
                <w:b w:val="0"/>
                <w:i w:val="0"/>
                <w:color w:val="212121"/>
                <w:sz w:val="18"/>
              </w:rPr>
              <w:t>Uncertain points listed in Reviewer Notes</w:t>
            </w:r>
          </w:p>
        </w:tc>
        <w:tc>
          <w:tcPr>
            <w:tcW w:type="dxa" w:w="2100"/>
          </w:tcPr>
          <w:p>
            <w:pPr>
              <w:spacing w:after="20" w:before="20"/>
            </w:pPr>
            <w:r/>
            <w:r>
              <w:rPr>
                <w:rFonts w:ascii="Arial" w:hAnsi="Arial" w:cs="Arial"/>
                <w:b w:val="0"/>
                <w:i w:val="0"/>
                <w:color w:val="212121"/>
                <w:sz w:val="18"/>
              </w:rPr>
              <w:t>Pass</w:t>
            </w:r>
          </w:p>
        </w:tc>
      </w:tr>
    </w:tbl>
    <w:p>
      <w:pPr>
        <w:spacing w:after="80" w:before="0"/>
      </w:pP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