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r>
          <w:rPr>
            <w:rFonts w:ascii="Arial" w:hAnsi="Arial" w:cs="Arial"/>
            <w:color w:val="000000"/>
            <w:sz w:val="22"/>
            <w:szCs w:val="22"/>
          </w:rPr>
          <w:t xml:space="preserve"> CyberGuard™ (Cyber Liability)</w:t>
        </w:r>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t xml:space="preserve">The </w:t>
      </w:r>
      <w:r>
        <w:rPr>
          <w:b/>
        </w:rPr>
        <w:t xml:space="preserve">Insured</w:t>
      </w:r>
      <w:r>
        <w:t xml:space="preserve"> shall not, without the </w:t>
      </w:r>
      <w:r>
        <w:rPr>
          <w:b/>
        </w:rPr>
        <w:t xml:space="preserve">Insurer’s</w:t>
      </w:r>
      <w:r>
        <w:t xml:space="preserve"> written consent, make any admission of liability, promise, payment, compensation, offer, negotiation or settlement of any claim. The </w:t>
      </w:r>
      <w:r>
        <w:rPr>
          <w:b/>
        </w:rPr>
        <w:t xml:space="preserve">Insurer</w:t>
      </w:r>
      <w:r>
        <w:t xml:space="preserve"> shall not be entitled to rely on any breach of this condition to reduce or refuse a claim except to the extent that the </w:t>
      </w:r>
      <w:r>
        <w:rPr>
          <w:b/>
        </w:rPr>
        <w:t xml:space="preserve">Insurer’s</w:t>
      </w:r>
      <w:r>
        <w:t xml:space="preserve"> position has been prejudiced by the breach.</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pPr>
        <w:pStyle w:val="Heading3"/>
        <w:rPr/>
      </w:pPr>
      <w:r>
        <w:t xml:space="preserve">Proof of Ownership and Value</w:t>
      </w:r>
    </w:p>
    <w:p>
      <w:pPr>
        <w:pStyle w:val="BodyText"/>
        <w:rPr/>
      </w:pPr>
      <w:r>
        <w:t xml:space="preserve">Following any claim for theft or loss, the </w:t>
      </w:r>
      <w:r>
        <w:rPr>
          <w:b/>
        </w:rPr>
        <w:t xml:space="preserve">Insurer</w:t>
      </w:r>
      <w:r>
        <w:t xml:space="preserve"> may request reasonable evidence of ownership and value in respect of any high value item or any item insured on an </w:t>
      </w:r>
      <w:r>
        <w:rPr>
          <w:b/>
        </w:rPr>
        <w:t xml:space="preserve">Agreed Value</w:t>
      </w:r>
      <w:r>
        <w:t xml:space="preserve"> basis (including but not limited to purchase invoices, professional valuations, photographs, serial numbers or other documentary evidence). The </w:t>
      </w:r>
      <w:r>
        <w:rPr>
          <w:b/>
        </w:rPr>
        <w:t xml:space="preserve">Insured</w:t>
      </w:r>
      <w:r>
        <w:t xml:space="preserve"> shall provide such evidence within a reasonable period following the </w:t>
      </w:r>
      <w:r>
        <w:rPr>
          <w:b/>
        </w:rPr>
        <w:t xml:space="preserve">Insurer’s</w:t>
      </w:r>
      <w:r>
        <w:t xml:space="preserve"> request. The </w:t>
      </w:r>
      <w:r>
        <w:rPr>
          <w:b/>
        </w:rPr>
        <w:t xml:space="preserve">Insurer</w:t>
      </w:r>
      <w:r>
        <w:t xml:space="preserve"> shall not be obliged to pay any claim, or part of a claim, for an affected item where the </w:t>
      </w:r>
      <w:r>
        <w:rPr>
          <w:b/>
        </w:rPr>
        <w:t xml:space="preserve">Insured</w:t>
      </w:r>
      <w:r>
        <w:t xml:space="preserve"> fails to provide the evidence reasonably requested.</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r>
        <w:rPr>
          <w:rFonts w:ascii="Arial" w:eastAsia="Calibri" w:hAnsi="Arial" w:cs="Times New Roman"/>
        </w:rPr>
        <w:t xml:space="preserve"> (Cyber Liability)</w:t>
      </w:r>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