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0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1"/>
      </w:tblGrid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drawing>
                <wp:inline distT="0" distB="0" distL="0" distR="0">
                  <wp:extent cx="860425" cy="79756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25" cy="79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201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11"/>
      </w:tblGrid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Coverage comparison</w:t>
            </w:r>
          </w:p>
        </w:tc>
      </w:tr>
    </w:tbl>
    <w:p>
      <w:pPr>
        <w:pStyle w:val="TextBodysubtitle"/>
        <w:bidi w:val="0"/>
        <w:spacing w:before="180" w:after="120"/>
        <w:ind w:left="180" w:right="180" w:hanging="0"/>
        <w:jc w:val="left"/>
        <w:rPr/>
      </w:pPr>
      <w:r>
        <w:rPr/>
        <w:t>TMHCC Media and Entertainment</w:t>
      </w:r>
    </w:p>
    <w:tbl>
      <w:tblPr>
        <w:tblW w:w="891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56"/>
        <w:gridCol w:w="751"/>
        <w:gridCol w:w="961"/>
        <w:gridCol w:w="976"/>
        <w:gridCol w:w="976"/>
        <w:gridCol w:w="991"/>
        <w:gridCol w:w="1006"/>
      </w:tblGrid>
      <w:tr>
        <w:trPr>
          <w:tblHeader w:val="true"/>
        </w:trPr>
        <w:tc>
          <w:tcPr>
            <w:tcW w:w="32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Section of cover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TMHCC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Wording A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Wording B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Wording C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Wording D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Wording E</w:t>
            </w:r>
          </w:p>
        </w:tc>
      </w:tr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  <w:i/>
              </w:rPr>
              <w:t>Section 1</w:t>
            </w:r>
            <w:r>
              <w:rPr>
                <w:b/>
              </w:rPr>
              <w:t xml:space="preserve"> · Business “All Risks”</w:t>
            </w:r>
            <w:r>
              <w:rPr/>
              <w:t>Premises material damage (premises risk only)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C0563F"/>
              </w:rPr>
            </w:pPr>
            <w:r>
              <w:rPr>
                <w:color w:val="C0563F"/>
              </w:rPr>
              <w:t>✗</w:t>
            </w:r>
          </w:p>
        </w:tc>
      </w:tr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  <w:i/>
              </w:rPr>
              <w:t>Section 2</w:t>
            </w:r>
            <w:r>
              <w:rPr>
                <w:b/>
              </w:rPr>
              <w:t xml:space="preserve"> · Property &amp; Equipment “All Risks”</w:t>
            </w:r>
            <w:r>
              <w:rPr/>
              <w:t>Technical equipment, props, sets &amp; wardrobe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</w:tr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  <w:i/>
              </w:rPr>
              <w:t>Section 3</w:t>
            </w:r>
            <w:r>
              <w:rPr>
                <w:b/>
              </w:rPr>
              <w:t xml:space="preserve"> · Business Interruption</w:t>
            </w:r>
            <w:r>
              <w:rPr/>
              <w:t>Loss of gross profit / revenue &amp; ICOW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C0563F"/>
              </w:rPr>
            </w:pPr>
            <w:r>
              <w:rPr>
                <w:color w:val="C0563F"/>
              </w:rPr>
              <w:t>✗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</w:tr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  <w:i/>
              </w:rPr>
              <w:t>Section 4</w:t>
            </w:r>
            <w:r>
              <w:rPr>
                <w:b/>
              </w:rPr>
              <w:t xml:space="preserve"> · Terrorism</w:t>
            </w:r>
            <w:r>
              <w:rPr/>
              <w:t>Property damage &amp; BI from terrorism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C0563F"/>
              </w:rPr>
            </w:pPr>
            <w:r>
              <w:rPr>
                <w:color w:val="C0563F"/>
              </w:rPr>
              <w:t>✗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C0563F"/>
              </w:rPr>
            </w:pPr>
            <w:r>
              <w:rPr>
                <w:color w:val="C0563F"/>
              </w:rPr>
              <w:t>✗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</w:tr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  <w:i/>
              </w:rPr>
              <w:t>Section 5</w:t>
            </w:r>
            <w:r>
              <w:rPr>
                <w:b/>
              </w:rPr>
              <w:t xml:space="preserve"> · Employers’ Liability</w:t>
            </w:r>
            <w:r>
              <w:rPr/>
              <w:t>Statutory cover for staff &amp; crew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</w:tr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  <w:i/>
              </w:rPr>
              <w:t>Section 6</w:t>
            </w:r>
            <w:r>
              <w:rPr>
                <w:b/>
              </w:rPr>
              <w:t xml:space="preserve"> · Public Liability</w:t>
            </w:r>
            <w:r>
              <w:rPr/>
              <w:t>Third-party injury / property damage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</w:tr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  <w:i/>
              </w:rPr>
              <w:t>Section 7</w:t>
            </w:r>
            <w:r>
              <w:rPr>
                <w:b/>
              </w:rPr>
              <w:t xml:space="preserve"> · Products Liability</w:t>
            </w:r>
            <w:r>
              <w:rPr/>
              <w:t>Liability for products supplied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</w:tr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  <w:i/>
              </w:rPr>
              <w:t>Section 8</w:t>
            </w:r>
            <w:r>
              <w:rPr>
                <w:b/>
              </w:rPr>
              <w:t xml:space="preserve"> · Money</w:t>
            </w:r>
            <w:r>
              <w:rPr/>
              <w:t>Loss of money &amp; personal assault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C0563F"/>
              </w:rPr>
            </w:pPr>
            <w:r>
              <w:rPr>
                <w:color w:val="C0563F"/>
              </w:rPr>
              <w:t>✗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C0563F"/>
              </w:rPr>
            </w:pPr>
            <w:r>
              <w:rPr>
                <w:color w:val="C0563F"/>
              </w:rPr>
              <w:t>✗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</w:tr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  <w:i/>
              </w:rPr>
              <w:t>Section 9</w:t>
            </w:r>
            <w:r>
              <w:rPr>
                <w:b/>
              </w:rPr>
              <w:t xml:space="preserve"> · Goods in Transit</w:t>
            </w:r>
            <w:r>
              <w:rPr/>
              <w:t>Property whilst in transit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C0563F"/>
              </w:rPr>
            </w:pPr>
            <w:r>
              <w:rPr>
                <w:color w:val="C0563F"/>
              </w:rPr>
              <w:t>✗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</w:tr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  <w:i/>
              </w:rPr>
              <w:t>Section 10</w:t>
            </w:r>
            <w:r>
              <w:rPr>
                <w:b/>
              </w:rPr>
              <w:t xml:space="preserve"> · Loss of Licence</w:t>
            </w:r>
            <w:r>
              <w:rPr/>
              <w:t>Revocation of premises licence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C0563F"/>
              </w:rPr>
            </w:pPr>
            <w:r>
              <w:rPr>
                <w:color w:val="C0563F"/>
              </w:rPr>
              <w:t>✗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C0563F"/>
              </w:rPr>
            </w:pPr>
            <w:r>
              <w:rPr>
                <w:color w:val="C0563F"/>
              </w:rPr>
              <w:t>✗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</w:tr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  <w:i/>
              </w:rPr>
              <w:t>Section 11</w:t>
            </w:r>
            <w:r>
              <w:rPr>
                <w:b/>
              </w:rPr>
              <w:t xml:space="preserve"> · Production Indemnity “All Risks”</w:t>
            </w:r>
            <w:r>
              <w:rPr/>
              <w:t>Production cost / re-shoot expenses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C0563F"/>
              </w:rPr>
            </w:pPr>
            <w:r>
              <w:rPr>
                <w:color w:val="C0563F"/>
              </w:rPr>
              <w:t>✗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C0563F"/>
              </w:rPr>
            </w:pPr>
            <w:r>
              <w:rPr>
                <w:color w:val="C0563F"/>
              </w:rPr>
              <w:t>✗</w:t>
            </w:r>
          </w:p>
        </w:tc>
      </w:tr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  <w:i/>
              </w:rPr>
              <w:t>Section 12</w:t>
            </w:r>
            <w:r>
              <w:rPr>
                <w:b/>
              </w:rPr>
              <w:t xml:space="preserve"> · Media Liability</w:t>
            </w:r>
            <w:r>
              <w:rPr/>
              <w:t>Defamation, IP, content &amp; E&amp;O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C0563F"/>
              </w:rPr>
            </w:pPr>
            <w:r>
              <w:rPr>
                <w:color w:val="C0563F"/>
              </w:rPr>
              <w:t>✗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</w:tr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  <w:i/>
              </w:rPr>
              <w:t>Section 13</w:t>
            </w:r>
            <w:r>
              <w:rPr>
                <w:b/>
              </w:rPr>
              <w:t xml:space="preserve"> · Commercial Legal Expenses</w:t>
            </w:r>
            <w:r>
              <w:rPr/>
              <w:t>Employment, tax &amp; contract disputes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C0563F"/>
              </w:rPr>
            </w:pPr>
            <w:r>
              <w:rPr>
                <w:color w:val="C0563F"/>
              </w:rPr>
              <w:t>✗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C0563F"/>
              </w:rPr>
            </w:pPr>
            <w:r>
              <w:rPr>
                <w:color w:val="C0563F"/>
              </w:rPr>
              <w:t>✗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</w:tr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  <w:i/>
              </w:rPr>
              <w:t>Section 14</w:t>
            </w:r>
            <w:r>
              <w:rPr>
                <w:b/>
              </w:rPr>
              <w:t xml:space="preserve"> · Management Liability</w:t>
            </w:r>
            <w:r>
              <w:rPr/>
              <w:t>D&amp;O, corporate &amp; employment practices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C0563F"/>
              </w:rPr>
            </w:pPr>
            <w:r>
              <w:rPr>
                <w:color w:val="C0563F"/>
              </w:rPr>
              <w:t>✗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C0563F"/>
              </w:rPr>
            </w:pPr>
            <w:r>
              <w:rPr>
                <w:color w:val="C0563F"/>
              </w:rPr>
              <w:t>✗</w:t>
            </w:r>
          </w:p>
        </w:tc>
      </w:tr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  <w:i/>
              </w:rPr>
              <w:t>Section 15</w:t>
            </w:r>
            <w:r>
              <w:rPr>
                <w:b/>
              </w:rPr>
              <w:t xml:space="preserve"> · Cyber Liability</w:t>
            </w:r>
            <w:r>
              <w:rPr/>
              <w:t>Data breach &amp; network security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C0563F"/>
              </w:rPr>
            </w:pPr>
            <w:r>
              <w:rPr>
                <w:color w:val="C0563F"/>
              </w:rPr>
              <w:t>✗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88A3C"/>
                <w:sz w:val="20"/>
              </w:rPr>
            </w:pPr>
            <w:r>
              <w:rPr>
                <w:b/>
                <w:color w:val="B88A3C"/>
                <w:sz w:val="20"/>
              </w:rPr>
              <w:t>~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648B"/>
              </w:rPr>
            </w:pPr>
            <w:r>
              <w:rPr>
                <w:color w:val="00648B"/>
              </w:rPr>
              <w:t>✓</w:t>
            </w:r>
          </w:p>
        </w:tc>
      </w:tr>
    </w:tbl>
    <w:p>
      <w:pPr>
        <w:pStyle w:val="TextBodylegend"/>
        <w:bidi w:val="0"/>
        <w:spacing w:before="120" w:after="120"/>
        <w:ind w:left="120" w:right="120" w:hanging="0"/>
        <w:jc w:val="left"/>
        <w:rPr/>
      </w:pPr>
      <w:r>
        <w:rPr>
          <w:color w:val="00648B"/>
        </w:rPr>
        <w:t>✓</w:t>
      </w:r>
      <w:r>
        <w:rPr/>
        <w:t xml:space="preserve"> </w:t>
      </w:r>
      <w:r>
        <w:rPr/>
        <w:t xml:space="preserve">Covered </w:t>
      </w:r>
      <w:r>
        <w:rPr>
          <w:b/>
          <w:color w:val="B88A3C"/>
          <w:sz w:val="20"/>
        </w:rPr>
        <w:t>~</w:t>
      </w:r>
      <w:r>
        <w:rPr/>
        <w:t xml:space="preserve"> Conditional / sub-limit </w:t>
      </w:r>
      <w:r>
        <w:rPr>
          <w:color w:val="C0563F"/>
        </w:rPr>
        <w:t>✗</w:t>
      </w:r>
      <w:r>
        <w:rPr/>
        <w:t xml:space="preserve"> Not covered </w:t>
      </w:r>
      <w:r>
        <w:rPr>
          <w:b/>
          <w:color w:val="00648B"/>
        </w:rPr>
        <w:t>TMHCC = primary / master wording (all 15 sections)</w:t>
      </w:r>
      <w:r>
        <w:rPr/>
        <w:t xml:space="preserve"> </w:t>
      </w:r>
    </w:p>
    <w:p>
      <w:pPr>
        <w:pStyle w:val="TextBodymeta"/>
        <w:bidi w:val="0"/>
        <w:spacing w:before="60" w:after="283"/>
        <w:jc w:val="left"/>
        <w:rPr/>
      </w:pPr>
      <w:r>
        <w:rPr/>
        <w:t>Indicative wording comparison against the TMHCC Media &amp; Music Combined wording — for broking reference only. Always refer to the full policy wording.</w:t>
      </w:r>
      <w:r>
        <w:br w:type="page"/>
      </w:r>
    </w:p>
    <w:tbl>
      <w:tblPr>
        <w:tblW w:w="150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1"/>
      </w:tblGrid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pageBreakBefore/>
              <w:bidi w:val="0"/>
              <w:spacing w:before="0" w:after="283"/>
              <w:jc w:val="right"/>
              <w:rPr/>
            </w:pPr>
            <w:r>
              <w:rPr/>
              <w:drawing>
                <wp:inline distT="0" distB="0" distL="0" distR="0">
                  <wp:extent cx="860425" cy="797560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25" cy="79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279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91"/>
      </w:tblGrid>
      <w:tr>
        <w:trPr/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Coverage comparison — detail</w:t>
            </w:r>
          </w:p>
        </w:tc>
      </w:tr>
    </w:tbl>
    <w:p>
      <w:pPr>
        <w:pStyle w:val="TextBodysubtitle"/>
        <w:bidi w:val="0"/>
        <w:spacing w:before="180" w:after="120"/>
        <w:ind w:left="180" w:right="180" w:hanging="0"/>
        <w:jc w:val="left"/>
        <w:rPr/>
      </w:pPr>
      <w:r>
        <w:rPr/>
        <w:t>Section-by-section detail vs the TMHCC primary wording</w:t>
      </w:r>
    </w:p>
    <w:tbl>
      <w:tblPr>
        <w:tblW w:w="891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6"/>
        <w:gridCol w:w="1696"/>
        <w:gridCol w:w="1186"/>
        <w:gridCol w:w="1186"/>
        <w:gridCol w:w="1186"/>
        <w:gridCol w:w="1186"/>
        <w:gridCol w:w="1231"/>
      </w:tblGrid>
      <w:tr>
        <w:trPr>
          <w:tblHeader w:val="true"/>
        </w:trPr>
        <w:tc>
          <w:tcPr>
            <w:tcW w:w="12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Section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TMHCC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Wording A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Wording B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Wording C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Wording D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Wording E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i/>
              </w:rPr>
              <w:t>S1</w:t>
            </w:r>
            <w:r>
              <w:rPr/>
              <w:t xml:space="preserve"> Business “All Risks”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Buildings &amp; contents, full all-risks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offered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i/>
              </w:rPr>
              <w:t>S2</w:t>
            </w:r>
            <w:r>
              <w:rPr/>
              <w:t xml:space="preserve"> Property &amp; Equipment “All Risks”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Agreed value; hired-in incl.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i/>
              </w:rPr>
              <w:t>S3</w:t>
            </w:r>
            <w:r>
              <w:rPr/>
              <w:t xml:space="preserve"> Business Interruption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Declaration-linked; up to 24 mths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offered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i/>
              </w:rPr>
              <w:t>S4</w:t>
            </w:r>
            <w:r>
              <w:rPr/>
              <w:t xml:space="preserve"> Terrorism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Standalone terrorism incl.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offered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offered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i/>
              </w:rPr>
              <w:t>S5</w:t>
            </w:r>
            <w:r>
              <w:rPr/>
              <w:t xml:space="preserve"> Employers’ Liability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£10m; incl. temporary crew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i/>
              </w:rPr>
              <w:t>S6</w:t>
            </w:r>
            <w:r>
              <w:rPr/>
              <w:t xml:space="preserve"> Public Liability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£5m any one claim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i/>
              </w:rPr>
              <w:t>S7</w:t>
            </w:r>
            <w:r>
              <w:rPr/>
              <w:t xml:space="preserve"> Products Liability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within liability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i/>
              </w:rPr>
              <w:t>S8</w:t>
            </w:r>
            <w:r>
              <w:rPr/>
              <w:t xml:space="preserve"> Money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Money + personal assault incl.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offered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offered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i/>
              </w:rPr>
              <w:t>S9</w:t>
            </w:r>
            <w:r>
              <w:rPr/>
              <w:t xml:space="preserve"> Goods in Transit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UK &amp; EU transit incl.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offered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i/>
              </w:rPr>
              <w:t>S10</w:t>
            </w:r>
            <w:r>
              <w:rPr/>
              <w:t xml:space="preserve"> Loss of Licence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Incl. licence revocation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offered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offered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i/>
              </w:rPr>
              <w:t>S11</w:t>
            </w:r>
            <w:r>
              <w:rPr/>
              <w:t xml:space="preserve"> Production Indemnity “All Risks”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Gross production cost &amp; re-shoot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offered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offered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i/>
              </w:rPr>
              <w:t>S12</w:t>
            </w:r>
            <w:r>
              <w:rPr/>
              <w:t xml:space="preserve"> Media Liability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Defamation, IP, content &amp; E&amp;O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offered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i/>
              </w:rPr>
              <w:t>S13</w:t>
            </w:r>
            <w:r>
              <w:rPr/>
              <w:t xml:space="preserve"> Commercial Legal Expenses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Employment, tax, property, contract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offered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offered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i/>
              </w:rPr>
              <w:t>S14</w:t>
            </w:r>
            <w:r>
              <w:rPr/>
              <w:t xml:space="preserve"> Management Liability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D&amp;O, corporate &amp; EPL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offered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offered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i/>
              </w:rPr>
              <w:t>S15</w:t>
            </w:r>
            <w:r>
              <w:rPr/>
              <w:t xml:space="preserve"> Cyber Liability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£1m; data breach &amp; network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offered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Sub-limit / conditional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 as standard</w:t>
            </w:r>
          </w:p>
        </w:tc>
      </w:tr>
    </w:tbl>
    <w:p>
      <w:pPr>
        <w:pStyle w:val="TextBodymeta"/>
        <w:bidi w:val="0"/>
        <w:spacing w:before="60" w:after="283"/>
        <w:jc w:val="left"/>
        <w:rPr/>
      </w:pPr>
      <w:r>
        <w:rPr/>
        <w:t>Indicative wording comparison against the TMHCC Media &amp; Music Combined wording — for broking reference only. Always refer to the full policy wording. · Prepared 29 May 2026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300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ato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ato;Arial;sans-serif" w:hAnsi="Lato;Arial;sans-serif" w:eastAsia="Lato;Arial;sans-serif" w:cs="Lato;Arial;sans-serif"/>
      <w:color w:val="2B2F33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TextBody"/>
    <w:pPr/>
    <w:rPr>
      <w:rFonts w:cs="FreeSans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extBodysubtitle">
    <w:name w:val="Text Body.subtitle"/>
    <w:basedOn w:val="TextBody"/>
    <w:qFormat/>
    <w:pPr>
      <w:spacing w:before="180" w:after="120"/>
      <w:ind w:left="180" w:right="180" w:hanging="0"/>
    </w:pPr>
    <w:rPr>
      <w:b/>
      <w:bCs/>
      <w:color w:val="B88A3C"/>
      <w:sz w:val="28"/>
      <w:szCs w:val="28"/>
    </w:rPr>
  </w:style>
  <w:style w:type="paragraph" w:styleId="TextBodylegend">
    <w:name w:val="Text Body.legend"/>
    <w:basedOn w:val="TextBody"/>
    <w:qFormat/>
    <w:pPr>
      <w:spacing w:before="120" w:after="120"/>
      <w:ind w:left="120" w:right="120" w:hanging="0"/>
    </w:pPr>
    <w:rPr>
      <w:color w:val="6C7378"/>
      <w:sz w:val="15"/>
      <w:szCs w:val="15"/>
    </w:rPr>
  </w:style>
  <w:style w:type="paragraph" w:styleId="TextBodymeta">
    <w:name w:val="Text Body.meta"/>
    <w:basedOn w:val="TextBody"/>
    <w:qFormat/>
    <w:pPr>
      <w:spacing w:before="60" w:after="283"/>
    </w:pPr>
    <w:rPr>
      <w:color w:val="AEB4B8"/>
      <w:sz w:val="14"/>
      <w:szCs w:val="1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Coverage Comparison — TMHCC Media and Entertainment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ProgId">
    <vt:lpwstr>Word.Document</vt:lpwstr>
  </property>
</Properties>
</file>