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582188" cy="540000"/>
            <wp:docPr id="1" name="Picture 1"/>
            <wp:cNvGraphicFramePr>
              <a:graphicFrameLocks noChangeAspect="1"/>
            </wp:cNvGraphicFramePr>
            <a:graphic>
              <a:graphicData uri="http://schemas.openxmlformats.org/drawingml/2006/picture">
                <pic:pic>
                  <pic:nvPicPr>
                    <pic:cNvPr id="0" name="tmhcc_logo.png"/>
                    <pic:cNvPicPr/>
                  </pic:nvPicPr>
                  <pic:blipFill>
                    <a:blip r:embed="rId11"/>
                    <a:stretch>
                      <a:fillRect/>
                    </a:stretch>
                  </pic:blipFill>
                  <pic:spPr>
                    <a:xfrm>
                      <a:off x="0" y="0"/>
                      <a:ext cx="582188" cy="540000"/>
                    </a:xfrm>
                    <a:prstGeom prst="rect"/>
                  </pic:spPr>
                </pic:pic>
              </a:graphicData>
            </a:graphic>
          </wp:inline>
        </w:drawing>
      </w:r>
    </w:p>
    <w:p>
      <w:pPr>
        <w:spacing w:after="600"/>
      </w:pPr>
    </w:p>
    <w:p>
      <w:pPr>
        <w:spacing w:after="40"/>
      </w:pPr>
      <w:r>
        <w:rPr>
          <w:rFonts w:ascii="Lato" w:hAnsi="Lato" w:cs="Lato"/>
          <w:b/>
          <w:i w:val="0"/>
          <w:color w:val="B88A3C"/>
          <w:sz w:val="22"/>
          <w:caps w:val="true"/>
        </w:rPr>
        <w:t>Wording Enhancement — Media &amp; Entertainment</w:t>
      </w:r>
    </w:p>
    <w:p>
      <w:pPr>
        <w:spacing w:after="80"/>
        <w:pBdr>
          <w:bottom w:val="single" w:sz="14" w:space="2" w:color="B88A3C"/>
        </w:pBdr>
      </w:pPr>
      <w:r>
        <w:rPr>
          <w:rFonts w:ascii="Lato" w:hAnsi="Lato" w:cs="Lato"/>
          <w:b/>
          <w:i w:val="0"/>
          <w:color w:val="00648B"/>
          <w:sz w:val="60"/>
        </w:rPr>
        <w:t>TMHCC Gap-Fill &amp;</w:t>
        <w:br/>
        <w:t>Wording Enhancement Strategy</w:t>
      </w:r>
    </w:p>
    <w:p>
      <w:pPr>
        <w:spacing w:after="280" w:before="120"/>
      </w:pPr>
      <w:r>
        <w:rPr>
          <w:rFonts w:ascii="Lato" w:hAnsi="Lato" w:cs="Lato"/>
          <w:b w:val="0"/>
          <w:i w:val="0"/>
          <w:color w:val="2B2F33"/>
          <w:sz w:val="26"/>
        </w:rPr>
        <w:t>Strategic, action-focused recommendations to make the TMHCC Media &amp; Music Combined base wording more holistic, clearer and demonstrably market-leading.</w:t>
      </w:r>
    </w:p>
    <w:p>
      <w:pPr>
        <w:keepNext/>
        <w:spacing w:before="120" w:after="20"/>
      </w:pPr>
      <w:r>
        <w:rPr>
          <w:rFonts w:ascii="Lato" w:hAnsi="Lato" w:cs="Lato"/>
          <w:b/>
          <w:i w:val="0"/>
          <w:color w:val="B88A3C"/>
          <w:sz w:val="20"/>
        </w:rPr>
        <w:t>Wordings reviewed</w:t>
      </w:r>
    </w:p>
    <w:p>
      <w:pPr>
        <w:pStyle w:val="ListBullet"/>
        <w:spacing w:after="40"/>
        <w:ind w:left="340"/>
      </w:pPr>
      <w:r>
        <w:rPr>
          <w:rFonts w:ascii="Lato" w:hAnsi="Lato" w:cs="Lato"/>
          <w:b w:val="0"/>
          <w:i w:val="0"/>
          <w:color w:val="2B2F33"/>
          <w:sz w:val="19"/>
        </w:rPr>
        <w:t>Benchmarked against all five competitor wordings:</w:t>
      </w:r>
    </w:p>
    <w:p>
      <w:pPr>
        <w:pStyle w:val="ListBullet"/>
        <w:spacing w:after="40"/>
        <w:ind w:left="340"/>
      </w:pPr>
      <w:r>
        <w:rPr>
          <w:rFonts w:ascii="Lato" w:hAnsi="Lato" w:cs="Lato"/>
          <w:b w:val="0"/>
          <w:i w:val="0"/>
          <w:color w:val="2B2F33"/>
          <w:sz w:val="19"/>
        </w:rPr>
        <w:t>Tysers (Zurich), Yutree (AXA), Liberty, Allianz and AXA XL (XL Catlin) — now incorporated</w:t>
      </w:r>
    </w:p>
    <w:p>
      <w:pPr>
        <w:spacing w:after="200"/>
      </w:pPr>
    </w:p>
    <w:p>
      <w:pPr>
        <w:spacing w:after="60" w:before="0"/>
      </w:pPr>
      <w:r>
        <w:rPr>
          <w:rFonts w:ascii="Lato" w:hAnsi="Lato" w:cs="Lato"/>
          <w:b w:val="0"/>
          <w:i/>
          <w:color w:val="6C7378"/>
          <w:sz w:val="17"/>
        </w:rPr>
        <w:t>Companion to the Full Coverage Comparison. Every recommendation is evidence-based — supported by at least one competitor wording.</w:t>
      </w:r>
    </w:p>
    <w:p>
      <w:pPr>
        <w:spacing w:after="60" w:before="0"/>
      </w:pPr>
      <w:r>
        <w:rPr>
          <w:rFonts w:ascii="Lato" w:hAnsi="Lato" w:cs="Lato"/>
          <w:b w:val="0"/>
          <w:i/>
          <w:color w:val="6C7378"/>
          <w:sz w:val="17"/>
        </w:rPr>
        <w:t>Recommendations are commercial proposals only and are subject to final TMHCC legal / underwriting sign-off.</w:t>
      </w:r>
    </w:p>
    <w:p>
      <w:r>
        <w:br w:type="page"/>
      </w:r>
    </w:p>
    <w:p>
      <w:pPr>
        <w:keepNext/>
        <w:spacing w:before="280" w:after="40"/>
        <w:pBdr>
          <w:bottom w:val="single" w:sz="8" w:space="2" w:color="B88A3C"/>
        </w:pBdr>
      </w:pPr>
      <w:r>
        <w:rPr>
          <w:rFonts w:ascii="Lato" w:hAnsi="Lato" w:cs="Lato"/>
          <w:b/>
          <w:i w:val="0"/>
          <w:color w:val="B88A3C"/>
          <w:sz w:val="30"/>
        </w:rPr>
        <w:t xml:space="preserve">1  </w:t>
      </w:r>
      <w:r>
        <w:rPr>
          <w:rFonts w:ascii="Lato" w:hAnsi="Lato" w:cs="Lato"/>
          <w:b/>
          <w:i w:val="0"/>
          <w:color w:val="00648B"/>
          <w:sz w:val="30"/>
        </w:rPr>
        <w:t>Executive summary</w:t>
      </w:r>
    </w:p>
    <w:p>
      <w:pPr>
        <w:spacing w:after="80" w:before="0"/>
        <w:jc w:val="both"/>
      </w:pPr>
      <w:r>
        <w:rPr>
          <w:rFonts w:ascii="Lato" w:hAnsi="Lato" w:cs="Lato"/>
          <w:b w:val="0"/>
          <w:i w:val="0"/>
          <w:color w:val="2B2F33"/>
          <w:sz w:val="19"/>
        </w:rPr>
        <w:t>The Full Coverage Comparison confirms that TMHCC already offers the broadest media &amp; entertainment package in the peer group — the only wording with all fifteen sections, and the only one with Loss of Licence, Legal Expenses, Management Liability and a genuine standalone Cyber section. The purpose of this document is not to broaden recklessly, but to close the small number of places where a competitor genuinely shows more, so that TMHCC can present a tick on virtually every comparison row.</w:t>
      </w:r>
    </w:p>
    <w:p>
      <w:pPr>
        <w:keepNext/>
        <w:spacing w:before="120" w:after="20"/>
      </w:pPr>
      <w:r>
        <w:rPr>
          <w:rFonts w:ascii="Lato" w:hAnsi="Lato" w:cs="Lato"/>
          <w:b/>
          <w:i w:val="0"/>
          <w:color w:val="B88A3C"/>
          <w:sz w:val="20"/>
        </w:rPr>
        <w:t>What moves the needle most</w:t>
      </w:r>
    </w:p>
    <w:p>
      <w:pPr>
        <w:pStyle w:val="ListBullet"/>
        <w:spacing w:after="40"/>
        <w:ind w:left="340"/>
      </w:pPr>
      <w:r>
        <w:rPr>
          <w:rFonts w:ascii="Lato" w:hAnsi="Lato" w:cs="Lato"/>
          <w:b/>
          <w:i w:val="0"/>
          <w:color w:val="00648B"/>
          <w:sz w:val="19"/>
        </w:rPr>
        <w:t xml:space="preserve">1.  </w:t>
      </w:r>
      <w:r>
        <w:rPr>
          <w:rFonts w:ascii="Lato" w:hAnsi="Lato" w:cs="Lato"/>
          <w:b w:val="0"/>
          <w:i w:val="0"/>
          <w:color w:val="2B2F33"/>
          <w:sz w:val="19"/>
        </w:rPr>
        <w:t>Add a Personal Accident &amp; Business Travel option — the only whole section two competitors offer that TMHCC does not.</w:t>
      </w:r>
    </w:p>
    <w:p>
      <w:pPr>
        <w:pStyle w:val="ListBullet"/>
        <w:spacing w:after="40"/>
        <w:ind w:left="340"/>
      </w:pPr>
      <w:r>
        <w:rPr>
          <w:rFonts w:ascii="Lato" w:hAnsi="Lato" w:cs="Lato"/>
          <w:b/>
          <w:i w:val="0"/>
          <w:color w:val="00648B"/>
          <w:sz w:val="19"/>
        </w:rPr>
        <w:t xml:space="preserve">2.  </w:t>
      </w:r>
      <w:r>
        <w:rPr>
          <w:rFonts w:ascii="Lato" w:hAnsi="Lato" w:cs="Lato"/>
          <w:b w:val="0"/>
          <w:i w:val="0"/>
          <w:color w:val="2B2F33"/>
          <w:sz w:val="19"/>
        </w:rPr>
        <w:t>Offer a rated worldwide / US-Canada territory option for Media Liability — Tysers PI is worldwide.</w:t>
      </w:r>
    </w:p>
    <w:p>
      <w:pPr>
        <w:pStyle w:val="ListBullet"/>
        <w:spacing w:after="40"/>
        <w:ind w:left="340"/>
      </w:pPr>
      <w:r>
        <w:rPr>
          <w:rFonts w:ascii="Lato" w:hAnsi="Lato" w:cs="Lato"/>
          <w:b/>
          <w:i w:val="0"/>
          <w:color w:val="00648B"/>
          <w:sz w:val="19"/>
        </w:rPr>
        <w:t xml:space="preserve">3.  </w:t>
      </w:r>
      <w:r>
        <w:rPr>
          <w:rFonts w:ascii="Lato" w:hAnsi="Lato" w:cs="Lato"/>
          <w:b w:val="0"/>
          <w:i w:val="0"/>
          <w:color w:val="2B2F33"/>
          <w:sz w:val="19"/>
        </w:rPr>
        <w:t>Add a Distributors &amp; Purchasers extension and journalistic source-protection costs to Media Liability (both Tysers).</w:t>
      </w:r>
    </w:p>
    <w:p>
      <w:pPr>
        <w:pStyle w:val="ListBullet"/>
        <w:spacing w:after="40"/>
        <w:ind w:left="340"/>
      </w:pPr>
      <w:r>
        <w:rPr>
          <w:rFonts w:ascii="Lato" w:hAnsi="Lato" w:cs="Lato"/>
          <w:b/>
          <w:i w:val="0"/>
          <w:color w:val="00648B"/>
          <w:sz w:val="19"/>
        </w:rPr>
        <w:t xml:space="preserve">4.  </w:t>
      </w:r>
      <w:r>
        <w:rPr>
          <w:rFonts w:ascii="Lato" w:hAnsi="Lato" w:cs="Lato"/>
          <w:b w:val="0"/>
          <w:i w:val="0"/>
          <w:color w:val="2B2F33"/>
          <w:sz w:val="19"/>
        </w:rPr>
        <w:t>Clarify where criminal / regulatory defence costs live (S12 vs S13/S14) — a near nil-cost fix that removes an apparent gap.</w:t>
      </w:r>
    </w:p>
    <w:tbl>
      <w:tblPr>
        <w:tblW w:type="pct" w:w="5000"/>
        <w:tblLayout w:type="fixed"/>
        <w:tblLook w:firstColumn="1" w:firstRow="1" w:lastColumn="0" w:lastRow="0" w:noHBand="0" w:noVBand="1" w:val="04A0"/>
      </w:tblPr>
      <w:tblGrid>
        <w:gridCol w:w="9978"/>
      </w:tblGrid>
      <w:tr>
        <w:tc>
          <w:tcPr>
            <w:tcW w:type="dxa" w:w="9978"/>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Discipline retained:  </w:t>
            </w:r>
            <w:r>
              <w:rPr>
                <w:rFonts w:ascii="Lato" w:hAnsi="Lato" w:cs="Lato"/>
                <w:b w:val="0"/>
                <w:i w:val="0"/>
                <w:color w:val="2B2F33"/>
                <w:sz w:val="19"/>
              </w:rPr>
              <w:t>TMHCC should KEEP its more restrictive positions on patents, communicable disease and default US/Canada jurisdiction. These are deliberate, defensible underwriting choices, not gaps — the worldwide/US-Canada exposure is best offered as a rated option rather than given away.</w:t>
            </w:r>
          </w:p>
        </w:tc>
      </w:tr>
    </w:tbl>
    <w:p>
      <w:pPr>
        <w:spacing w:after="80"/>
      </w:pPr>
    </w:p>
    <w:p>
      <w:r>
        <w:br w:type="page"/>
      </w:r>
    </w:p>
    <w:p>
      <w:pPr>
        <w:keepNext/>
        <w:spacing w:before="280" w:after="40"/>
        <w:pBdr>
          <w:bottom w:val="single" w:sz="8" w:space="2" w:color="B88A3C"/>
        </w:pBdr>
      </w:pPr>
      <w:r>
        <w:rPr>
          <w:rFonts w:ascii="Lato" w:hAnsi="Lato" w:cs="Lato"/>
          <w:b/>
          <w:i w:val="0"/>
          <w:color w:val="00648B"/>
          <w:sz w:val="30"/>
        </w:rPr>
        <w:t>Round 7 — implementation status (final wording)</w:t>
      </w:r>
    </w:p>
    <w:p>
      <w:pPr>
        <w:spacing w:after="80" w:before="0"/>
        <w:jc w:val="both"/>
      </w:pPr>
      <w:r>
        <w:rPr>
          <w:rFonts w:ascii="Lato" w:hAnsi="Lato" w:cs="Lato"/>
          <w:b w:val="0"/>
          <w:i w:val="0"/>
          <w:color w:val="2B2F33"/>
          <w:sz w:val="19"/>
        </w:rPr>
        <w:t>This edition aligns the strategy with the FINAL updated TMHCC wording. The following amendments were applied to the wording as fresh tracked changes (from a clean accepted baseline); Section 12 items are held for sign-off and are NOT in the wording.</w:t>
      </w:r>
    </w:p>
    <w:tbl>
      <w:tblPr>
        <w:tblW w:type="dxa" w:w="10660"/>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948"/>
        <w:gridCol w:w="4649"/>
        <w:gridCol w:w="1928"/>
        <w:gridCol w:w="1134"/>
      </w:tblGrid>
      <w:tr>
        <w:tc>
          <w:tcPr>
            <w:tcW w:type="dxa" w:w="2948"/>
            <w:shd w:val="clear" w:color="auto" w:fill="00648B"/>
          </w:tcPr>
          <w:p>
            <w:pPr>
              <w:spacing w:after="20" w:before="0"/>
              <w:jc w:val="center"/>
            </w:pPr>
            <w:r/>
            <w:r>
              <w:rPr>
                <w:rFonts w:ascii="Lato" w:hAnsi="Lato" w:cs="Lato"/>
                <w:b/>
                <w:i w:val="0"/>
                <w:color w:val="FFFFFF"/>
                <w:sz w:val="17"/>
              </w:rPr>
              <w:t>Item</w:t>
            </w:r>
          </w:p>
        </w:tc>
        <w:tc>
          <w:tcPr>
            <w:tcW w:type="dxa" w:w="4649"/>
            <w:shd w:val="clear" w:color="auto" w:fill="00648B"/>
          </w:tcPr>
          <w:p>
            <w:pPr>
              <w:spacing w:after="20" w:before="0"/>
              <w:jc w:val="center"/>
            </w:pPr>
            <w:r/>
            <w:r>
              <w:rPr>
                <w:rFonts w:ascii="Lato" w:hAnsi="Lato" w:cs="Lato"/>
                <w:b/>
                <w:i w:val="0"/>
                <w:color w:val="FFFFFF"/>
                <w:sz w:val="17"/>
              </w:rPr>
              <w:t>Final wording position</w:t>
            </w:r>
          </w:p>
        </w:tc>
        <w:tc>
          <w:tcPr>
            <w:tcW w:type="dxa" w:w="1928"/>
            <w:shd w:val="clear" w:color="auto" w:fill="00648B"/>
          </w:tcPr>
          <w:p>
            <w:pPr>
              <w:spacing w:after="20" w:before="0"/>
              <w:jc w:val="center"/>
            </w:pPr>
            <w:r/>
            <w:r>
              <w:rPr>
                <w:rFonts w:ascii="Lato" w:hAnsi="Lato" w:cs="Lato"/>
                <w:b/>
                <w:i w:val="0"/>
                <w:color w:val="FFFFFF"/>
                <w:sz w:val="17"/>
              </w:rPr>
              <w:t>Status</w:t>
            </w:r>
          </w:p>
        </w:tc>
        <w:tc>
          <w:tcPr>
            <w:tcW w:type="dxa" w:w="1134"/>
            <w:shd w:val="clear" w:color="auto" w:fill="00648B"/>
          </w:tcPr>
          <w:p>
            <w:pPr>
              <w:spacing w:after="20" w:before="0"/>
              <w:jc w:val="center"/>
            </w:pPr>
            <w:r/>
            <w:r>
              <w:rPr>
                <w:rFonts w:ascii="Lato" w:hAnsi="Lato" w:cs="Lato"/>
                <w:b/>
                <w:i w:val="0"/>
                <w:color w:val="FFFFFF"/>
                <w:sz w:val="17"/>
              </w:rPr>
              <w:t>Sign-off</w:t>
            </w:r>
          </w:p>
        </w:tc>
      </w:tr>
      <w:tr>
        <w:tc>
          <w:tcPr>
            <w:tcW w:type="dxa" w:w="2948"/>
          </w:tcPr>
          <w:p>
            <w:pPr>
              <w:spacing w:after="20" w:before="0"/>
            </w:pPr>
            <w:r/>
            <w:r>
              <w:rPr>
                <w:rFonts w:ascii="Lato" w:hAnsi="Lato" w:cs="Lato"/>
                <w:b/>
                <w:i w:val="0"/>
                <w:color w:val="00648B"/>
                <w:sz w:val="16"/>
              </w:rPr>
              <w:t>Admission-of-Liability claims condition</w:t>
            </w:r>
          </w:p>
        </w:tc>
        <w:tc>
          <w:tcPr>
            <w:tcW w:type="dxa" w:w="4649"/>
          </w:tcPr>
          <w:p>
            <w:pPr>
              <w:spacing w:after="20" w:before="0"/>
            </w:pPr>
            <w:r/>
            <w:r>
              <w:rPr>
                <w:rFonts w:ascii="Lato" w:hAnsi="Lato" w:cs="Lato"/>
                <w:b w:val="0"/>
                <w:i w:val="0"/>
                <w:color w:val="2B2F33"/>
                <w:sz w:val="16"/>
              </w:rPr>
              <w:t>Blanket 'condition precedent' replaced with an ordinary condition + prejudice qualifier (Policy Claims Conditions, Sections 1–11).</w:t>
            </w:r>
          </w:p>
        </w:tc>
        <w:tc>
          <w:tcPr>
            <w:tcW w:type="dxa" w:w="1928"/>
            <w:shd w:val="clear" w:color="auto" w:fill="E3F1E6"/>
          </w:tcPr>
          <w:p>
            <w:pPr>
              <w:spacing w:after="20" w:before="0"/>
              <w:jc w:val="center"/>
            </w:pPr>
            <w:r/>
            <w:r>
              <w:rPr>
                <w:rFonts w:ascii="Lato" w:hAnsi="Lato" w:cs="Lato"/>
                <w:b/>
                <w:i w:val="0"/>
                <w:color w:val="2E7D44"/>
                <w:sz w:val="16"/>
              </w:rPr>
              <w:t>Implemented (tracked)</w:t>
            </w:r>
          </w:p>
        </w:tc>
        <w:tc>
          <w:tcPr>
            <w:tcW w:type="dxa" w:w="1134"/>
          </w:tcPr>
          <w:p>
            <w:pPr>
              <w:spacing w:after="20" w:before="0"/>
              <w:jc w:val="center"/>
            </w:pPr>
            <w:r/>
            <w:r>
              <w:rPr>
                <w:rFonts w:ascii="Lato" w:hAnsi="Lato" w:cs="Lato"/>
                <w:b w:val="0"/>
                <w:i w:val="0"/>
                <w:color w:val="2B2F33"/>
                <w:sz w:val="16"/>
              </w:rPr>
              <w:t>No</w:t>
            </w:r>
          </w:p>
        </w:tc>
      </w:tr>
      <w:tr>
        <w:tc>
          <w:tcPr>
            <w:tcW w:type="dxa" w:w="2948"/>
            <w:shd w:val="clear" w:color="auto" w:fill="F4F7F9"/>
          </w:tcPr>
          <w:p>
            <w:pPr>
              <w:spacing w:after="20" w:before="0"/>
            </w:pPr>
            <w:r/>
            <w:r>
              <w:rPr>
                <w:rFonts w:ascii="Lato" w:hAnsi="Lato" w:cs="Lato"/>
                <w:b/>
                <w:i w:val="0"/>
                <w:color w:val="00648B"/>
                <w:sz w:val="16"/>
              </w:rPr>
              <w:t>Proof of Ownership &amp; Value</w:t>
            </w:r>
          </w:p>
        </w:tc>
        <w:tc>
          <w:tcPr>
            <w:tcW w:type="dxa" w:w="4649"/>
            <w:shd w:val="clear" w:color="auto" w:fill="F4F7F9"/>
          </w:tcPr>
          <w:p>
            <w:pPr>
              <w:spacing w:after="20" w:before="0"/>
            </w:pPr>
            <w:r/>
            <w:r>
              <w:rPr>
                <w:rFonts w:ascii="Lato" w:hAnsi="Lato" w:cs="Lato"/>
                <w:b w:val="0"/>
                <w:i w:val="0"/>
                <w:color w:val="2B2F33"/>
                <w:sz w:val="16"/>
              </w:rPr>
              <w:t>New headed claims condition added to Policy Claims Conditions (Sections 1–11) — item-level evidence for theft/loss of high-value &amp; agreed-value items.</w:t>
            </w:r>
          </w:p>
        </w:tc>
        <w:tc>
          <w:tcPr>
            <w:tcW w:type="dxa" w:w="1928"/>
            <w:shd w:val="clear" w:color="auto" w:fill="E3F1E6"/>
          </w:tcPr>
          <w:p>
            <w:pPr>
              <w:spacing w:after="20" w:before="0"/>
              <w:jc w:val="center"/>
            </w:pPr>
            <w:r/>
            <w:r>
              <w:rPr>
                <w:rFonts w:ascii="Lato" w:hAnsi="Lato" w:cs="Lato"/>
                <w:b/>
                <w:i w:val="0"/>
                <w:color w:val="2E7D44"/>
                <w:sz w:val="16"/>
              </w:rPr>
              <w:t>Implemented (tracked)</w:t>
            </w:r>
          </w:p>
        </w:tc>
        <w:tc>
          <w:tcPr>
            <w:tcW w:type="dxa" w:w="1134"/>
            <w:shd w:val="clear" w:color="auto" w:fill="F4F7F9"/>
          </w:tcPr>
          <w:p>
            <w:pPr>
              <w:spacing w:after="20" w:before="0"/>
              <w:jc w:val="center"/>
            </w:pPr>
            <w:r/>
            <w:r>
              <w:rPr>
                <w:rFonts w:ascii="Lato" w:hAnsi="Lato" w:cs="Lato"/>
                <w:b w:val="0"/>
                <w:i w:val="0"/>
                <w:color w:val="2B2F33"/>
                <w:sz w:val="16"/>
              </w:rPr>
              <w:t>No</w:t>
            </w:r>
          </w:p>
        </w:tc>
      </w:tr>
      <w:tr>
        <w:tc>
          <w:tcPr>
            <w:tcW w:type="dxa" w:w="2948"/>
          </w:tcPr>
          <w:p>
            <w:pPr>
              <w:spacing w:after="20" w:before="0"/>
            </w:pPr>
            <w:r/>
            <w:r>
              <w:rPr>
                <w:rFonts w:ascii="Lato" w:hAnsi="Lato" w:cs="Lato"/>
                <w:b/>
                <w:i w:val="0"/>
                <w:color w:val="00648B"/>
                <w:sz w:val="16"/>
              </w:rPr>
              <w:t>Gap 8 — ICOW / Book Debts (S3)</w:t>
            </w:r>
          </w:p>
        </w:tc>
        <w:tc>
          <w:tcPr>
            <w:tcW w:type="dxa" w:w="4649"/>
          </w:tcPr>
          <w:p>
            <w:pPr>
              <w:spacing w:after="20" w:before="0"/>
            </w:pPr>
            <w:r/>
            <w:r>
              <w:rPr>
                <w:rFonts w:ascii="Lato" w:hAnsi="Lato" w:cs="Lato"/>
                <w:b w:val="0"/>
                <w:i w:val="0"/>
                <w:color w:val="2B2F33"/>
                <w:sz w:val="16"/>
              </w:rPr>
              <w:t>ICOW &amp; AICOW already named; 'Accounts Receivable' head re-labelled '(Book Debts)'.</w:t>
            </w:r>
          </w:p>
        </w:tc>
        <w:tc>
          <w:tcPr>
            <w:tcW w:type="dxa" w:w="1928"/>
            <w:shd w:val="clear" w:color="auto" w:fill="E3F1E6"/>
          </w:tcPr>
          <w:p>
            <w:pPr>
              <w:spacing w:after="20" w:before="0"/>
              <w:jc w:val="center"/>
            </w:pPr>
            <w:r/>
            <w:r>
              <w:rPr>
                <w:rFonts w:ascii="Lato" w:hAnsi="Lato" w:cs="Lato"/>
                <w:b/>
                <w:i w:val="0"/>
                <w:color w:val="2E7D44"/>
                <w:sz w:val="16"/>
              </w:rPr>
              <w:t>Implemented (tracked)</w:t>
            </w:r>
          </w:p>
        </w:tc>
        <w:tc>
          <w:tcPr>
            <w:tcW w:type="dxa" w:w="1134"/>
          </w:tcPr>
          <w:p>
            <w:pPr>
              <w:spacing w:after="20" w:before="0"/>
              <w:jc w:val="center"/>
            </w:pPr>
            <w:r/>
            <w:r>
              <w:rPr>
                <w:rFonts w:ascii="Lato" w:hAnsi="Lato" w:cs="Lato"/>
                <w:b w:val="0"/>
                <w:i w:val="0"/>
                <w:color w:val="2B2F33"/>
                <w:sz w:val="16"/>
              </w:rPr>
              <w:t>No</w:t>
            </w:r>
          </w:p>
        </w:tc>
      </w:tr>
      <w:tr>
        <w:tc>
          <w:tcPr>
            <w:tcW w:type="dxa" w:w="2948"/>
            <w:shd w:val="clear" w:color="auto" w:fill="F4F7F9"/>
          </w:tcPr>
          <w:p>
            <w:pPr>
              <w:spacing w:after="20" w:before="0"/>
            </w:pPr>
            <w:r/>
            <w:r>
              <w:rPr>
                <w:rFonts w:ascii="Lato" w:hAnsi="Lato" w:cs="Lato"/>
                <w:b/>
                <w:i w:val="0"/>
                <w:color w:val="00648B"/>
                <w:sz w:val="16"/>
              </w:rPr>
              <w:t>Gap 10 — Computer/IT Breakdown</w:t>
            </w:r>
          </w:p>
        </w:tc>
        <w:tc>
          <w:tcPr>
            <w:tcW w:type="dxa" w:w="4649"/>
            <w:shd w:val="clear" w:color="auto" w:fill="F4F7F9"/>
          </w:tcPr>
          <w:p>
            <w:pPr>
              <w:spacing w:after="20" w:before="0"/>
            </w:pPr>
            <w:r/>
            <w:r>
              <w:rPr>
                <w:rFonts w:ascii="Lato" w:hAnsi="Lato" w:cs="Lato"/>
                <w:b w:val="0"/>
                <w:i w:val="0"/>
                <w:color w:val="2B2F33"/>
                <w:sz w:val="16"/>
              </w:rPr>
              <w:t>Confirmed already covered — S1 IT-Property Breakdown (≡ Yutree Computer Breakdown) + S2 M&amp;E Breakdown optional ext (≡ Yutree general). No change.</w:t>
            </w:r>
          </w:p>
        </w:tc>
        <w:tc>
          <w:tcPr>
            <w:tcW w:type="dxa" w:w="1928"/>
            <w:shd w:val="clear" w:color="auto" w:fill="E3F1E6"/>
          </w:tcPr>
          <w:p>
            <w:pPr>
              <w:spacing w:after="20" w:before="0"/>
              <w:jc w:val="center"/>
            </w:pPr>
            <w:r/>
            <w:r>
              <w:rPr>
                <w:rFonts w:ascii="Lato" w:hAnsi="Lato" w:cs="Lato"/>
                <w:b/>
                <w:i w:val="0"/>
                <w:color w:val="2E7D44"/>
                <w:sz w:val="16"/>
              </w:rPr>
              <w:t>Confirmed — no change</w:t>
            </w:r>
          </w:p>
        </w:tc>
        <w:tc>
          <w:tcPr>
            <w:tcW w:type="dxa" w:w="1134"/>
            <w:shd w:val="clear" w:color="auto" w:fill="F4F7F9"/>
          </w:tcPr>
          <w:p>
            <w:pPr>
              <w:spacing w:after="20" w:before="0"/>
              <w:jc w:val="center"/>
            </w:pPr>
            <w:r/>
            <w:r>
              <w:rPr>
                <w:rFonts w:ascii="Lato" w:hAnsi="Lato" w:cs="Lato"/>
                <w:b w:val="0"/>
                <w:i w:val="0"/>
                <w:color w:val="2B2F33"/>
                <w:sz w:val="16"/>
              </w:rPr>
              <w:t>No</w:t>
            </w:r>
          </w:p>
        </w:tc>
      </w:tr>
      <w:tr>
        <w:tc>
          <w:tcPr>
            <w:tcW w:type="dxa" w:w="2948"/>
          </w:tcPr>
          <w:p>
            <w:pPr>
              <w:spacing w:after="20" w:before="0"/>
            </w:pPr>
            <w:r/>
            <w:r>
              <w:rPr>
                <w:rFonts w:ascii="Lato" w:hAnsi="Lato" w:cs="Lato"/>
                <w:b/>
                <w:i w:val="0"/>
                <w:color w:val="00648B"/>
                <w:sz w:val="16"/>
              </w:rPr>
              <w:t>Section 15 title</w:t>
            </w:r>
          </w:p>
        </w:tc>
        <w:tc>
          <w:tcPr>
            <w:tcW w:type="dxa" w:w="4649"/>
          </w:tcPr>
          <w:p>
            <w:pPr>
              <w:spacing w:after="20" w:before="0"/>
            </w:pPr>
            <w:r/>
            <w:r>
              <w:rPr>
                <w:rFonts w:ascii="Lato" w:hAnsi="Lato" w:cs="Lato"/>
                <w:b w:val="0"/>
                <w:i w:val="0"/>
                <w:color w:val="2B2F33"/>
                <w:sz w:val="16"/>
              </w:rPr>
              <w:t>Standardised to 'CyberGuard™ (Cyber Liability)' in body heading and contents.</w:t>
            </w:r>
          </w:p>
        </w:tc>
        <w:tc>
          <w:tcPr>
            <w:tcW w:type="dxa" w:w="1928"/>
            <w:shd w:val="clear" w:color="auto" w:fill="E3F1E6"/>
          </w:tcPr>
          <w:p>
            <w:pPr>
              <w:spacing w:after="20" w:before="0"/>
              <w:jc w:val="center"/>
            </w:pPr>
            <w:r/>
            <w:r>
              <w:rPr>
                <w:rFonts w:ascii="Lato" w:hAnsi="Lato" w:cs="Lato"/>
                <w:b/>
                <w:i w:val="0"/>
                <w:color w:val="2E7D44"/>
                <w:sz w:val="16"/>
              </w:rPr>
              <w:t>Implemented (tracked)</w:t>
            </w:r>
          </w:p>
        </w:tc>
        <w:tc>
          <w:tcPr>
            <w:tcW w:type="dxa" w:w="1134"/>
          </w:tcPr>
          <w:p>
            <w:pPr>
              <w:spacing w:after="20" w:before="0"/>
              <w:jc w:val="center"/>
            </w:pPr>
            <w:r/>
            <w:r>
              <w:rPr>
                <w:rFonts w:ascii="Lato" w:hAnsi="Lato" w:cs="Lato"/>
                <w:b w:val="0"/>
                <w:i w:val="0"/>
                <w:color w:val="2B2F33"/>
                <w:sz w:val="16"/>
              </w:rPr>
              <w:t>Confirm label</w:t>
            </w:r>
          </w:p>
        </w:tc>
      </w:tr>
      <w:tr>
        <w:tc>
          <w:tcPr>
            <w:tcW w:type="dxa" w:w="2948"/>
            <w:shd w:val="clear" w:color="auto" w:fill="F4F7F9"/>
          </w:tcPr>
          <w:p>
            <w:pPr>
              <w:spacing w:after="20" w:before="0"/>
            </w:pPr>
            <w:r/>
            <w:r>
              <w:rPr>
                <w:rFonts w:ascii="Lato" w:hAnsi="Lato" w:cs="Lato"/>
                <w:b/>
                <w:i w:val="0"/>
                <w:color w:val="00648B"/>
                <w:sz w:val="16"/>
              </w:rPr>
              <w:t>Gap 2 — Worldwide Media Liability</w:t>
            </w:r>
          </w:p>
        </w:tc>
        <w:tc>
          <w:tcPr>
            <w:tcW w:type="dxa" w:w="4649"/>
            <w:shd w:val="clear" w:color="auto" w:fill="F4F7F9"/>
          </w:tcPr>
          <w:p>
            <w:pPr>
              <w:spacing w:after="20" w:before="0"/>
            </w:pPr>
            <w:r/>
            <w:r>
              <w:rPr>
                <w:rFonts w:ascii="Lato" w:hAnsi="Lato" w:cs="Lato"/>
                <w:b w:val="0"/>
                <w:i w:val="0"/>
                <w:color w:val="2B2F33"/>
                <w:sz w:val="16"/>
              </w:rPr>
              <w:t>Worldwide-ex-US/Canada by default today; clean Schedule-selectable worldwide + USA/Canada option drafted.</w:t>
            </w:r>
          </w:p>
        </w:tc>
        <w:tc>
          <w:tcPr>
            <w:tcW w:type="dxa" w:w="1928"/>
            <w:shd w:val="clear" w:color="auto" w:fill="FBF1DA"/>
          </w:tcPr>
          <w:p>
            <w:pPr>
              <w:spacing w:after="20" w:before="0"/>
              <w:jc w:val="center"/>
            </w:pPr>
            <w:r/>
            <w:r>
              <w:rPr>
                <w:rFonts w:ascii="Lato" w:hAnsi="Lato" w:cs="Lato"/>
                <w:b/>
                <w:i w:val="0"/>
                <w:color w:val="8A6A1E"/>
                <w:sz w:val="16"/>
              </w:rPr>
              <w:t>Held — S12 sign-off</w:t>
            </w:r>
          </w:p>
        </w:tc>
        <w:tc>
          <w:tcPr>
            <w:tcW w:type="dxa" w:w="1134"/>
            <w:shd w:val="clear" w:color="auto" w:fill="F4F7F9"/>
          </w:tcPr>
          <w:p>
            <w:pPr>
              <w:spacing w:after="20" w:before="0"/>
              <w:jc w:val="center"/>
            </w:pPr>
            <w:r/>
            <w:r>
              <w:rPr>
                <w:rFonts w:ascii="Lato" w:hAnsi="Lato" w:cs="Lato"/>
                <w:b w:val="0"/>
                <w:i w:val="0"/>
                <w:color w:val="2B2F33"/>
                <w:sz w:val="16"/>
              </w:rPr>
              <w:t>Yes</w:t>
            </w:r>
          </w:p>
        </w:tc>
      </w:tr>
      <w:tr>
        <w:tc>
          <w:tcPr>
            <w:tcW w:type="dxa" w:w="2948"/>
          </w:tcPr>
          <w:p>
            <w:pPr>
              <w:spacing w:after="20" w:before="0"/>
            </w:pPr>
            <w:r/>
            <w:r>
              <w:rPr>
                <w:rFonts w:ascii="Lato" w:hAnsi="Lato" w:cs="Lato"/>
                <w:b/>
                <w:i w:val="0"/>
                <w:color w:val="00648B"/>
                <w:sz w:val="16"/>
              </w:rPr>
              <w:t>Section 12 enhancements (7)</w:t>
            </w:r>
          </w:p>
        </w:tc>
        <w:tc>
          <w:tcPr>
            <w:tcW w:type="dxa" w:w="4649"/>
          </w:tcPr>
          <w:p>
            <w:pPr>
              <w:spacing w:after="20" w:before="0"/>
            </w:pPr>
            <w:r/>
            <w:r>
              <w:rPr>
                <w:rFonts w:ascii="Lato" w:hAnsi="Lato" w:cs="Lato"/>
                <w:b w:val="0"/>
                <w:i w:val="0"/>
                <w:color w:val="2B2F33"/>
                <w:sz w:val="16"/>
              </w:rPr>
              <w:t>Distributors &amp; purchasers, criminal/regulatory defence, source-protection, representation costs, asbestos/pollution write-back, KC clause, Media Material definition.</w:t>
            </w:r>
          </w:p>
        </w:tc>
        <w:tc>
          <w:tcPr>
            <w:tcW w:type="dxa" w:w="1928"/>
            <w:shd w:val="clear" w:color="auto" w:fill="FBF1DA"/>
          </w:tcPr>
          <w:p>
            <w:pPr>
              <w:spacing w:after="20" w:before="0"/>
              <w:jc w:val="center"/>
            </w:pPr>
            <w:r/>
            <w:r>
              <w:rPr>
                <w:rFonts w:ascii="Lato" w:hAnsi="Lato" w:cs="Lato"/>
                <w:b/>
                <w:i w:val="0"/>
                <w:color w:val="8A6A1E"/>
                <w:sz w:val="16"/>
              </w:rPr>
              <w:t>Held — S12 sign-off</w:t>
            </w:r>
          </w:p>
        </w:tc>
        <w:tc>
          <w:tcPr>
            <w:tcW w:type="dxa" w:w="1134"/>
          </w:tcPr>
          <w:p>
            <w:pPr>
              <w:spacing w:after="20" w:before="0"/>
              <w:jc w:val="center"/>
            </w:pPr>
            <w:r/>
            <w:r>
              <w:rPr>
                <w:rFonts w:ascii="Lato" w:hAnsi="Lato" w:cs="Lato"/>
                <w:b w:val="0"/>
                <w:i w:val="0"/>
                <w:color w:val="2B2F33"/>
                <w:sz w:val="16"/>
              </w:rPr>
              <w:t>Yes</w:t>
            </w:r>
          </w:p>
        </w:tc>
      </w:tr>
    </w:tbl>
    <w:tbl>
      <w:tblPr>
        <w:tblW w:type="pct" w:w="5000"/>
        <w:tblLayout w:type="fixed"/>
        <w:tblLook w:firstColumn="1" w:firstRow="1" w:lastColumn="0" w:lastRow="0" w:noHBand="0" w:noVBand="1" w:val="04A0"/>
      </w:tblPr>
      <w:tblGrid>
        <w:gridCol w:w="9978"/>
      </w:tblGrid>
      <w:tr>
        <w:tc>
          <w:tcPr>
            <w:tcW w:type="dxa" w:w="9978"/>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How to read the cards:  </w:t>
            </w:r>
            <w:r>
              <w:rPr>
                <w:rFonts w:ascii="Lato" w:hAnsi="Lato" w:cs="Lato"/>
                <w:b w:val="0"/>
                <w:i w:val="0"/>
                <w:color w:val="2B2F33"/>
                <w:sz w:val="19"/>
              </w:rPr>
              <w:t>Each recommendation card below now carries the exact policy location, copy-paste-ready wording, priority, underwriting impact, legal sign-off (Yes/No) and whether it is implemented now or parked — so the wording can be updated easily later.</w:t>
            </w:r>
          </w:p>
        </w:tc>
      </w:tr>
    </w:tbl>
    <w:p>
      <w:pPr>
        <w:spacing w:after="80"/>
      </w:pPr>
    </w:p>
    <w:p>
      <w:r>
        <w:br w:type="page"/>
      </w:r>
    </w:p>
    <w:p>
      <w:pPr>
        <w:keepNext/>
        <w:spacing w:before="280" w:after="40"/>
        <w:pBdr>
          <w:bottom w:val="single" w:sz="8" w:space="2" w:color="B88A3C"/>
        </w:pBdr>
      </w:pPr>
      <w:r>
        <w:rPr>
          <w:rFonts w:ascii="Lato" w:hAnsi="Lato" w:cs="Lato"/>
          <w:b/>
          <w:i w:val="0"/>
          <w:color w:val="B88A3C"/>
          <w:sz w:val="30"/>
        </w:rPr>
        <w:t xml:space="preserve">2  </w:t>
      </w:r>
      <w:r>
        <w:rPr>
          <w:rFonts w:ascii="Lato" w:hAnsi="Lato" w:cs="Lato"/>
          <w:b/>
          <w:i w:val="0"/>
          <w:color w:val="00648B"/>
          <w:sz w:val="30"/>
        </w:rPr>
        <w:t>Strategic objective</w:t>
      </w:r>
    </w:p>
    <w:p>
      <w:pPr>
        <w:spacing w:after="80" w:before="0"/>
      </w:pPr>
      <w:r>
        <w:rPr>
          <w:rFonts w:ascii="Lato" w:hAnsi="Lato" w:cs="Lato"/>
          <w:b w:val="0"/>
          <w:i w:val="0"/>
          <w:color w:val="2B2F33"/>
          <w:sz w:val="19"/>
        </w:rPr>
        <w:t>To evolve the TMHCC base wording from ‘already the broadest’ to ‘demonstrably market-leading on every row’ — by:</w:t>
      </w:r>
    </w:p>
    <w:p>
      <w:pPr>
        <w:pStyle w:val="ListBullet"/>
        <w:spacing w:after="40"/>
        <w:ind w:left="340"/>
      </w:pPr>
      <w:r>
        <w:rPr>
          <w:rFonts w:ascii="Lato" w:hAnsi="Lato" w:cs="Lato"/>
          <w:b w:val="0"/>
          <w:i w:val="0"/>
          <w:color w:val="2B2F33"/>
          <w:sz w:val="19"/>
        </w:rPr>
        <w:t>filling the few genuine coverage gaps a competitor exposes;</w:t>
      </w:r>
    </w:p>
    <w:p>
      <w:pPr>
        <w:pStyle w:val="ListBullet"/>
        <w:spacing w:after="40"/>
        <w:ind w:left="340"/>
      </w:pPr>
      <w:r>
        <w:rPr>
          <w:rFonts w:ascii="Lato" w:hAnsi="Lato" w:cs="Lato"/>
          <w:b w:val="0"/>
          <w:i w:val="0"/>
          <w:color w:val="2B2F33"/>
          <w:sz w:val="19"/>
        </w:rPr>
        <w:t>adding targeted exclusion write-backs where they are commercially useful and underwriting-acceptable;</w:t>
      </w:r>
    </w:p>
    <w:p>
      <w:pPr>
        <w:pStyle w:val="ListBullet"/>
        <w:spacing w:after="40"/>
        <w:ind w:left="340"/>
      </w:pPr>
      <w:r>
        <w:rPr>
          <w:rFonts w:ascii="Lato" w:hAnsi="Lato" w:cs="Lato"/>
          <w:b w:val="0"/>
          <w:i w:val="0"/>
          <w:color w:val="2B2F33"/>
          <w:sz w:val="19"/>
        </w:rPr>
        <w:t>sharpening definitions and conditions for clarity; and</w:t>
      </w:r>
    </w:p>
    <w:p>
      <w:pPr>
        <w:pStyle w:val="ListBullet"/>
        <w:spacing w:after="40"/>
        <w:ind w:left="340"/>
      </w:pPr>
      <w:r>
        <w:rPr>
          <w:rFonts w:ascii="Lato" w:hAnsi="Lato" w:cs="Lato"/>
          <w:b w:val="0"/>
          <w:i w:val="0"/>
          <w:color w:val="2B2F33"/>
          <w:sz w:val="19"/>
        </w:rPr>
        <w:t>doing all of the above without diluting TMHCC’s disciplined risk selection or its protective claims architecture.</w:t>
      </w:r>
    </w:p>
    <w:p>
      <w:pPr>
        <w:spacing w:after="80" w:before="80"/>
      </w:pPr>
      <w:r>
        <w:rPr>
          <w:rFonts w:ascii="Lato" w:hAnsi="Lato" w:cs="Lato"/>
          <w:b w:val="0"/>
          <w:i w:val="0"/>
          <w:color w:val="2B2F33"/>
          <w:sz w:val="19"/>
        </w:rPr>
        <w:t>Each recommendation below states the competitor evidence, the current TMHCC position, the proposed action and the underwriting/claims impact, with a priority rating.</w:t>
      </w:r>
    </w:p>
    <w:p>
      <w:r>
        <w:br w:type="page"/>
      </w:r>
    </w:p>
    <w:p>
      <w:pPr>
        <w:keepNext/>
        <w:spacing w:before="280" w:after="40"/>
        <w:pBdr>
          <w:bottom w:val="single" w:sz="8" w:space="2" w:color="B88A3C"/>
        </w:pBdr>
      </w:pPr>
      <w:r>
        <w:rPr>
          <w:rFonts w:ascii="Lato" w:hAnsi="Lato" w:cs="Lato"/>
          <w:b/>
          <w:i w:val="0"/>
          <w:color w:val="B88A3C"/>
          <w:sz w:val="30"/>
        </w:rPr>
        <w:t xml:space="preserve">3  </w:t>
      </w:r>
      <w:r>
        <w:rPr>
          <w:rFonts w:ascii="Lato" w:hAnsi="Lato" w:cs="Lato"/>
          <w:b/>
          <w:i w:val="0"/>
          <w:color w:val="00648B"/>
          <w:sz w:val="30"/>
        </w:rPr>
        <w:t>Priority gap-fill recommendations</w:t>
      </w:r>
    </w:p>
    <w:p>
      <w:pPr>
        <w:spacing w:after="80" w:before="0"/>
      </w:pPr>
      <w:r>
        <w:rPr>
          <w:rFonts w:ascii="Lato" w:hAnsi="Lato" w:cs="Lato"/>
          <w:b w:val="0"/>
          <w:i w:val="0"/>
          <w:color w:val="2B2F33"/>
          <w:sz w:val="19"/>
        </w:rPr>
        <w:t>All recommendations at a glance, ordered by priority.</w:t>
      </w:r>
    </w:p>
    <w:tbl>
      <w:tblPr>
        <w:tblW w:type="dxa" w:w="10093"/>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454"/>
        <w:gridCol w:w="3912"/>
        <w:gridCol w:w="2381"/>
        <w:gridCol w:w="1871"/>
        <w:gridCol w:w="1474"/>
      </w:tblGrid>
      <w:tr>
        <w:tc>
          <w:tcPr>
            <w:tcW w:type="dxa" w:w="454"/>
            <w:shd w:val="clear" w:color="auto" w:fill="00648B"/>
          </w:tcPr>
          <w:p>
            <w:pPr>
              <w:spacing w:after="20" w:before="0"/>
              <w:jc w:val="center"/>
            </w:pPr>
            <w:r/>
            <w:r>
              <w:rPr>
                <w:rFonts w:ascii="Lato" w:hAnsi="Lato" w:cs="Lato"/>
                <w:b/>
                <w:i w:val="0"/>
                <w:color w:val="FFFFFF"/>
                <w:sz w:val="17"/>
              </w:rPr>
              <w:t>#</w:t>
            </w:r>
          </w:p>
        </w:tc>
        <w:tc>
          <w:tcPr>
            <w:tcW w:type="dxa" w:w="3912"/>
            <w:shd w:val="clear" w:color="auto" w:fill="00648B"/>
          </w:tcPr>
          <w:p>
            <w:pPr>
              <w:spacing w:after="20" w:before="0"/>
              <w:jc w:val="center"/>
            </w:pPr>
            <w:r/>
            <w:r>
              <w:rPr>
                <w:rFonts w:ascii="Lato" w:hAnsi="Lato" w:cs="Lato"/>
                <w:b/>
                <w:i w:val="0"/>
                <w:color w:val="FFFFFF"/>
                <w:sz w:val="17"/>
              </w:rPr>
              <w:t>Recommendation</w:t>
            </w:r>
          </w:p>
        </w:tc>
        <w:tc>
          <w:tcPr>
            <w:tcW w:type="dxa" w:w="2381"/>
            <w:shd w:val="clear" w:color="auto" w:fill="00648B"/>
          </w:tcPr>
          <w:p>
            <w:pPr>
              <w:spacing w:after="20" w:before="0"/>
              <w:jc w:val="center"/>
            </w:pPr>
            <w:r/>
            <w:r>
              <w:rPr>
                <w:rFonts w:ascii="Lato" w:hAnsi="Lato" w:cs="Lato"/>
                <w:b/>
                <w:i w:val="0"/>
                <w:color w:val="FFFFFF"/>
                <w:sz w:val="17"/>
              </w:rPr>
              <w:t>Evidence (competitor)</w:t>
            </w:r>
          </w:p>
        </w:tc>
        <w:tc>
          <w:tcPr>
            <w:tcW w:type="dxa" w:w="1871"/>
            <w:shd w:val="clear" w:color="auto" w:fill="00648B"/>
          </w:tcPr>
          <w:p>
            <w:pPr>
              <w:spacing w:after="20" w:before="0"/>
              <w:jc w:val="center"/>
            </w:pPr>
            <w:r/>
            <w:r>
              <w:rPr>
                <w:rFonts w:ascii="Lato" w:hAnsi="Lato" w:cs="Lato"/>
                <w:b/>
                <w:i w:val="0"/>
                <w:color w:val="FFFFFF"/>
                <w:sz w:val="17"/>
              </w:rPr>
              <w:t>Action type</w:t>
            </w:r>
          </w:p>
        </w:tc>
        <w:tc>
          <w:tcPr>
            <w:tcW w:type="dxa" w:w="1474"/>
            <w:shd w:val="clear" w:color="auto" w:fill="00648B"/>
          </w:tcPr>
          <w:p>
            <w:pPr>
              <w:spacing w:after="20" w:before="0"/>
              <w:jc w:val="center"/>
            </w:pPr>
            <w:r/>
            <w:r>
              <w:rPr>
                <w:rFonts w:ascii="Lato" w:hAnsi="Lato" w:cs="Lato"/>
                <w:b/>
                <w:i w:val="0"/>
                <w:color w:val="FFFFFF"/>
                <w:sz w:val="17"/>
              </w:rPr>
              <w:t>Priority</w:t>
            </w:r>
          </w:p>
        </w:tc>
      </w:tr>
      <w:tr>
        <w:tc>
          <w:tcPr>
            <w:tcW w:type="dxa" w:w="454"/>
          </w:tcPr>
          <w:p>
            <w:pPr>
              <w:spacing w:after="20" w:before="0"/>
              <w:jc w:val="center"/>
            </w:pPr>
            <w:r/>
            <w:r>
              <w:rPr>
                <w:rFonts w:ascii="Lato" w:hAnsi="Lato" w:cs="Lato"/>
                <w:b/>
                <w:i w:val="0"/>
                <w:color w:val="00648B"/>
                <w:sz w:val="17"/>
              </w:rPr>
              <w:t>1</w:t>
            </w:r>
          </w:p>
        </w:tc>
        <w:tc>
          <w:tcPr>
            <w:tcW w:type="dxa" w:w="3912"/>
          </w:tcPr>
          <w:p>
            <w:pPr>
              <w:spacing w:after="20" w:before="0"/>
            </w:pPr>
            <w:r/>
            <w:r>
              <w:rPr>
                <w:rFonts w:ascii="Lato" w:hAnsi="Lato" w:cs="Lato"/>
                <w:b/>
                <w:i w:val="0"/>
                <w:color w:val="2B2F33"/>
                <w:sz w:val="16"/>
              </w:rPr>
              <w:t>Add a Personal Accident &amp; Business Travel extension/section</w:t>
            </w:r>
          </w:p>
        </w:tc>
        <w:tc>
          <w:tcPr>
            <w:tcW w:type="dxa" w:w="2381"/>
          </w:tcPr>
          <w:p>
            <w:pPr>
              <w:spacing w:after="20" w:before="0"/>
            </w:pPr>
            <w:r/>
            <w:r>
              <w:rPr>
                <w:rFonts w:ascii="Lato" w:hAnsi="Lato" w:cs="Lato"/>
                <w:b w:val="0"/>
                <w:i w:val="0"/>
                <w:color w:val="2B2F33"/>
                <w:sz w:val="16"/>
              </w:rPr>
              <w:t>Tysers (extensive); Yutree (PA assault)</w:t>
            </w:r>
          </w:p>
        </w:tc>
        <w:tc>
          <w:tcPr>
            <w:tcW w:type="dxa" w:w="1871"/>
          </w:tcPr>
          <w:p>
            <w:pPr>
              <w:spacing w:after="20" w:before="0"/>
            </w:pPr>
            <w:r/>
            <w:r>
              <w:rPr>
                <w:rFonts w:ascii="Lato" w:hAnsi="Lato" w:cs="Lato"/>
                <w:b w:val="0"/>
                <w:i w:val="0"/>
                <w:color w:val="2B2F33"/>
                <w:sz w:val="16"/>
              </w:rPr>
              <w:t>Add section/extension</w:t>
            </w:r>
          </w:p>
        </w:tc>
        <w:tc>
          <w:tcPr>
            <w:tcW w:type="dxa" w:w="1474"/>
            <w:shd w:val="clear" w:color="auto" w:fill="FBE6EA"/>
          </w:tcPr>
          <w:p>
            <w:pPr>
              <w:spacing w:after="20" w:before="0"/>
              <w:jc w:val="center"/>
            </w:pPr>
            <w:r/>
            <w:r>
              <w:rPr>
                <w:rFonts w:ascii="Lato" w:hAnsi="Lato" w:cs="Lato"/>
                <w:b/>
                <w:i w:val="0"/>
                <w:color w:val="A4233B"/>
                <w:sz w:val="16"/>
              </w:rPr>
              <w:t>High</w:t>
            </w:r>
          </w:p>
        </w:tc>
      </w:tr>
      <w:tr>
        <w:tc>
          <w:tcPr>
            <w:tcW w:type="dxa" w:w="454"/>
            <w:shd w:val="clear" w:color="auto" w:fill="F4F7F9"/>
          </w:tcPr>
          <w:p>
            <w:pPr>
              <w:spacing w:after="20" w:before="0"/>
              <w:jc w:val="center"/>
            </w:pPr>
            <w:r/>
            <w:r>
              <w:rPr>
                <w:rFonts w:ascii="Lato" w:hAnsi="Lato" w:cs="Lato"/>
                <w:b/>
                <w:i w:val="0"/>
                <w:color w:val="00648B"/>
                <w:sz w:val="17"/>
              </w:rPr>
              <w:t>2</w:t>
            </w:r>
          </w:p>
        </w:tc>
        <w:tc>
          <w:tcPr>
            <w:tcW w:type="dxa" w:w="3912"/>
            <w:shd w:val="clear" w:color="auto" w:fill="F4F7F9"/>
          </w:tcPr>
          <w:p>
            <w:pPr>
              <w:spacing w:after="20" w:before="0"/>
            </w:pPr>
            <w:r/>
            <w:r>
              <w:rPr>
                <w:rFonts w:ascii="Lato" w:hAnsi="Lato" w:cs="Lato"/>
                <w:b/>
                <w:i w:val="0"/>
                <w:color w:val="2B2F33"/>
                <w:sz w:val="16"/>
              </w:rPr>
              <w:t>Offer a worldwide / US-Canada territory option for Media Liability</w:t>
            </w:r>
          </w:p>
        </w:tc>
        <w:tc>
          <w:tcPr>
            <w:tcW w:type="dxa" w:w="2381"/>
            <w:shd w:val="clear" w:color="auto" w:fill="F4F7F9"/>
          </w:tcPr>
          <w:p>
            <w:pPr>
              <w:spacing w:after="20" w:before="0"/>
            </w:pPr>
            <w:r/>
            <w:r>
              <w:rPr>
                <w:rFonts w:ascii="Lato" w:hAnsi="Lato" w:cs="Lato"/>
                <w:b w:val="0"/>
                <w:i w:val="0"/>
                <w:color w:val="2B2F33"/>
                <w:sz w:val="16"/>
              </w:rPr>
              <w:t>Tysers (PI worldwide)</w:t>
            </w:r>
          </w:p>
        </w:tc>
        <w:tc>
          <w:tcPr>
            <w:tcW w:type="dxa" w:w="1871"/>
            <w:shd w:val="clear" w:color="auto" w:fill="F4F7F9"/>
          </w:tcPr>
          <w:p>
            <w:pPr>
              <w:spacing w:after="20" w:before="0"/>
            </w:pPr>
            <w:r/>
            <w:r>
              <w:rPr>
                <w:rFonts w:ascii="Lato" w:hAnsi="Lato" w:cs="Lato"/>
                <w:b w:val="0"/>
                <w:i w:val="0"/>
                <w:color w:val="2B2F33"/>
                <w:sz w:val="16"/>
              </w:rPr>
              <w:t>Add rated option</w:t>
            </w:r>
          </w:p>
        </w:tc>
        <w:tc>
          <w:tcPr>
            <w:tcW w:type="dxa" w:w="1474"/>
            <w:shd w:val="clear" w:color="auto" w:fill="FBE6EA"/>
          </w:tcPr>
          <w:p>
            <w:pPr>
              <w:spacing w:after="20" w:before="0"/>
              <w:jc w:val="center"/>
            </w:pPr>
            <w:r/>
            <w:r>
              <w:rPr>
                <w:rFonts w:ascii="Lato" w:hAnsi="Lato" w:cs="Lato"/>
                <w:b/>
                <w:i w:val="0"/>
                <w:color w:val="A4233B"/>
                <w:sz w:val="16"/>
              </w:rPr>
              <w:t>High</w:t>
            </w:r>
          </w:p>
        </w:tc>
      </w:tr>
      <w:tr>
        <w:tc>
          <w:tcPr>
            <w:tcW w:type="dxa" w:w="454"/>
          </w:tcPr>
          <w:p>
            <w:pPr>
              <w:spacing w:after="20" w:before="0"/>
              <w:jc w:val="center"/>
            </w:pPr>
            <w:r/>
            <w:r>
              <w:rPr>
                <w:rFonts w:ascii="Lato" w:hAnsi="Lato" w:cs="Lato"/>
                <w:b/>
                <w:i w:val="0"/>
                <w:color w:val="00648B"/>
                <w:sz w:val="17"/>
              </w:rPr>
              <w:t>3</w:t>
            </w:r>
          </w:p>
        </w:tc>
        <w:tc>
          <w:tcPr>
            <w:tcW w:type="dxa" w:w="3912"/>
          </w:tcPr>
          <w:p>
            <w:pPr>
              <w:spacing w:after="20" w:before="0"/>
            </w:pPr>
            <w:r/>
            <w:r>
              <w:rPr>
                <w:rFonts w:ascii="Lato" w:hAnsi="Lato" w:cs="Lato"/>
                <w:b/>
                <w:i w:val="0"/>
                <w:color w:val="2B2F33"/>
                <w:sz w:val="16"/>
              </w:rPr>
              <w:t>Broaden criminal / regulatory defence-costs in Media Liability (or signpost S13/S14)</w:t>
            </w:r>
          </w:p>
        </w:tc>
        <w:tc>
          <w:tcPr>
            <w:tcW w:type="dxa" w:w="2381"/>
          </w:tcPr>
          <w:p>
            <w:pPr>
              <w:spacing w:after="20" w:before="0"/>
            </w:pPr>
            <w:r/>
            <w:r>
              <w:rPr>
                <w:rFonts w:ascii="Lato" w:hAnsi="Lato" w:cs="Lato"/>
                <w:b w:val="0"/>
                <w:i w:val="0"/>
                <w:color w:val="2B2F33"/>
                <w:sz w:val="16"/>
              </w:rPr>
              <w:t>Tysers (statutory defence GBP 1m); Yutree (criminal prosecution defence GBP 250k)</w:t>
            </w:r>
          </w:p>
        </w:tc>
        <w:tc>
          <w:tcPr>
            <w:tcW w:type="dxa" w:w="1871"/>
          </w:tcPr>
          <w:p>
            <w:pPr>
              <w:spacing w:after="20" w:before="0"/>
            </w:pPr>
            <w:r/>
            <w:r>
              <w:rPr>
                <w:rFonts w:ascii="Lato" w:hAnsi="Lato" w:cs="Lato"/>
                <w:b w:val="0"/>
                <w:i w:val="0"/>
                <w:color w:val="2B2F33"/>
                <w:sz w:val="16"/>
              </w:rPr>
              <w:t>Clarify / cross-ref</w:t>
            </w:r>
          </w:p>
        </w:tc>
        <w:tc>
          <w:tcPr>
            <w:tcW w:type="dxa" w:w="1474"/>
            <w:shd w:val="clear" w:color="auto" w:fill="FBE6EA"/>
          </w:tcPr>
          <w:p>
            <w:pPr>
              <w:spacing w:after="20" w:before="0"/>
              <w:jc w:val="center"/>
            </w:pPr>
            <w:r/>
            <w:r>
              <w:rPr>
                <w:rFonts w:ascii="Lato" w:hAnsi="Lato" w:cs="Lato"/>
                <w:b/>
                <w:i w:val="0"/>
                <w:color w:val="A4233B"/>
                <w:sz w:val="16"/>
              </w:rPr>
              <w:t>Medium-High</w:t>
            </w:r>
          </w:p>
        </w:tc>
      </w:tr>
      <w:tr>
        <w:tc>
          <w:tcPr>
            <w:tcW w:type="dxa" w:w="454"/>
            <w:shd w:val="clear" w:color="auto" w:fill="F4F7F9"/>
          </w:tcPr>
          <w:p>
            <w:pPr>
              <w:spacing w:after="20" w:before="0"/>
              <w:jc w:val="center"/>
            </w:pPr>
            <w:r/>
            <w:r>
              <w:rPr>
                <w:rFonts w:ascii="Lato" w:hAnsi="Lato" w:cs="Lato"/>
                <w:b/>
                <w:i w:val="0"/>
                <w:color w:val="00648B"/>
                <w:sz w:val="17"/>
              </w:rPr>
              <w:t>4</w:t>
            </w:r>
          </w:p>
        </w:tc>
        <w:tc>
          <w:tcPr>
            <w:tcW w:type="dxa" w:w="3912"/>
            <w:shd w:val="clear" w:color="auto" w:fill="F4F7F9"/>
          </w:tcPr>
          <w:p>
            <w:pPr>
              <w:spacing w:after="20" w:before="0"/>
            </w:pPr>
            <w:r/>
            <w:r>
              <w:rPr>
                <w:rFonts w:ascii="Lato" w:hAnsi="Lato" w:cs="Lato"/>
                <w:b/>
                <w:i w:val="0"/>
                <w:color w:val="2B2F33"/>
                <w:sz w:val="16"/>
              </w:rPr>
              <w:t>Add a Distributors &amp; Purchasers extension to Media Liability</w:t>
            </w:r>
          </w:p>
        </w:tc>
        <w:tc>
          <w:tcPr>
            <w:tcW w:type="dxa" w:w="2381"/>
            <w:shd w:val="clear" w:color="auto" w:fill="F4F7F9"/>
          </w:tcPr>
          <w:p>
            <w:pPr>
              <w:spacing w:after="20" w:before="0"/>
            </w:pPr>
            <w:r/>
            <w:r>
              <w:rPr>
                <w:rFonts w:ascii="Lato" w:hAnsi="Lato" w:cs="Lato"/>
                <w:b w:val="0"/>
                <w:i w:val="0"/>
                <w:color w:val="2B2F33"/>
                <w:sz w:val="16"/>
              </w:rPr>
              <w:t>Tysers (clause 8.7, up to 5x limit)</w:t>
            </w:r>
          </w:p>
        </w:tc>
        <w:tc>
          <w:tcPr>
            <w:tcW w:type="dxa" w:w="1871"/>
            <w:shd w:val="clear" w:color="auto" w:fill="F4F7F9"/>
          </w:tcPr>
          <w:p>
            <w:pPr>
              <w:spacing w:after="20" w:before="0"/>
            </w:pPr>
            <w:r/>
            <w:r>
              <w:rPr>
                <w:rFonts w:ascii="Lato" w:hAnsi="Lato" w:cs="Lato"/>
                <w:b w:val="0"/>
                <w:i w:val="0"/>
                <w:color w:val="2B2F33"/>
                <w:sz w:val="16"/>
              </w:rPr>
              <w:t>Add extension</w:t>
            </w:r>
          </w:p>
        </w:tc>
        <w:tc>
          <w:tcPr>
            <w:tcW w:type="dxa" w:w="1474"/>
            <w:shd w:val="clear" w:color="auto" w:fill="FBF1DA"/>
          </w:tcPr>
          <w:p>
            <w:pPr>
              <w:spacing w:after="20" w:before="0"/>
              <w:jc w:val="center"/>
            </w:pPr>
            <w:r/>
            <w:r>
              <w:rPr>
                <w:rFonts w:ascii="Lato" w:hAnsi="Lato" w:cs="Lato"/>
                <w:b/>
                <w:i w:val="0"/>
                <w:color w:val="8A6A1E"/>
                <w:sz w:val="16"/>
              </w:rPr>
              <w:t>Medium</w:t>
            </w:r>
          </w:p>
        </w:tc>
      </w:tr>
      <w:tr>
        <w:tc>
          <w:tcPr>
            <w:tcW w:type="dxa" w:w="454"/>
          </w:tcPr>
          <w:p>
            <w:pPr>
              <w:spacing w:after="20" w:before="0"/>
              <w:jc w:val="center"/>
            </w:pPr>
            <w:r/>
            <w:r>
              <w:rPr>
                <w:rFonts w:ascii="Lato" w:hAnsi="Lato" w:cs="Lato"/>
                <w:b/>
                <w:i w:val="0"/>
                <w:color w:val="00648B"/>
                <w:sz w:val="17"/>
              </w:rPr>
              <w:t>5</w:t>
            </w:r>
          </w:p>
        </w:tc>
        <w:tc>
          <w:tcPr>
            <w:tcW w:type="dxa" w:w="3912"/>
          </w:tcPr>
          <w:p>
            <w:pPr>
              <w:spacing w:after="20" w:before="0"/>
            </w:pPr>
            <w:r/>
            <w:r>
              <w:rPr>
                <w:rFonts w:ascii="Lato" w:hAnsi="Lato" w:cs="Lato"/>
                <w:b/>
                <w:i w:val="0"/>
                <w:color w:val="2B2F33"/>
                <w:sz w:val="16"/>
              </w:rPr>
              <w:t>Add journalistic source-protection costs to Media Liability</w:t>
            </w:r>
          </w:p>
        </w:tc>
        <w:tc>
          <w:tcPr>
            <w:tcW w:type="dxa" w:w="2381"/>
          </w:tcPr>
          <w:p>
            <w:pPr>
              <w:spacing w:after="20" w:before="0"/>
            </w:pPr>
            <w:r/>
            <w:r>
              <w:rPr>
                <w:rFonts w:ascii="Lato" w:hAnsi="Lato" w:cs="Lato"/>
                <w:b w:val="0"/>
                <w:i w:val="0"/>
                <w:color w:val="2B2F33"/>
                <w:sz w:val="16"/>
              </w:rPr>
              <w:t>Tysers (clause 8.13)</w:t>
            </w:r>
          </w:p>
        </w:tc>
        <w:tc>
          <w:tcPr>
            <w:tcW w:type="dxa" w:w="1871"/>
          </w:tcPr>
          <w:p>
            <w:pPr>
              <w:spacing w:after="20" w:before="0"/>
            </w:pPr>
            <w:r/>
            <w:r>
              <w:rPr>
                <w:rFonts w:ascii="Lato" w:hAnsi="Lato" w:cs="Lato"/>
                <w:b w:val="0"/>
                <w:i w:val="0"/>
                <w:color w:val="2B2F33"/>
                <w:sz w:val="16"/>
              </w:rPr>
              <w:t>Add extension</w:t>
            </w:r>
          </w:p>
        </w:tc>
        <w:tc>
          <w:tcPr>
            <w:tcW w:type="dxa" w:w="1474"/>
            <w:shd w:val="clear" w:color="auto" w:fill="FBF1DA"/>
          </w:tcPr>
          <w:p>
            <w:pPr>
              <w:spacing w:after="20" w:before="0"/>
              <w:jc w:val="center"/>
            </w:pPr>
            <w:r/>
            <w:r>
              <w:rPr>
                <w:rFonts w:ascii="Lato" w:hAnsi="Lato" w:cs="Lato"/>
                <w:b/>
                <w:i w:val="0"/>
                <w:color w:val="8A6A1E"/>
                <w:sz w:val="16"/>
              </w:rPr>
              <w:t>Medium</w:t>
            </w:r>
          </w:p>
        </w:tc>
      </w:tr>
      <w:tr>
        <w:tc>
          <w:tcPr>
            <w:tcW w:type="dxa" w:w="454"/>
            <w:shd w:val="clear" w:color="auto" w:fill="F4F7F9"/>
          </w:tcPr>
          <w:p>
            <w:pPr>
              <w:spacing w:after="20" w:before="0"/>
              <w:jc w:val="center"/>
            </w:pPr>
            <w:r/>
            <w:r>
              <w:rPr>
                <w:rFonts w:ascii="Lato" w:hAnsi="Lato" w:cs="Lato"/>
                <w:b/>
                <w:i w:val="0"/>
                <w:color w:val="00648B"/>
                <w:sz w:val="17"/>
              </w:rPr>
              <w:t>6</w:t>
            </w:r>
          </w:p>
        </w:tc>
        <w:tc>
          <w:tcPr>
            <w:tcW w:type="dxa" w:w="3912"/>
            <w:shd w:val="clear" w:color="auto" w:fill="F4F7F9"/>
          </w:tcPr>
          <w:p>
            <w:pPr>
              <w:spacing w:after="20" w:before="0"/>
            </w:pPr>
            <w:r/>
            <w:r>
              <w:rPr>
                <w:rFonts w:ascii="Lato" w:hAnsi="Lato" w:cs="Lato"/>
                <w:b/>
                <w:i w:val="0"/>
                <w:color w:val="2B2F33"/>
                <w:sz w:val="16"/>
              </w:rPr>
              <w:t>Add representation costs at investigations/inquiries to Media Liability</w:t>
            </w:r>
          </w:p>
        </w:tc>
        <w:tc>
          <w:tcPr>
            <w:tcW w:type="dxa" w:w="2381"/>
            <w:shd w:val="clear" w:color="auto" w:fill="F4F7F9"/>
          </w:tcPr>
          <w:p>
            <w:pPr>
              <w:spacing w:after="20" w:before="0"/>
            </w:pPr>
            <w:r/>
            <w:r>
              <w:rPr>
                <w:rFonts w:ascii="Lato" w:hAnsi="Lato" w:cs="Lato"/>
                <w:b w:val="0"/>
                <w:i w:val="0"/>
                <w:color w:val="2B2F33"/>
                <w:sz w:val="16"/>
              </w:rPr>
              <w:t>Tysers (clause 8.15, GBP 25k)</w:t>
            </w:r>
          </w:p>
        </w:tc>
        <w:tc>
          <w:tcPr>
            <w:tcW w:type="dxa" w:w="1871"/>
            <w:shd w:val="clear" w:color="auto" w:fill="F4F7F9"/>
          </w:tcPr>
          <w:p>
            <w:pPr>
              <w:spacing w:after="20" w:before="0"/>
            </w:pPr>
            <w:r/>
            <w:r>
              <w:rPr>
                <w:rFonts w:ascii="Lato" w:hAnsi="Lato" w:cs="Lato"/>
                <w:b w:val="0"/>
                <w:i w:val="0"/>
                <w:color w:val="2B2F33"/>
                <w:sz w:val="16"/>
              </w:rPr>
              <w:t>Add extension</w:t>
            </w:r>
          </w:p>
        </w:tc>
        <w:tc>
          <w:tcPr>
            <w:tcW w:type="dxa" w:w="1474"/>
            <w:shd w:val="clear" w:color="auto" w:fill="FBF1DA"/>
          </w:tcPr>
          <w:p>
            <w:pPr>
              <w:spacing w:after="20" w:before="0"/>
              <w:jc w:val="center"/>
            </w:pPr>
            <w:r/>
            <w:r>
              <w:rPr>
                <w:rFonts w:ascii="Lato" w:hAnsi="Lato" w:cs="Lato"/>
                <w:b/>
                <w:i w:val="0"/>
                <w:color w:val="8A6A1E"/>
                <w:sz w:val="16"/>
              </w:rPr>
              <w:t>Medium</w:t>
            </w:r>
          </w:p>
        </w:tc>
      </w:tr>
      <w:tr>
        <w:tc>
          <w:tcPr>
            <w:tcW w:type="dxa" w:w="454"/>
          </w:tcPr>
          <w:p>
            <w:pPr>
              <w:spacing w:after="20" w:before="0"/>
              <w:jc w:val="center"/>
            </w:pPr>
            <w:r/>
            <w:r>
              <w:rPr>
                <w:rFonts w:ascii="Lato" w:hAnsi="Lato" w:cs="Lato"/>
                <w:b/>
                <w:i w:val="0"/>
                <w:color w:val="00648B"/>
                <w:sz w:val="17"/>
              </w:rPr>
              <w:t>7</w:t>
            </w:r>
          </w:p>
        </w:tc>
        <w:tc>
          <w:tcPr>
            <w:tcW w:type="dxa" w:w="3912"/>
          </w:tcPr>
          <w:p>
            <w:pPr>
              <w:spacing w:after="20" w:before="0"/>
            </w:pPr>
            <w:r/>
            <w:r>
              <w:rPr>
                <w:rFonts w:ascii="Lato" w:hAnsi="Lato" w:cs="Lato"/>
                <w:b/>
                <w:i w:val="0"/>
                <w:color w:val="2B2F33"/>
                <w:sz w:val="16"/>
              </w:rPr>
              <w:t>Consider a limited asbestos / pollution professional-duty write-back in PI</w:t>
            </w:r>
          </w:p>
        </w:tc>
        <w:tc>
          <w:tcPr>
            <w:tcW w:type="dxa" w:w="2381"/>
          </w:tcPr>
          <w:p>
            <w:pPr>
              <w:spacing w:after="20" w:before="0"/>
            </w:pPr>
            <w:r/>
            <w:r>
              <w:rPr>
                <w:rFonts w:ascii="Lato" w:hAnsi="Lato" w:cs="Lato"/>
                <w:b w:val="0"/>
                <w:i w:val="0"/>
                <w:color w:val="2B2F33"/>
                <w:sz w:val="16"/>
              </w:rPr>
              <w:t>Tysers (asbestos professional-duty write-back, GBP 1m, ex-BI); Yutree (pollution write-back for own negligence)</w:t>
            </w:r>
          </w:p>
        </w:tc>
        <w:tc>
          <w:tcPr>
            <w:tcW w:type="dxa" w:w="1871"/>
          </w:tcPr>
          <w:p>
            <w:pPr>
              <w:spacing w:after="20" w:before="0"/>
            </w:pPr>
            <w:r/>
            <w:r>
              <w:rPr>
                <w:rFonts w:ascii="Lato" w:hAnsi="Lato" w:cs="Lato"/>
                <w:b w:val="0"/>
                <w:i w:val="0"/>
                <w:color w:val="2B2F33"/>
                <w:sz w:val="16"/>
              </w:rPr>
              <w:t>Add write-back</w:t>
            </w:r>
          </w:p>
        </w:tc>
        <w:tc>
          <w:tcPr>
            <w:tcW w:type="dxa" w:w="1474"/>
            <w:shd w:val="clear" w:color="auto" w:fill="FBF1DA"/>
          </w:tcPr>
          <w:p>
            <w:pPr>
              <w:spacing w:after="20" w:before="0"/>
              <w:jc w:val="center"/>
            </w:pPr>
            <w:r/>
            <w:r>
              <w:rPr>
                <w:rFonts w:ascii="Lato" w:hAnsi="Lato" w:cs="Lato"/>
                <w:b/>
                <w:i w:val="0"/>
                <w:color w:val="8A6A1E"/>
                <w:sz w:val="16"/>
              </w:rPr>
              <w:t>Medium</w:t>
            </w:r>
          </w:p>
        </w:tc>
      </w:tr>
      <w:tr>
        <w:tc>
          <w:tcPr>
            <w:tcW w:type="dxa" w:w="454"/>
            <w:shd w:val="clear" w:color="auto" w:fill="F4F7F9"/>
          </w:tcPr>
          <w:p>
            <w:pPr>
              <w:spacing w:after="20" w:before="0"/>
              <w:jc w:val="center"/>
            </w:pPr>
            <w:r/>
            <w:r>
              <w:rPr>
                <w:rFonts w:ascii="Lato" w:hAnsi="Lato" w:cs="Lato"/>
                <w:b/>
                <w:i w:val="0"/>
                <w:color w:val="00648B"/>
                <w:sz w:val="17"/>
              </w:rPr>
              <w:t>8</w:t>
            </w:r>
          </w:p>
        </w:tc>
        <w:tc>
          <w:tcPr>
            <w:tcW w:type="dxa" w:w="3912"/>
            <w:shd w:val="clear" w:color="auto" w:fill="F4F7F9"/>
          </w:tcPr>
          <w:p>
            <w:pPr>
              <w:spacing w:after="20" w:before="0"/>
            </w:pPr>
            <w:r/>
            <w:r>
              <w:rPr>
                <w:rFonts w:ascii="Lato" w:hAnsi="Lato" w:cs="Lato"/>
                <w:b/>
                <w:i w:val="0"/>
                <w:color w:val="2B2F33"/>
                <w:sz w:val="16"/>
              </w:rPr>
              <w:t>Make Increased Cost of Working / Book Debts explicit in BI</w:t>
            </w:r>
          </w:p>
        </w:tc>
        <w:tc>
          <w:tcPr>
            <w:tcW w:type="dxa" w:w="2381"/>
            <w:shd w:val="clear" w:color="auto" w:fill="F4F7F9"/>
          </w:tcPr>
          <w:p>
            <w:pPr>
              <w:spacing w:after="20" w:before="0"/>
            </w:pPr>
            <w:r/>
            <w:r>
              <w:rPr>
                <w:rFonts w:ascii="Lato" w:hAnsi="Lato" w:cs="Lato"/>
                <w:b w:val="0"/>
                <w:i w:val="0"/>
                <w:color w:val="2B2F33"/>
                <w:sz w:val="16"/>
              </w:rPr>
              <w:t>Allianz (ICOW; Book Debts)</w:t>
            </w:r>
          </w:p>
        </w:tc>
        <w:tc>
          <w:tcPr>
            <w:tcW w:type="dxa" w:w="1871"/>
            <w:shd w:val="clear" w:color="auto" w:fill="F4F7F9"/>
          </w:tcPr>
          <w:p>
            <w:pPr>
              <w:spacing w:after="20" w:before="0"/>
            </w:pPr>
            <w:r/>
            <w:r>
              <w:rPr>
                <w:rFonts w:ascii="Lato" w:hAnsi="Lato" w:cs="Lato"/>
                <w:b w:val="0"/>
                <w:i w:val="0"/>
                <w:color w:val="2B2F33"/>
                <w:sz w:val="16"/>
              </w:rPr>
              <w:t>Clarify wording</w:t>
            </w:r>
          </w:p>
        </w:tc>
        <w:tc>
          <w:tcPr>
            <w:tcW w:type="dxa" w:w="1474"/>
            <w:shd w:val="clear" w:color="auto" w:fill="FBF1DA"/>
          </w:tcPr>
          <w:p>
            <w:pPr>
              <w:spacing w:after="20" w:before="0"/>
              <w:jc w:val="center"/>
            </w:pPr>
            <w:r/>
            <w:r>
              <w:rPr>
                <w:rFonts w:ascii="Lato" w:hAnsi="Lato" w:cs="Lato"/>
                <w:b/>
                <w:i w:val="0"/>
                <w:color w:val="8A6A1E"/>
                <w:sz w:val="16"/>
              </w:rPr>
              <w:t>Medium</w:t>
            </w:r>
          </w:p>
        </w:tc>
      </w:tr>
      <w:tr>
        <w:tc>
          <w:tcPr>
            <w:tcW w:type="dxa" w:w="454"/>
          </w:tcPr>
          <w:p>
            <w:pPr>
              <w:spacing w:after="20" w:before="0"/>
              <w:jc w:val="center"/>
            </w:pPr>
            <w:r/>
            <w:r>
              <w:rPr>
                <w:rFonts w:ascii="Lato" w:hAnsi="Lato" w:cs="Lato"/>
                <w:b/>
                <w:i w:val="0"/>
                <w:color w:val="00648B"/>
                <w:sz w:val="17"/>
              </w:rPr>
              <w:t>9</w:t>
            </w:r>
          </w:p>
        </w:tc>
        <w:tc>
          <w:tcPr>
            <w:tcW w:type="dxa" w:w="3912"/>
          </w:tcPr>
          <w:p>
            <w:pPr>
              <w:spacing w:after="20" w:before="0"/>
            </w:pPr>
            <w:r/>
            <w:r>
              <w:rPr>
                <w:rFonts w:ascii="Lato" w:hAnsi="Lato" w:cs="Lato"/>
                <w:b/>
                <w:i w:val="0"/>
                <w:color w:val="2B2F33"/>
                <w:sz w:val="16"/>
              </w:rPr>
              <w:t>Adopt a King’s Counsel dispute-resolution clause in Media Liability</w:t>
            </w:r>
          </w:p>
        </w:tc>
        <w:tc>
          <w:tcPr>
            <w:tcW w:type="dxa" w:w="2381"/>
          </w:tcPr>
          <w:p>
            <w:pPr>
              <w:spacing w:after="20" w:before="0"/>
            </w:pPr>
            <w:r/>
            <w:r>
              <w:rPr>
                <w:rFonts w:ascii="Lato" w:hAnsi="Lato" w:cs="Lato"/>
                <w:b w:val="0"/>
                <w:i w:val="0"/>
                <w:color w:val="2B2F33"/>
                <w:sz w:val="16"/>
              </w:rPr>
              <w:t>Yutree (KC clause)</w:t>
            </w:r>
          </w:p>
        </w:tc>
        <w:tc>
          <w:tcPr>
            <w:tcW w:type="dxa" w:w="1871"/>
          </w:tcPr>
          <w:p>
            <w:pPr>
              <w:spacing w:after="20" w:before="0"/>
            </w:pPr>
            <w:r/>
            <w:r>
              <w:rPr>
                <w:rFonts w:ascii="Lato" w:hAnsi="Lato" w:cs="Lato"/>
                <w:b w:val="0"/>
                <w:i w:val="0"/>
                <w:color w:val="2B2F33"/>
                <w:sz w:val="16"/>
              </w:rPr>
              <w:t>Amend condition</w:t>
            </w:r>
          </w:p>
        </w:tc>
        <w:tc>
          <w:tcPr>
            <w:tcW w:type="dxa" w:w="1474"/>
            <w:shd w:val="clear" w:color="auto" w:fill="EEF1F3"/>
          </w:tcPr>
          <w:p>
            <w:pPr>
              <w:spacing w:after="20" w:before="0"/>
              <w:jc w:val="center"/>
            </w:pPr>
            <w:r/>
            <w:r>
              <w:rPr>
                <w:rFonts w:ascii="Lato" w:hAnsi="Lato" w:cs="Lato"/>
                <w:b/>
                <w:i w:val="0"/>
                <w:color w:val="5B6166"/>
                <w:sz w:val="16"/>
              </w:rPr>
              <w:t>Low-Medium</w:t>
            </w:r>
          </w:p>
        </w:tc>
      </w:tr>
      <w:tr>
        <w:tc>
          <w:tcPr>
            <w:tcW w:type="dxa" w:w="454"/>
            <w:shd w:val="clear" w:color="auto" w:fill="F4F7F9"/>
          </w:tcPr>
          <w:p>
            <w:pPr>
              <w:spacing w:after="20" w:before="0"/>
              <w:jc w:val="center"/>
            </w:pPr>
            <w:r/>
            <w:r>
              <w:rPr>
                <w:rFonts w:ascii="Lato" w:hAnsi="Lato" w:cs="Lato"/>
                <w:b/>
                <w:i w:val="0"/>
                <w:color w:val="00648B"/>
                <w:sz w:val="17"/>
              </w:rPr>
              <w:t>10</w:t>
            </w:r>
          </w:p>
        </w:tc>
        <w:tc>
          <w:tcPr>
            <w:tcW w:type="dxa" w:w="3912"/>
            <w:shd w:val="clear" w:color="auto" w:fill="F4F7F9"/>
          </w:tcPr>
          <w:p>
            <w:pPr>
              <w:spacing w:after="20" w:before="0"/>
            </w:pPr>
            <w:r/>
            <w:r>
              <w:rPr>
                <w:rFonts w:ascii="Lato" w:hAnsi="Lato" w:cs="Lato"/>
                <w:b/>
                <w:i w:val="0"/>
                <w:color w:val="2B2F33"/>
                <w:sz w:val="16"/>
              </w:rPr>
              <w:t>Confirm/clarify computer-breakdown cover within S1/S2</w:t>
            </w:r>
          </w:p>
        </w:tc>
        <w:tc>
          <w:tcPr>
            <w:tcW w:type="dxa" w:w="2381"/>
            <w:shd w:val="clear" w:color="auto" w:fill="F4F7F9"/>
          </w:tcPr>
          <w:p>
            <w:pPr>
              <w:spacing w:after="20" w:before="0"/>
            </w:pPr>
            <w:r/>
            <w:r>
              <w:rPr>
                <w:rFonts w:ascii="Lato" w:hAnsi="Lato" w:cs="Lato"/>
                <w:b w:val="0"/>
                <w:i w:val="0"/>
                <w:color w:val="2B2F33"/>
                <w:sz w:val="16"/>
              </w:rPr>
              <w:t>Yutree (standalone Computer Breakdown section)</w:t>
            </w:r>
          </w:p>
        </w:tc>
        <w:tc>
          <w:tcPr>
            <w:tcW w:type="dxa" w:w="1871"/>
            <w:shd w:val="clear" w:color="auto" w:fill="F4F7F9"/>
          </w:tcPr>
          <w:p>
            <w:pPr>
              <w:spacing w:after="20" w:before="0"/>
            </w:pPr>
            <w:r/>
            <w:r>
              <w:rPr>
                <w:rFonts w:ascii="Lato" w:hAnsi="Lato" w:cs="Lato"/>
                <w:b w:val="0"/>
                <w:i w:val="0"/>
                <w:color w:val="2B2F33"/>
                <w:sz w:val="16"/>
              </w:rPr>
              <w:t>Clarify wording</w:t>
            </w:r>
          </w:p>
        </w:tc>
        <w:tc>
          <w:tcPr>
            <w:tcW w:type="dxa" w:w="1474"/>
            <w:shd w:val="clear" w:color="auto" w:fill="EEF1F3"/>
          </w:tcPr>
          <w:p>
            <w:pPr>
              <w:spacing w:after="20" w:before="0"/>
              <w:jc w:val="center"/>
            </w:pPr>
            <w:r/>
            <w:r>
              <w:rPr>
                <w:rFonts w:ascii="Lato" w:hAnsi="Lato" w:cs="Lato"/>
                <w:b/>
                <w:i w:val="0"/>
                <w:color w:val="5B6166"/>
                <w:sz w:val="16"/>
              </w:rPr>
              <w:t>Low-Medium</w:t>
            </w:r>
          </w:p>
        </w:tc>
      </w:tr>
      <w:tr>
        <w:tc>
          <w:tcPr>
            <w:tcW w:type="dxa" w:w="454"/>
          </w:tcPr>
          <w:p>
            <w:pPr>
              <w:spacing w:after="20" w:before="0"/>
              <w:jc w:val="center"/>
            </w:pPr>
            <w:r/>
            <w:r>
              <w:rPr>
                <w:rFonts w:ascii="Lato" w:hAnsi="Lato" w:cs="Lato"/>
                <w:b/>
                <w:i w:val="0"/>
                <w:color w:val="00648B"/>
                <w:sz w:val="17"/>
              </w:rPr>
              <w:t>11</w:t>
            </w:r>
          </w:p>
        </w:tc>
        <w:tc>
          <w:tcPr>
            <w:tcW w:type="dxa" w:w="3912"/>
          </w:tcPr>
          <w:p>
            <w:pPr>
              <w:spacing w:after="20" w:before="0"/>
            </w:pPr>
            <w:r/>
            <w:r>
              <w:rPr>
                <w:rFonts w:ascii="Lato" w:hAnsi="Lato" w:cs="Lato"/>
                <w:b/>
                <w:i w:val="0"/>
                <w:color w:val="2B2F33"/>
                <w:sz w:val="16"/>
              </w:rPr>
              <w:t>Add a defined term for ‘Media Material’</w:t>
            </w:r>
          </w:p>
        </w:tc>
        <w:tc>
          <w:tcPr>
            <w:tcW w:type="dxa" w:w="2381"/>
          </w:tcPr>
          <w:p>
            <w:pPr>
              <w:spacing w:after="20" w:before="0"/>
            </w:pPr>
            <w:r/>
            <w:r>
              <w:rPr>
                <w:rFonts w:ascii="Lato" w:hAnsi="Lato" w:cs="Lato"/>
                <w:b w:val="0"/>
                <w:i w:val="0"/>
                <w:color w:val="2B2F33"/>
                <w:sz w:val="16"/>
              </w:rPr>
              <w:t>Tysers (defines Media Material)</w:t>
            </w:r>
          </w:p>
        </w:tc>
        <w:tc>
          <w:tcPr>
            <w:tcW w:type="dxa" w:w="1871"/>
          </w:tcPr>
          <w:p>
            <w:pPr>
              <w:spacing w:after="20" w:before="0"/>
            </w:pPr>
            <w:r/>
            <w:r>
              <w:rPr>
                <w:rFonts w:ascii="Lato" w:hAnsi="Lato" w:cs="Lato"/>
                <w:b w:val="0"/>
                <w:i w:val="0"/>
                <w:color w:val="2B2F33"/>
                <w:sz w:val="16"/>
              </w:rPr>
              <w:t>Amend definition</w:t>
            </w:r>
          </w:p>
        </w:tc>
        <w:tc>
          <w:tcPr>
            <w:tcW w:type="dxa" w:w="1474"/>
            <w:shd w:val="clear" w:color="auto" w:fill="EEF1F3"/>
          </w:tcPr>
          <w:p>
            <w:pPr>
              <w:spacing w:after="20" w:before="0"/>
              <w:jc w:val="center"/>
            </w:pPr>
            <w:r/>
            <w:r>
              <w:rPr>
                <w:rFonts w:ascii="Lato" w:hAnsi="Lato" w:cs="Lato"/>
                <w:b/>
                <w:i w:val="0"/>
                <w:color w:val="5B6166"/>
                <w:sz w:val="16"/>
              </w:rPr>
              <w:t>Low</w:t>
            </w:r>
          </w:p>
        </w:tc>
      </w:tr>
      <w:tr>
        <w:tc>
          <w:tcPr>
            <w:tcW w:type="dxa" w:w="454"/>
            <w:shd w:val="clear" w:color="auto" w:fill="F4F7F9"/>
          </w:tcPr>
          <w:p>
            <w:pPr>
              <w:spacing w:after="20" w:before="0"/>
              <w:jc w:val="center"/>
            </w:pPr>
            <w:r/>
            <w:r>
              <w:rPr>
                <w:rFonts w:ascii="Lato" w:hAnsi="Lato" w:cs="Lato"/>
                <w:b/>
                <w:i w:val="0"/>
                <w:color w:val="00648B"/>
                <w:sz w:val="17"/>
              </w:rPr>
              <w:t>12</w:t>
            </w:r>
          </w:p>
        </w:tc>
        <w:tc>
          <w:tcPr>
            <w:tcW w:type="dxa" w:w="3912"/>
            <w:shd w:val="clear" w:color="auto" w:fill="F4F7F9"/>
          </w:tcPr>
          <w:p>
            <w:pPr>
              <w:spacing w:after="20" w:before="0"/>
            </w:pPr>
            <w:r/>
            <w:r>
              <w:rPr>
                <w:rFonts w:ascii="Lato" w:hAnsi="Lato" w:cs="Lato"/>
                <w:b/>
                <w:i w:val="0"/>
                <w:color w:val="2B2F33"/>
                <w:sz w:val="16"/>
              </w:rPr>
              <w:t>LEAVE UNCHANGED — patents, communicable disease and default US/Canada exclusion</w:t>
            </w:r>
          </w:p>
        </w:tc>
        <w:tc>
          <w:tcPr>
            <w:tcW w:type="dxa" w:w="2381"/>
            <w:shd w:val="clear" w:color="auto" w:fill="F4F7F9"/>
          </w:tcPr>
          <w:p>
            <w:pPr>
              <w:spacing w:after="20" w:before="0"/>
            </w:pPr>
            <w:r/>
            <w:r>
              <w:rPr>
                <w:rFonts w:ascii="Lato" w:hAnsi="Lato" w:cs="Lato"/>
                <w:b w:val="0"/>
                <w:i w:val="0"/>
                <w:color w:val="2B2F33"/>
                <w:sz w:val="16"/>
              </w:rPr>
              <w:t>Tysers (patents, worldwide); AXA XL (supports restriction)</w:t>
            </w:r>
          </w:p>
        </w:tc>
        <w:tc>
          <w:tcPr>
            <w:tcW w:type="dxa" w:w="1871"/>
            <w:shd w:val="clear" w:color="auto" w:fill="F4F7F9"/>
          </w:tcPr>
          <w:p>
            <w:pPr>
              <w:spacing w:after="20" w:before="0"/>
            </w:pPr>
            <w:r/>
            <w:r>
              <w:rPr>
                <w:rFonts w:ascii="Lato" w:hAnsi="Lato" w:cs="Lato"/>
                <w:b w:val="0"/>
                <w:i w:val="0"/>
                <w:color w:val="2B2F33"/>
                <w:sz w:val="16"/>
              </w:rPr>
              <w:t>Leave unchanged</w:t>
            </w:r>
          </w:p>
        </w:tc>
        <w:tc>
          <w:tcPr>
            <w:tcW w:type="dxa" w:w="1474"/>
            <w:shd w:val="clear" w:color="auto" w:fill="EEF1F3"/>
          </w:tcPr>
          <w:p>
            <w:pPr>
              <w:spacing w:after="20" w:before="0"/>
              <w:jc w:val="center"/>
            </w:pPr>
            <w:r/>
            <w:r>
              <w:rPr>
                <w:rFonts w:ascii="Lato" w:hAnsi="Lato" w:cs="Lato"/>
                <w:b/>
                <w:i w:val="0"/>
                <w:color w:val="5B6166"/>
                <w:sz w:val="16"/>
              </w:rPr>
              <w:t>Low</w:t>
            </w:r>
          </w:p>
        </w:tc>
      </w:tr>
    </w:tbl>
    <w:p>
      <w:r>
        <w:br w:type="page"/>
      </w:r>
    </w:p>
    <w:p>
      <w:pPr>
        <w:keepNext/>
        <w:spacing w:before="280" w:after="40"/>
        <w:pBdr>
          <w:bottom w:val="single" w:sz="8" w:space="2" w:color="B88A3C"/>
        </w:pBdr>
      </w:pPr>
      <w:r>
        <w:rPr>
          <w:rFonts w:ascii="Lato" w:hAnsi="Lato" w:cs="Lato"/>
          <w:b/>
          <w:i w:val="0"/>
          <w:color w:val="B88A3C"/>
          <w:sz w:val="30"/>
        </w:rPr>
        <w:t xml:space="preserve">4  </w:t>
      </w:r>
      <w:r>
        <w:rPr>
          <w:rFonts w:ascii="Lato" w:hAnsi="Lato" w:cs="Lato"/>
          <w:b/>
          <w:i w:val="0"/>
          <w:color w:val="00648B"/>
          <w:sz w:val="30"/>
        </w:rPr>
        <w:t>Coverage gaps to consider filling</w:t>
      </w:r>
    </w:p>
    <w:p>
      <w:pPr>
        <w:spacing w:after="80" w:before="0"/>
      </w:pPr>
      <w:r>
        <w:rPr>
          <w:rFonts w:ascii="Lato" w:hAnsi="Lato" w:cs="Lato"/>
          <w:b w:val="0"/>
          <w:i w:val="0"/>
          <w:color w:val="2B2F33"/>
          <w:sz w:val="19"/>
        </w:rPr>
        <w:t>Detailed recommendation cards, in priority order.</w:t>
      </w:r>
    </w:p>
    <w:p>
      <w:pPr>
        <w:keepNext/>
        <w:spacing w:before="180" w:after="40"/>
      </w:pPr>
      <w:r>
        <w:rPr>
          <w:rFonts w:ascii="Lato" w:hAnsi="Lato" w:cs="Lato"/>
          <w:b/>
          <w:i w:val="0"/>
          <w:color w:val="00648B"/>
          <w:sz w:val="23"/>
        </w:rPr>
        <w:t>Gap 1.  Add a Personal Accident &amp; Business Travel extension/section</w:t>
      </w:r>
      <w:r>
        <w:rPr>
          <w:rFonts w:ascii="Lato" w:hAnsi="Lato" w:cs="Lato"/>
          <w:b/>
          <w:i w:val="0"/>
          <w:color w:val="A4233B"/>
          <w:sz w:val="18"/>
        </w:rPr>
        <w:t xml:space="preserve">   [ Priority: High ]</w:t>
      </w:r>
      <w:r>
        <w:rPr>
          <w:rFonts w:ascii="Lato" w:hAnsi="Lato" w:cs="Lato"/>
          <w:b/>
          <w:i w:val="0"/>
          <w:color w:val="A4233B"/>
          <w:sz w:val="18"/>
        </w:rPr>
        <w:t xml:space="preserve">    [ Round 7: Parked — NOT being added ]</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Competitor(s)</w:t>
            </w:r>
          </w:p>
        </w:tc>
        <w:tc>
          <w:tcPr>
            <w:tcW w:type="dxa" w:w="7484"/>
          </w:tcPr>
          <w:p>
            <w:pPr>
              <w:spacing w:after="20" w:before="0"/>
            </w:pPr>
            <w:r/>
            <w:r>
              <w:rPr>
                <w:rFonts w:ascii="Lato" w:hAnsi="Lato" w:cs="Lato"/>
                <w:b w:val="0"/>
                <w:i w:val="0"/>
                <w:color w:val="2B2F33"/>
                <w:sz w:val="17"/>
              </w:rPr>
              <w:t>Tysers (extensive); Yutree (PA assault)</w:t>
            </w:r>
          </w:p>
        </w:tc>
      </w:tr>
      <w:tr>
        <w:tc>
          <w:tcPr>
            <w:tcW w:type="dxa" w:w="2381"/>
            <w:shd w:val="clear" w:color="auto" w:fill="EAF1F5"/>
          </w:tcPr>
          <w:p>
            <w:pPr>
              <w:spacing w:after="20" w:before="0"/>
            </w:pPr>
            <w:r/>
            <w:r>
              <w:rPr>
                <w:rFonts w:ascii="Lato" w:hAnsi="Lato" w:cs="Lato"/>
                <w:b/>
                <w:i w:val="0"/>
                <w:color w:val="00648B"/>
                <w:sz w:val="17"/>
              </w:rPr>
              <w:t>What the competitor does</w:t>
            </w:r>
          </w:p>
        </w:tc>
        <w:tc>
          <w:tcPr>
            <w:tcW w:type="dxa" w:w="7484"/>
          </w:tcPr>
          <w:p>
            <w:pPr>
              <w:spacing w:after="20" w:before="0"/>
            </w:pPr>
            <w:r/>
            <w:r>
              <w:rPr>
                <w:rFonts w:ascii="Lato" w:hAnsi="Lato" w:cs="Lato"/>
                <w:b w:val="0"/>
                <w:i w:val="0"/>
                <w:color w:val="2B2F33"/>
                <w:sz w:val="17"/>
              </w:rPr>
              <w:t>Tysers provides a full personal-accident and business-travel section (directors/employees/visitors, family travel, assault); Yutree covers personal-accident assault.</w:t>
            </w:r>
          </w:p>
        </w:tc>
      </w:tr>
      <w:tr>
        <w:tc>
          <w:tcPr>
            <w:tcW w:type="dxa" w:w="2381"/>
            <w:shd w:val="clear" w:color="auto" w:fill="EAF1F5"/>
          </w:tcPr>
          <w:p>
            <w:pPr>
              <w:spacing w:after="20" w:before="0"/>
            </w:pPr>
            <w:r/>
            <w:r>
              <w:rPr>
                <w:rFonts w:ascii="Lato" w:hAnsi="Lato" w:cs="Lato"/>
                <w:b/>
                <w:i w:val="0"/>
                <w:color w:val="00648B"/>
                <w:sz w:val="17"/>
              </w:rPr>
              <w:t>Current TMHCC position</w:t>
            </w:r>
          </w:p>
        </w:tc>
        <w:tc>
          <w:tcPr>
            <w:tcW w:type="dxa" w:w="7484"/>
          </w:tcPr>
          <w:p>
            <w:pPr>
              <w:spacing w:after="20" w:before="0"/>
            </w:pPr>
            <w:r/>
            <w:r>
              <w:rPr>
                <w:rFonts w:ascii="Lato" w:hAnsi="Lato" w:cs="Lato"/>
                <w:b w:val="0"/>
                <w:i w:val="0"/>
                <w:color w:val="2B2F33"/>
                <w:sz w:val="17"/>
              </w:rPr>
              <w:t>No standalone PA / business-travel section within the 15-section structure.</w:t>
            </w:r>
          </w:p>
        </w:tc>
      </w:tr>
      <w:tr>
        <w:tc>
          <w:tcPr>
            <w:tcW w:type="dxa" w:w="2381"/>
            <w:shd w:val="clear" w:color="auto" w:fill="EAF1F5"/>
          </w:tcPr>
          <w:p>
            <w:pPr>
              <w:spacing w:after="20" w:before="0"/>
            </w:pPr>
            <w:r/>
            <w:r>
              <w:rPr>
                <w:rFonts w:ascii="Lato" w:hAnsi="Lato" w:cs="Lato"/>
                <w:b/>
                <w:i w:val="0"/>
                <w:color w:val="00648B"/>
                <w:sz w:val="17"/>
              </w:rPr>
              <w:t>Gap / opportunity</w:t>
            </w:r>
          </w:p>
        </w:tc>
        <w:tc>
          <w:tcPr>
            <w:tcW w:type="dxa" w:w="7484"/>
          </w:tcPr>
          <w:p>
            <w:pPr>
              <w:spacing w:after="20" w:before="0"/>
            </w:pPr>
            <w:r/>
            <w:r>
              <w:rPr>
                <w:rFonts w:ascii="Lato" w:hAnsi="Lato" w:cs="Lato"/>
                <w:b w:val="0"/>
                <w:i w:val="0"/>
                <w:color w:val="2B2F33"/>
                <w:sz w:val="17"/>
              </w:rPr>
              <w:t>Entertainment clients (crew, artists, touring personnel) routinely expect PA/business-travel; its absence is visible on a section-by-section comparison.</w:t>
            </w:r>
          </w:p>
        </w:tc>
      </w:tr>
      <w:tr>
        <w:tc>
          <w:tcPr>
            <w:tcW w:type="dxa" w:w="2381"/>
            <w:shd w:val="clear" w:color="auto" w:fill="EAF1F5"/>
          </w:tcPr>
          <w:p>
            <w:pPr>
              <w:spacing w:after="20" w:before="0"/>
            </w:pPr>
            <w:r/>
            <w:r>
              <w:rPr>
                <w:rFonts w:ascii="Lato" w:hAnsi="Lato" w:cs="Lato"/>
                <w:b/>
                <w:i w:val="0"/>
                <w:color w:val="00648B"/>
                <w:sz w:val="17"/>
              </w:rPr>
              <w:t>Recommended action</w:t>
            </w:r>
          </w:p>
        </w:tc>
        <w:tc>
          <w:tcPr>
            <w:tcW w:type="dxa" w:w="7484"/>
          </w:tcPr>
          <w:p>
            <w:pPr>
              <w:spacing w:after="20" w:before="0"/>
            </w:pPr>
            <w:r/>
            <w:r>
              <w:rPr>
                <w:rFonts w:ascii="Lato" w:hAnsi="Lato" w:cs="Lato"/>
                <w:b w:val="0"/>
                <w:i w:val="0"/>
                <w:color w:val="2B2F33"/>
                <w:sz w:val="17"/>
              </w:rPr>
              <w:t>Add new optional extension/section (PA &amp; Business Travel) — capacity-permitting.</w:t>
            </w:r>
          </w:p>
        </w:tc>
      </w:tr>
      <w:tr>
        <w:tc>
          <w:tcPr>
            <w:tcW w:type="dxa" w:w="2381"/>
            <w:shd w:val="clear" w:color="auto" w:fill="EAF1F5"/>
          </w:tcPr>
          <w:p>
            <w:pPr>
              <w:spacing w:after="20" w:before="0"/>
            </w:pPr>
            <w:r/>
            <w:r>
              <w:rPr>
                <w:rFonts w:ascii="Lato" w:hAnsi="Lato" w:cs="Lato"/>
                <w:b/>
                <w:i w:val="0"/>
                <w:color w:val="00648B"/>
                <w:sz w:val="17"/>
              </w:rPr>
              <w:t>Exact policy location</w:t>
            </w:r>
          </w:p>
        </w:tc>
        <w:tc>
          <w:tcPr>
            <w:tcW w:type="dxa" w:w="7484"/>
          </w:tcPr>
          <w:p>
            <w:pPr>
              <w:spacing w:after="20" w:before="0"/>
            </w:pPr>
            <w:r/>
            <w:r>
              <w:rPr>
                <w:rFonts w:ascii="Lato" w:hAnsi="Lato" w:cs="Lato"/>
                <w:b w:val="0"/>
                <w:i w:val="0"/>
                <w:color w:val="2B2F33"/>
                <w:sz w:val="17"/>
              </w:rPr>
              <w:t>Would require a new optional Section / extension after Section 8.</w:t>
            </w:r>
          </w:p>
        </w:tc>
      </w:tr>
      <w:tr>
        <w:tc>
          <w:tcPr>
            <w:tcW w:type="dxa" w:w="2381"/>
            <w:shd w:val="clear" w:color="auto" w:fill="EAF1F5"/>
          </w:tcPr>
          <w:p>
            <w:pPr>
              <w:spacing w:after="20" w:before="0"/>
            </w:pPr>
            <w:r/>
            <w:r>
              <w:rPr>
                <w:rFonts w:ascii="Lato" w:hAnsi="Lato" w:cs="Lato"/>
                <w:b/>
                <w:i w:val="0"/>
                <w:color w:val="00648B"/>
                <w:sz w:val="17"/>
              </w:rPr>
              <w:t>Copy-paste-ready wording</w:t>
            </w:r>
          </w:p>
        </w:tc>
        <w:tc>
          <w:tcPr>
            <w:tcW w:type="dxa" w:w="7484"/>
          </w:tcPr>
          <w:p>
            <w:pPr>
              <w:spacing w:after="20" w:before="0"/>
            </w:pPr>
            <w:r/>
            <w:r>
              <w:rPr>
                <w:rFonts w:ascii="Lato" w:hAnsi="Lato" w:cs="Lato"/>
                <w:b w:val="0"/>
                <w:i w:val="0"/>
                <w:color w:val="2B2F33"/>
                <w:sz w:val="17"/>
              </w:rPr>
              <w:t>Personal Accident &amp; Business Travel (Optional Section) — If stated as operative in the Schedule, the Insurer will pay the benefits stated in the Schedule to an Insured Person who sustains bodily injury caused by accidental, violent, external and visible means during the Period of Insurance, in accordance with the Benefit Schedule, age limits and hazardous-activity provisions stated therein.</w:t>
            </w:r>
          </w:p>
        </w:tc>
      </w:tr>
      <w:tr>
        <w:tc>
          <w:tcPr>
            <w:tcW w:type="dxa" w:w="2381"/>
            <w:shd w:val="clear" w:color="auto" w:fill="EAF1F5"/>
          </w:tcPr>
          <w:p>
            <w:pPr>
              <w:spacing w:after="20" w:before="0"/>
            </w:pPr>
            <w:r/>
            <w:r>
              <w:rPr>
                <w:rFonts w:ascii="Lato" w:hAnsi="Lato" w:cs="Lato"/>
                <w:b/>
                <w:i w:val="0"/>
                <w:color w:val="00648B"/>
                <w:sz w:val="17"/>
              </w:rPr>
              <w:t>Priority</w:t>
            </w:r>
          </w:p>
        </w:tc>
        <w:tc>
          <w:tcPr>
            <w:tcW w:type="dxa" w:w="7484"/>
          </w:tcPr>
          <w:p>
            <w:pPr>
              <w:spacing w:after="20" w:before="0"/>
            </w:pPr>
            <w:r/>
            <w:r>
              <w:rPr>
                <w:rFonts w:ascii="Lato" w:hAnsi="Lato" w:cs="Lato"/>
                <w:b w:val="0"/>
                <w:i w:val="0"/>
                <w:color w:val="2B2F33"/>
                <w:sz w:val="17"/>
              </w:rPr>
              <w:t>High</w:t>
            </w:r>
          </w:p>
        </w:tc>
      </w:tr>
      <w:tr>
        <w:tc>
          <w:tcPr>
            <w:tcW w:type="dxa" w:w="2381"/>
            <w:shd w:val="clear" w:color="auto" w:fill="EAF1F5"/>
          </w:tcPr>
          <w:p>
            <w:pPr>
              <w:spacing w:after="20" w:before="0"/>
            </w:pPr>
            <w:r/>
            <w:r>
              <w:rPr>
                <w:rFonts w:ascii="Lato" w:hAnsi="Lato" w:cs="Lato"/>
                <w:b/>
                <w:i w:val="0"/>
                <w:color w:val="00648B"/>
                <w:sz w:val="17"/>
              </w:rPr>
              <w:t>Underwriting impact</w:t>
            </w:r>
          </w:p>
        </w:tc>
        <w:tc>
          <w:tcPr>
            <w:tcW w:type="dxa" w:w="7484"/>
          </w:tcPr>
          <w:p>
            <w:pPr>
              <w:spacing w:after="20" w:before="0"/>
            </w:pPr>
            <w:r/>
            <w:r>
              <w:rPr>
                <w:rFonts w:ascii="Lato" w:hAnsi="Lato" w:cs="Lato"/>
                <w:b w:val="0"/>
                <w:i w:val="0"/>
                <w:color w:val="2B2F33"/>
                <w:sz w:val="17"/>
              </w:rPr>
              <w:t>Medium — control via benefit schedule, age limits, hazardous-activity carve-outs.</w:t>
            </w:r>
          </w:p>
        </w:tc>
      </w:tr>
      <w:tr>
        <w:tc>
          <w:tcPr>
            <w:tcW w:type="dxa" w:w="2381"/>
            <w:shd w:val="clear" w:color="auto" w:fill="EAF1F5"/>
          </w:tcPr>
          <w:p>
            <w:pPr>
              <w:spacing w:after="20" w:before="0"/>
            </w:pPr>
            <w:r/>
            <w:r>
              <w:rPr>
                <w:rFonts w:ascii="Lato" w:hAnsi="Lato" w:cs="Lato"/>
                <w:b/>
                <w:i w:val="0"/>
                <w:color w:val="00648B"/>
                <w:sz w:val="17"/>
              </w:rPr>
              <w:t>Legal sign-off required</w:t>
            </w:r>
          </w:p>
        </w:tc>
        <w:tc>
          <w:tcPr>
            <w:tcW w:type="dxa" w:w="7484"/>
          </w:tcPr>
          <w:p>
            <w:pPr>
              <w:spacing w:after="20" w:before="0"/>
            </w:pPr>
            <w:r/>
            <w:r>
              <w:rPr>
                <w:rFonts w:ascii="Lato" w:hAnsi="Lato" w:cs="Lato"/>
                <w:b w:val="0"/>
                <w:i w:val="0"/>
                <w:color w:val="2B2F33"/>
                <w:sz w:val="17"/>
              </w:rPr>
              <w:t>Yes</w:t>
            </w:r>
          </w:p>
        </w:tc>
      </w:tr>
      <w:tr>
        <w:tc>
          <w:tcPr>
            <w:tcW w:type="dxa" w:w="2381"/>
            <w:shd w:val="clear" w:color="auto" w:fill="EAF1F5"/>
          </w:tcPr>
          <w:p>
            <w:pPr>
              <w:spacing w:after="20" w:before="0"/>
            </w:pPr>
            <w:r/>
            <w:r>
              <w:rPr>
                <w:rFonts w:ascii="Lato" w:hAnsi="Lato" w:cs="Lato"/>
                <w:b/>
                <w:i w:val="0"/>
                <w:color w:val="00648B"/>
                <w:sz w:val="17"/>
              </w:rPr>
              <w:t>Implemented now or parked</w:t>
            </w:r>
          </w:p>
        </w:tc>
        <w:tc>
          <w:tcPr>
            <w:tcW w:type="dxa" w:w="7484"/>
          </w:tcPr>
          <w:p>
            <w:pPr>
              <w:spacing w:after="20" w:before="0"/>
            </w:pPr>
            <w:r/>
            <w:r>
              <w:rPr>
                <w:rFonts w:ascii="Lato" w:hAnsi="Lato" w:cs="Lato"/>
                <w:b w:val="0"/>
                <w:i w:val="0"/>
                <w:color w:val="2B2F33"/>
                <w:sz w:val="17"/>
              </w:rPr>
              <w:t>Not implemented — commercial decision (client direction)</w:t>
            </w:r>
          </w:p>
        </w:tc>
      </w:tr>
      <w:tr>
        <w:tc>
          <w:tcPr>
            <w:tcW w:type="dxa" w:w="2381"/>
            <w:shd w:val="clear" w:color="auto" w:fill="EAF1F5"/>
          </w:tcPr>
          <w:p>
            <w:pPr>
              <w:spacing w:after="20" w:before="0"/>
            </w:pPr>
            <w:r/>
            <w:r>
              <w:rPr>
                <w:rFonts w:ascii="Lato" w:hAnsi="Lato" w:cs="Lato"/>
                <w:b/>
                <w:i w:val="0"/>
                <w:color w:val="00648B"/>
                <w:sz w:val="17"/>
              </w:rPr>
              <w:t>Commercial benefit</w:t>
            </w:r>
          </w:p>
        </w:tc>
        <w:tc>
          <w:tcPr>
            <w:tcW w:type="dxa" w:w="7484"/>
          </w:tcPr>
          <w:p>
            <w:pPr>
              <w:spacing w:after="20" w:before="0"/>
            </w:pPr>
            <w:r/>
            <w:r>
              <w:rPr>
                <w:rFonts w:ascii="Lato" w:hAnsi="Lato" w:cs="Lato"/>
                <w:b w:val="0"/>
                <w:i w:val="0"/>
                <w:color w:val="2B2F33"/>
                <w:sz w:val="17"/>
              </w:rPr>
              <w:t>Closes a whole-section gap; lets TMHCC show a tick on a row two competitors win.</w:t>
            </w:r>
          </w:p>
        </w:tc>
      </w:tr>
      <w:tr>
        <w:tc>
          <w:tcPr>
            <w:tcW w:type="dxa" w:w="2381"/>
            <w:shd w:val="clear" w:color="auto" w:fill="EAF1F5"/>
          </w:tcPr>
          <w:p>
            <w:pPr>
              <w:spacing w:after="20" w:before="0"/>
            </w:pPr>
            <w:r/>
            <w:r>
              <w:rPr>
                <w:rFonts w:ascii="Lato" w:hAnsi="Lato" w:cs="Lato"/>
                <w:b/>
                <w:i w:val="0"/>
                <w:color w:val="00648B"/>
                <w:sz w:val="17"/>
              </w:rPr>
              <w:t>Legal / underwriting review</w:t>
            </w:r>
          </w:p>
        </w:tc>
        <w:tc>
          <w:tcPr>
            <w:tcW w:type="dxa" w:w="7484"/>
          </w:tcPr>
          <w:p>
            <w:pPr>
              <w:spacing w:after="20" w:before="0"/>
            </w:pPr>
            <w:r/>
            <w:r>
              <w:rPr>
                <w:rFonts w:ascii="Lato" w:hAnsi="Lato" w:cs="Lato"/>
                <w:b w:val="0"/>
                <w:i w:val="0"/>
                <w:color w:val="2B2F33"/>
                <w:sz w:val="17"/>
              </w:rPr>
              <w:t>Confirm capacity/appetite for PA &amp; travel; draft benefit schedule and assault definition.</w:t>
            </w:r>
          </w:p>
        </w:tc>
      </w:tr>
    </w:tbl>
    <w:p>
      <w:pPr>
        <w:spacing w:after="160"/>
      </w:pPr>
    </w:p>
    <w:tbl>
      <w:tblPr>
        <w:tblW w:type="pct" w:w="5000"/>
        <w:tblLayout w:type="fixed"/>
        <w:tblLook w:firstColumn="1" w:firstRow="1" w:lastColumn="0" w:lastRow="0" w:noHBand="0" w:noVBand="1" w:val="04A0"/>
      </w:tblPr>
      <w:tblGrid>
        <w:gridCol w:w="9978"/>
      </w:tblGrid>
      <w:tr>
        <w:tc>
          <w:tcPr>
            <w:tcW w:type="dxa" w:w="9978"/>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Final position:  </w:t>
            </w:r>
            <w:r>
              <w:rPr>
                <w:rFonts w:ascii="Lato" w:hAnsi="Lato" w:cs="Lato"/>
                <w:b w:val="0"/>
                <w:i w:val="0"/>
                <w:color w:val="2B2F33"/>
                <w:sz w:val="19"/>
              </w:rPr>
              <w:t>NOTE: Personal Accident is NOT being added in this round. This is distinct from the existing Personal Assault cover under Section 8 (Money), Sub-Section 2, which is retained as-is.</w:t>
            </w:r>
          </w:p>
        </w:tc>
      </w:tr>
    </w:tbl>
    <w:p>
      <w:pPr>
        <w:spacing w:after="80"/>
      </w:pPr>
    </w:p>
    <w:p>
      <w:pPr>
        <w:keepNext/>
        <w:spacing w:before="180" w:after="40"/>
      </w:pPr>
      <w:r>
        <w:rPr>
          <w:rFonts w:ascii="Lato" w:hAnsi="Lato" w:cs="Lato"/>
          <w:b/>
          <w:i w:val="0"/>
          <w:color w:val="00648B"/>
          <w:sz w:val="23"/>
        </w:rPr>
        <w:t>Gap 2.  Offer a worldwide / US-Canada territory option for Media Liability</w:t>
      </w:r>
      <w:r>
        <w:rPr>
          <w:rFonts w:ascii="Lato" w:hAnsi="Lato" w:cs="Lato"/>
          <w:b/>
          <w:i w:val="0"/>
          <w:color w:val="A4233B"/>
          <w:sz w:val="18"/>
        </w:rPr>
        <w:t xml:space="preserve">   [ Priority: High ]</w:t>
      </w:r>
      <w:r>
        <w:rPr>
          <w:rFonts w:ascii="Lato" w:hAnsi="Lato" w:cs="Lato"/>
          <w:b/>
          <w:i w:val="0"/>
          <w:color w:val="8A6A1E"/>
          <w:sz w:val="18"/>
        </w:rPr>
        <w:t xml:space="preserve">    [ Round 7: Parked — Section 12 sign-off list ]</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Competitor(s)</w:t>
            </w:r>
          </w:p>
        </w:tc>
        <w:tc>
          <w:tcPr>
            <w:tcW w:type="dxa" w:w="7484"/>
          </w:tcPr>
          <w:p>
            <w:pPr>
              <w:spacing w:after="20" w:before="0"/>
            </w:pPr>
            <w:r/>
            <w:r>
              <w:rPr>
                <w:rFonts w:ascii="Lato" w:hAnsi="Lato" w:cs="Lato"/>
                <w:b w:val="0"/>
                <w:i w:val="0"/>
                <w:color w:val="2B2F33"/>
                <w:sz w:val="17"/>
              </w:rPr>
              <w:t>Tysers (PI worldwide)</w:t>
            </w:r>
          </w:p>
        </w:tc>
      </w:tr>
      <w:tr>
        <w:tc>
          <w:tcPr>
            <w:tcW w:type="dxa" w:w="2381"/>
            <w:shd w:val="clear" w:color="auto" w:fill="EAF1F5"/>
          </w:tcPr>
          <w:p>
            <w:pPr>
              <w:spacing w:after="20" w:before="0"/>
            </w:pPr>
            <w:r/>
            <w:r>
              <w:rPr>
                <w:rFonts w:ascii="Lato" w:hAnsi="Lato" w:cs="Lato"/>
                <w:b/>
                <w:i w:val="0"/>
                <w:color w:val="00648B"/>
                <w:sz w:val="17"/>
              </w:rPr>
              <w:t>What the competitor does</w:t>
            </w:r>
          </w:p>
        </w:tc>
        <w:tc>
          <w:tcPr>
            <w:tcW w:type="dxa" w:w="7484"/>
          </w:tcPr>
          <w:p>
            <w:pPr>
              <w:spacing w:after="20" w:before="0"/>
            </w:pPr>
            <w:r/>
            <w:r>
              <w:rPr>
                <w:rFonts w:ascii="Lato" w:hAnsi="Lato" w:cs="Lato"/>
                <w:b w:val="0"/>
                <w:i w:val="0"/>
                <w:color w:val="2B2F33"/>
                <w:sz w:val="17"/>
              </w:rPr>
              <w:t>Tysers PI/E&amp;O applies worldwide with no jurisdiction exclusion.</w:t>
            </w:r>
          </w:p>
        </w:tc>
      </w:tr>
      <w:tr>
        <w:tc>
          <w:tcPr>
            <w:tcW w:type="dxa" w:w="2381"/>
            <w:shd w:val="clear" w:color="auto" w:fill="EAF1F5"/>
          </w:tcPr>
          <w:p>
            <w:pPr>
              <w:spacing w:after="20" w:before="0"/>
            </w:pPr>
            <w:r/>
            <w:r>
              <w:rPr>
                <w:rFonts w:ascii="Lato" w:hAnsi="Lato" w:cs="Lato"/>
                <w:b/>
                <w:i w:val="0"/>
                <w:color w:val="00648B"/>
                <w:sz w:val="17"/>
              </w:rPr>
              <w:t>Current TMHCC position</w:t>
            </w:r>
          </w:p>
        </w:tc>
        <w:tc>
          <w:tcPr>
            <w:tcW w:type="dxa" w:w="7484"/>
          </w:tcPr>
          <w:p>
            <w:pPr>
              <w:spacing w:after="20" w:before="0"/>
            </w:pPr>
            <w:r/>
            <w:r>
              <w:rPr>
                <w:rFonts w:ascii="Lato" w:hAnsi="Lato" w:cs="Lato"/>
                <w:b w:val="0"/>
                <w:i w:val="0"/>
                <w:color w:val="2B2F33"/>
                <w:sz w:val="17"/>
              </w:rPr>
              <w:t>S12 limited to Schedule Geographical Limits; excludes actions brought/governed outside the stated Jurisdiction (default ex-US/Canada).</w:t>
            </w:r>
          </w:p>
        </w:tc>
      </w:tr>
      <w:tr>
        <w:tc>
          <w:tcPr>
            <w:tcW w:type="dxa" w:w="2381"/>
            <w:shd w:val="clear" w:color="auto" w:fill="EAF1F5"/>
          </w:tcPr>
          <w:p>
            <w:pPr>
              <w:spacing w:after="20" w:before="0"/>
            </w:pPr>
            <w:r/>
            <w:r>
              <w:rPr>
                <w:rFonts w:ascii="Lato" w:hAnsi="Lato" w:cs="Lato"/>
                <w:b/>
                <w:i w:val="0"/>
                <w:color w:val="00648B"/>
                <w:sz w:val="17"/>
              </w:rPr>
              <w:t>Gap / opportunity</w:t>
            </w:r>
          </w:p>
        </w:tc>
        <w:tc>
          <w:tcPr>
            <w:tcW w:type="dxa" w:w="7484"/>
          </w:tcPr>
          <w:p>
            <w:pPr>
              <w:spacing w:after="20" w:before="0"/>
            </w:pPr>
            <w:r/>
            <w:r>
              <w:rPr>
                <w:rFonts w:ascii="Lato" w:hAnsi="Lato" w:cs="Lato"/>
                <w:b w:val="0"/>
                <w:i w:val="0"/>
                <w:color w:val="2B2F33"/>
                <w:sz w:val="17"/>
              </w:rPr>
              <w:t>Media clients with global digital distribution can be exposed to US/Canada actions; TMHCC’s default looks narrower on the matrix.</w:t>
            </w:r>
          </w:p>
        </w:tc>
      </w:tr>
      <w:tr>
        <w:tc>
          <w:tcPr>
            <w:tcW w:type="dxa" w:w="2381"/>
            <w:shd w:val="clear" w:color="auto" w:fill="EAF1F5"/>
          </w:tcPr>
          <w:p>
            <w:pPr>
              <w:spacing w:after="20" w:before="0"/>
            </w:pPr>
            <w:r/>
            <w:r>
              <w:rPr>
                <w:rFonts w:ascii="Lato" w:hAnsi="Lato" w:cs="Lato"/>
                <w:b/>
                <w:i w:val="0"/>
                <w:color w:val="00648B"/>
                <w:sz w:val="17"/>
              </w:rPr>
              <w:t>Recommended action</w:t>
            </w:r>
          </w:p>
        </w:tc>
        <w:tc>
          <w:tcPr>
            <w:tcW w:type="dxa" w:w="7484"/>
          </w:tcPr>
          <w:p>
            <w:pPr>
              <w:spacing w:after="20" w:before="0"/>
            </w:pPr>
            <w:r/>
            <w:r>
              <w:rPr>
                <w:rFonts w:ascii="Lato" w:hAnsi="Lato" w:cs="Lato"/>
                <w:b w:val="0"/>
                <w:i w:val="0"/>
                <w:color w:val="2B2F33"/>
                <w:sz w:val="17"/>
              </w:rPr>
              <w:t>Add an optional worldwide (incl. or excl. US/Canada) write-back to the Geographical Limits / Legal Action exclusion, rated accordingly.</w:t>
            </w:r>
          </w:p>
        </w:tc>
      </w:tr>
      <w:tr>
        <w:tc>
          <w:tcPr>
            <w:tcW w:type="dxa" w:w="2381"/>
            <w:shd w:val="clear" w:color="auto" w:fill="EAF1F5"/>
          </w:tcPr>
          <w:p>
            <w:pPr>
              <w:spacing w:after="20" w:before="0"/>
            </w:pPr>
            <w:r/>
            <w:r>
              <w:rPr>
                <w:rFonts w:ascii="Lato" w:hAnsi="Lato" w:cs="Lato"/>
                <w:b/>
                <w:i w:val="0"/>
                <w:color w:val="00648B"/>
                <w:sz w:val="17"/>
              </w:rPr>
              <w:t>Exact policy location</w:t>
            </w:r>
          </w:p>
        </w:tc>
        <w:tc>
          <w:tcPr>
            <w:tcW w:type="dxa" w:w="7484"/>
          </w:tcPr>
          <w:p>
            <w:pPr>
              <w:spacing w:after="20" w:before="0"/>
            </w:pPr>
            <w:r/>
            <w:r>
              <w:rPr>
                <w:rFonts w:ascii="Lato" w:hAnsi="Lato" w:cs="Lato"/>
                <w:b w:val="0"/>
                <w:i w:val="0"/>
                <w:color w:val="2B2F33"/>
                <w:sz w:val="17"/>
              </w:rPr>
              <w:t>Section 12 (Media Liability), as an Optional Extension following the 'Legal Action' / 'Geographical Limits' exclusions (p.73+).</w:t>
            </w:r>
          </w:p>
        </w:tc>
      </w:tr>
      <w:tr>
        <w:tc>
          <w:tcPr>
            <w:tcW w:type="dxa" w:w="2381"/>
            <w:shd w:val="clear" w:color="auto" w:fill="EAF1F5"/>
          </w:tcPr>
          <w:p>
            <w:pPr>
              <w:spacing w:after="20" w:before="0"/>
            </w:pPr>
            <w:r/>
            <w:r>
              <w:rPr>
                <w:rFonts w:ascii="Lato" w:hAnsi="Lato" w:cs="Lato"/>
                <w:b/>
                <w:i w:val="0"/>
                <w:color w:val="00648B"/>
                <w:sz w:val="17"/>
              </w:rPr>
              <w:t>Copy-paste-ready wording</w:t>
            </w:r>
          </w:p>
        </w:tc>
        <w:tc>
          <w:tcPr>
            <w:tcW w:type="dxa" w:w="7484"/>
          </w:tcPr>
          <w:p>
            <w:pPr>
              <w:spacing w:after="20" w:before="0"/>
            </w:pPr>
            <w:r/>
            <w:r>
              <w:rPr>
                <w:rFonts w:ascii="Lato" w:hAnsi="Lato" w:cs="Lato"/>
                <w:b w:val="0"/>
                <w:i w:val="0"/>
                <w:color w:val="2B2F33"/>
                <w:sz w:val="17"/>
              </w:rPr>
              <w:t>Worldwide Territory and Jurisdiction (Optional)</w:t>
            </w:r>
          </w:p>
          <w:p>
            <w:pPr>
              <w:spacing w:after="20" w:before="0"/>
            </w:pPr>
            <w:r>
              <w:rPr>
                <w:rFonts w:ascii="Lato" w:hAnsi="Lato" w:cs="Lato"/>
                <w:b w:val="0"/>
                <w:i w:val="0"/>
                <w:color w:val="2B2F33"/>
                <w:sz w:val="17"/>
              </w:rPr>
              <w:t>This Optional Extension applies only if stated as operative in the Schedule. Where stated as operative, the Geographical Limits applicable to this Section are amended to anywhere in the world and the Jurisdiction applicable to this Section is amended to worldwide, and the exclusions of claims brought, or in which the governing law is contended to be, outside the Jurisdiction shall not apply.</w:t>
            </w:r>
          </w:p>
          <w:p>
            <w:pPr>
              <w:spacing w:after="20" w:before="0"/>
            </w:pPr>
            <w:r>
              <w:rPr>
                <w:rFonts w:ascii="Lato" w:hAnsi="Lato" w:cs="Lato"/>
                <w:b w:val="0"/>
                <w:i w:val="0"/>
                <w:color w:val="2B2F33"/>
                <w:sz w:val="17"/>
              </w:rPr>
              <w:t>Cover in respect of claims brought in, or determined under the laws of, the United States of America or Canada (or any territory or protectorate thereof) applies only if “USA/Canada Jurisdiction” is additionally stated as operative in the Schedule.</w:t>
            </w:r>
          </w:p>
        </w:tc>
      </w:tr>
      <w:tr>
        <w:tc>
          <w:tcPr>
            <w:tcW w:type="dxa" w:w="2381"/>
            <w:shd w:val="clear" w:color="auto" w:fill="EAF1F5"/>
          </w:tcPr>
          <w:p>
            <w:pPr>
              <w:spacing w:after="20" w:before="0"/>
            </w:pPr>
            <w:r/>
            <w:r>
              <w:rPr>
                <w:rFonts w:ascii="Lato" w:hAnsi="Lato" w:cs="Lato"/>
                <w:b/>
                <w:i w:val="0"/>
                <w:color w:val="00648B"/>
                <w:sz w:val="17"/>
              </w:rPr>
              <w:t>Priority</w:t>
            </w:r>
          </w:p>
        </w:tc>
        <w:tc>
          <w:tcPr>
            <w:tcW w:type="dxa" w:w="7484"/>
          </w:tcPr>
          <w:p>
            <w:pPr>
              <w:spacing w:after="20" w:before="0"/>
            </w:pPr>
            <w:r/>
            <w:r>
              <w:rPr>
                <w:rFonts w:ascii="Lato" w:hAnsi="Lato" w:cs="Lato"/>
                <w:b w:val="0"/>
                <w:i w:val="0"/>
                <w:color w:val="2B2F33"/>
                <w:sz w:val="17"/>
              </w:rPr>
              <w:t>High</w:t>
            </w:r>
          </w:p>
        </w:tc>
      </w:tr>
      <w:tr>
        <w:tc>
          <w:tcPr>
            <w:tcW w:type="dxa" w:w="2381"/>
            <w:shd w:val="clear" w:color="auto" w:fill="EAF1F5"/>
          </w:tcPr>
          <w:p>
            <w:pPr>
              <w:spacing w:after="20" w:before="0"/>
            </w:pPr>
            <w:r/>
            <w:r>
              <w:rPr>
                <w:rFonts w:ascii="Lato" w:hAnsi="Lato" w:cs="Lato"/>
                <w:b/>
                <w:i w:val="0"/>
                <w:color w:val="00648B"/>
                <w:sz w:val="17"/>
              </w:rPr>
              <w:t>Underwriting impact</w:t>
            </w:r>
          </w:p>
        </w:tc>
        <w:tc>
          <w:tcPr>
            <w:tcW w:type="dxa" w:w="7484"/>
          </w:tcPr>
          <w:p>
            <w:pPr>
              <w:spacing w:after="20" w:before="0"/>
            </w:pPr>
            <w:r/>
            <w:r>
              <w:rPr>
                <w:rFonts w:ascii="Lato" w:hAnsi="Lato" w:cs="Lato"/>
                <w:b w:val="0"/>
                <w:i w:val="0"/>
                <w:color w:val="2B2F33"/>
                <w:sz w:val="17"/>
              </w:rPr>
              <w:t>High if US/Canada included — rate, sub-limit, higher excess, defence-cost caps; keep ex-US/Canada as default.</w:t>
            </w:r>
          </w:p>
        </w:tc>
      </w:tr>
      <w:tr>
        <w:tc>
          <w:tcPr>
            <w:tcW w:type="dxa" w:w="2381"/>
            <w:shd w:val="clear" w:color="auto" w:fill="EAF1F5"/>
          </w:tcPr>
          <w:p>
            <w:pPr>
              <w:spacing w:after="20" w:before="0"/>
            </w:pPr>
            <w:r/>
            <w:r>
              <w:rPr>
                <w:rFonts w:ascii="Lato" w:hAnsi="Lato" w:cs="Lato"/>
                <w:b/>
                <w:i w:val="0"/>
                <w:color w:val="00648B"/>
                <w:sz w:val="17"/>
              </w:rPr>
              <w:t>Legal sign-off required</w:t>
            </w:r>
          </w:p>
        </w:tc>
        <w:tc>
          <w:tcPr>
            <w:tcW w:type="dxa" w:w="7484"/>
          </w:tcPr>
          <w:p>
            <w:pPr>
              <w:spacing w:after="20" w:before="0"/>
            </w:pPr>
            <w:r/>
            <w:r>
              <w:rPr>
                <w:rFonts w:ascii="Lato" w:hAnsi="Lato" w:cs="Lato"/>
                <w:b w:val="0"/>
                <w:i w:val="0"/>
                <w:color w:val="2B2F33"/>
                <w:sz w:val="17"/>
              </w:rPr>
              <w:t>Yes</w:t>
            </w:r>
          </w:p>
        </w:tc>
      </w:tr>
      <w:tr>
        <w:tc>
          <w:tcPr>
            <w:tcW w:type="dxa" w:w="2381"/>
            <w:shd w:val="clear" w:color="auto" w:fill="EAF1F5"/>
          </w:tcPr>
          <w:p>
            <w:pPr>
              <w:spacing w:after="20" w:before="0"/>
            </w:pPr>
            <w:r/>
            <w:r>
              <w:rPr>
                <w:rFonts w:ascii="Lato" w:hAnsi="Lato" w:cs="Lato"/>
                <w:b/>
                <w:i w:val="0"/>
                <w:color w:val="00648B"/>
                <w:sz w:val="17"/>
              </w:rPr>
              <w:t>Implemented now or parked</w:t>
            </w:r>
          </w:p>
        </w:tc>
        <w:tc>
          <w:tcPr>
            <w:tcW w:type="dxa" w:w="7484"/>
          </w:tcPr>
          <w:p>
            <w:pPr>
              <w:spacing w:after="20" w:before="0"/>
            </w:pPr>
            <w:r/>
            <w:r>
              <w:rPr>
                <w:rFonts w:ascii="Lato" w:hAnsi="Lato" w:cs="Lato"/>
                <w:b w:val="0"/>
                <w:i w:val="0"/>
                <w:color w:val="2B2F33"/>
                <w:sz w:val="17"/>
              </w:rPr>
              <w:t>Not implemented in wording (Section 12 — legal/UW sign-off required)</w:t>
            </w:r>
          </w:p>
        </w:tc>
      </w:tr>
      <w:tr>
        <w:tc>
          <w:tcPr>
            <w:tcW w:type="dxa" w:w="2381"/>
            <w:shd w:val="clear" w:color="auto" w:fill="EAF1F5"/>
          </w:tcPr>
          <w:p>
            <w:pPr>
              <w:spacing w:after="20" w:before="0"/>
            </w:pPr>
            <w:r/>
            <w:r>
              <w:rPr>
                <w:rFonts w:ascii="Lato" w:hAnsi="Lato" w:cs="Lato"/>
                <w:b/>
                <w:i w:val="0"/>
                <w:color w:val="00648B"/>
                <w:sz w:val="17"/>
              </w:rPr>
              <w:t>Commercial benefit</w:t>
            </w:r>
          </w:p>
        </w:tc>
        <w:tc>
          <w:tcPr>
            <w:tcW w:type="dxa" w:w="7484"/>
          </w:tcPr>
          <w:p>
            <w:pPr>
              <w:spacing w:after="20" w:before="0"/>
            </w:pPr>
            <w:r/>
            <w:r>
              <w:rPr>
                <w:rFonts w:ascii="Lato" w:hAnsi="Lato" w:cs="Lato"/>
                <w:b w:val="0"/>
                <w:i w:val="0"/>
                <w:color w:val="2B2F33"/>
                <w:sz w:val="17"/>
              </w:rPr>
              <w:t>Converts a ‘partial’ to a ‘covered’ for global clients without changing the default risk appetite.</w:t>
            </w:r>
          </w:p>
        </w:tc>
      </w:tr>
      <w:tr>
        <w:tc>
          <w:tcPr>
            <w:tcW w:type="dxa" w:w="2381"/>
            <w:shd w:val="clear" w:color="auto" w:fill="EAF1F5"/>
          </w:tcPr>
          <w:p>
            <w:pPr>
              <w:spacing w:after="20" w:before="0"/>
            </w:pPr>
            <w:r/>
            <w:r>
              <w:rPr>
                <w:rFonts w:ascii="Lato" w:hAnsi="Lato" w:cs="Lato"/>
                <w:b/>
                <w:i w:val="0"/>
                <w:color w:val="00648B"/>
                <w:sz w:val="17"/>
              </w:rPr>
              <w:t>Legal / underwriting review</w:t>
            </w:r>
          </w:p>
        </w:tc>
        <w:tc>
          <w:tcPr>
            <w:tcW w:type="dxa" w:w="7484"/>
          </w:tcPr>
          <w:p>
            <w:pPr>
              <w:spacing w:after="20" w:before="0"/>
            </w:pPr>
            <w:r/>
            <w:r>
              <w:rPr>
                <w:rFonts w:ascii="Lato" w:hAnsi="Lato" w:cs="Lato"/>
                <w:b w:val="0"/>
                <w:i w:val="0"/>
                <w:color w:val="2B2F33"/>
                <w:sz w:val="17"/>
              </w:rPr>
              <w:t>Draft optional endorsement; confirm reinsurance treaty territory.</w:t>
            </w:r>
          </w:p>
        </w:tc>
      </w:tr>
    </w:tbl>
    <w:p>
      <w:pPr>
        <w:spacing w:after="160"/>
      </w:pPr>
    </w:p>
    <w:tbl>
      <w:tblPr>
        <w:tblW w:type="pct" w:w="5000"/>
        <w:tblLayout w:type="fixed"/>
        <w:tblLook w:firstColumn="1" w:firstRow="1" w:lastColumn="0" w:lastRow="0" w:noHBand="0" w:noVBand="1" w:val="04A0"/>
      </w:tblPr>
      <w:tblGrid>
        <w:gridCol w:w="9978"/>
      </w:tblGrid>
      <w:tr>
        <w:tc>
          <w:tcPr>
            <w:tcW w:type="dxa" w:w="9978"/>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Final position:  </w:t>
            </w:r>
            <w:r>
              <w:rPr>
                <w:rFonts w:ascii="Lato" w:hAnsi="Lato" w:cs="Lato"/>
                <w:b w:val="0"/>
                <w:i w:val="0"/>
                <w:color w:val="2B2F33"/>
                <w:sz w:val="19"/>
              </w:rPr>
              <w:t>FINAL POSITION (Gap 2): The wording already provides worldwide-excluding-USA/Canada cover by DEFAULT via the 'Jurisdiction' definition (worldwide but excluding the USA and Canada where the Schedule is silent), bounded by the Schedule 'Geographical Limits' and the Section 12 'Legal Action' exclusion. There is NOT yet a single, clean, Schedule-selectable 'Worldwide (incl. USA/Canada)' switch. The optional clause above supplies that switch and a separate USA/Canada selectable. Held in the Section 12 sign-off list — not applied to the wording.</w:t>
            </w:r>
          </w:p>
        </w:tc>
      </w:tr>
    </w:tbl>
    <w:p>
      <w:pPr>
        <w:spacing w:after="80"/>
      </w:pPr>
    </w:p>
    <w:p>
      <w:pPr>
        <w:keepNext/>
        <w:spacing w:before="180" w:after="40"/>
      </w:pPr>
      <w:r>
        <w:rPr>
          <w:rFonts w:ascii="Lato" w:hAnsi="Lato" w:cs="Lato"/>
          <w:b/>
          <w:i w:val="0"/>
          <w:color w:val="00648B"/>
          <w:sz w:val="23"/>
        </w:rPr>
        <w:t>Gap 3.  Broaden criminal / regulatory defence-costs in Media Liability (or signpost S13/S14)</w:t>
      </w:r>
      <w:r>
        <w:rPr>
          <w:rFonts w:ascii="Lato" w:hAnsi="Lato" w:cs="Lato"/>
          <w:b/>
          <w:i w:val="0"/>
          <w:color w:val="A4233B"/>
          <w:sz w:val="18"/>
        </w:rPr>
        <w:t xml:space="preserve">   [ Priority: Medium-High ]</w:t>
      </w:r>
      <w:r>
        <w:rPr>
          <w:rFonts w:ascii="Lato" w:hAnsi="Lato" w:cs="Lato"/>
          <w:b/>
          <w:i w:val="0"/>
          <w:color w:val="8A6A1E"/>
          <w:sz w:val="18"/>
        </w:rPr>
        <w:t xml:space="preserve">    [ Round 7: Parked — Section 12 sign-off list ]</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Competitor(s)</w:t>
            </w:r>
          </w:p>
        </w:tc>
        <w:tc>
          <w:tcPr>
            <w:tcW w:type="dxa" w:w="7484"/>
          </w:tcPr>
          <w:p>
            <w:pPr>
              <w:spacing w:after="20" w:before="0"/>
            </w:pPr>
            <w:r/>
            <w:r>
              <w:rPr>
                <w:rFonts w:ascii="Lato" w:hAnsi="Lato" w:cs="Lato"/>
                <w:b w:val="0"/>
                <w:i w:val="0"/>
                <w:color w:val="2B2F33"/>
                <w:sz w:val="17"/>
              </w:rPr>
              <w:t>Tysers (statutory defence GBP 1m); Yutree (criminal prosecution defence GBP 250k)</w:t>
            </w:r>
          </w:p>
        </w:tc>
      </w:tr>
      <w:tr>
        <w:tc>
          <w:tcPr>
            <w:tcW w:type="dxa" w:w="2381"/>
            <w:shd w:val="clear" w:color="auto" w:fill="EAF1F5"/>
          </w:tcPr>
          <w:p>
            <w:pPr>
              <w:spacing w:after="20" w:before="0"/>
            </w:pPr>
            <w:r/>
            <w:r>
              <w:rPr>
                <w:rFonts w:ascii="Lato" w:hAnsi="Lato" w:cs="Lato"/>
                <w:b/>
                <w:i w:val="0"/>
                <w:color w:val="00648B"/>
                <w:sz w:val="17"/>
              </w:rPr>
              <w:t>What the competitor does</w:t>
            </w:r>
          </w:p>
        </w:tc>
        <w:tc>
          <w:tcPr>
            <w:tcW w:type="dxa" w:w="7484"/>
          </w:tcPr>
          <w:p>
            <w:pPr>
              <w:spacing w:after="20" w:before="0"/>
            </w:pPr>
            <w:r/>
            <w:r>
              <w:rPr>
                <w:rFonts w:ascii="Lato" w:hAnsi="Lato" w:cs="Lato"/>
                <w:b w:val="0"/>
                <w:i w:val="0"/>
                <w:color w:val="2B2F33"/>
                <w:sz w:val="17"/>
              </w:rPr>
              <w:t>Fund defence of statutory/criminal proceedings (Bribery, Corporate Manslaughter, H&amp;S, CDM) arising from the business.</w:t>
            </w:r>
          </w:p>
        </w:tc>
      </w:tr>
      <w:tr>
        <w:tc>
          <w:tcPr>
            <w:tcW w:type="dxa" w:w="2381"/>
            <w:shd w:val="clear" w:color="auto" w:fill="EAF1F5"/>
          </w:tcPr>
          <w:p>
            <w:pPr>
              <w:spacing w:after="20" w:before="0"/>
            </w:pPr>
            <w:r/>
            <w:r>
              <w:rPr>
                <w:rFonts w:ascii="Lato" w:hAnsi="Lato" w:cs="Lato"/>
                <w:b/>
                <w:i w:val="0"/>
                <w:color w:val="00648B"/>
                <w:sz w:val="17"/>
              </w:rPr>
              <w:t>Current TMHCC position</w:t>
            </w:r>
          </w:p>
        </w:tc>
        <w:tc>
          <w:tcPr>
            <w:tcW w:type="dxa" w:w="7484"/>
          </w:tcPr>
          <w:p>
            <w:pPr>
              <w:spacing w:after="20" w:before="0"/>
            </w:pPr>
            <w:r/>
            <w:r>
              <w:rPr>
                <w:rFonts w:ascii="Lato" w:hAnsi="Lato" w:cs="Lato"/>
                <w:b w:val="0"/>
                <w:i w:val="0"/>
                <w:color w:val="2B2F33"/>
                <w:sz w:val="17"/>
              </w:rPr>
              <w:t>S12 funds only Data-Protection defence costs (GBP 250k); broader criminal/regulatory defence sits in S13 Legal Expenses and S14 Management Liability.</w:t>
            </w:r>
          </w:p>
        </w:tc>
      </w:tr>
      <w:tr>
        <w:tc>
          <w:tcPr>
            <w:tcW w:type="dxa" w:w="2381"/>
            <w:shd w:val="clear" w:color="auto" w:fill="EAF1F5"/>
          </w:tcPr>
          <w:p>
            <w:pPr>
              <w:spacing w:after="20" w:before="0"/>
            </w:pPr>
            <w:r/>
            <w:r>
              <w:rPr>
                <w:rFonts w:ascii="Lato" w:hAnsi="Lato" w:cs="Lato"/>
                <w:b/>
                <w:i w:val="0"/>
                <w:color w:val="00648B"/>
                <w:sz w:val="17"/>
              </w:rPr>
              <w:t>Gap / opportunity</w:t>
            </w:r>
          </w:p>
        </w:tc>
        <w:tc>
          <w:tcPr>
            <w:tcW w:type="dxa" w:w="7484"/>
          </w:tcPr>
          <w:p>
            <w:pPr>
              <w:spacing w:after="20" w:before="0"/>
            </w:pPr>
            <w:r/>
            <w:r>
              <w:rPr>
                <w:rFonts w:ascii="Lato" w:hAnsi="Lato" w:cs="Lato"/>
                <w:b w:val="0"/>
                <w:i w:val="0"/>
                <w:color w:val="2B2F33"/>
                <w:sz w:val="17"/>
              </w:rPr>
              <w:t>On a section-by-section read of S12 alone, TMHCC looks narrower.</w:t>
            </w:r>
          </w:p>
        </w:tc>
      </w:tr>
      <w:tr>
        <w:tc>
          <w:tcPr>
            <w:tcW w:type="dxa" w:w="2381"/>
            <w:shd w:val="clear" w:color="auto" w:fill="EAF1F5"/>
          </w:tcPr>
          <w:p>
            <w:pPr>
              <w:spacing w:after="20" w:before="0"/>
            </w:pPr>
            <w:r/>
            <w:r>
              <w:rPr>
                <w:rFonts w:ascii="Lato" w:hAnsi="Lato" w:cs="Lato"/>
                <w:b/>
                <w:i w:val="0"/>
                <w:color w:val="00648B"/>
                <w:sz w:val="17"/>
              </w:rPr>
              <w:t>Recommended action</w:t>
            </w:r>
          </w:p>
        </w:tc>
        <w:tc>
          <w:tcPr>
            <w:tcW w:type="dxa" w:w="7484"/>
          </w:tcPr>
          <w:p>
            <w:pPr>
              <w:spacing w:after="20" w:before="0"/>
            </w:pPr>
            <w:r/>
            <w:r>
              <w:rPr>
                <w:rFonts w:ascii="Lato" w:hAnsi="Lato" w:cs="Lato"/>
                <w:b w:val="0"/>
                <w:i w:val="0"/>
                <w:color w:val="2B2F33"/>
                <w:sz w:val="17"/>
              </w:rPr>
              <w:t>Either add a modest criminal/regulatory defence-costs extension to S12, or add an express cross-reference noting that statutory/criminal defence is provided under S13/S14.</w:t>
            </w:r>
          </w:p>
        </w:tc>
      </w:tr>
      <w:tr>
        <w:tc>
          <w:tcPr>
            <w:tcW w:type="dxa" w:w="2381"/>
            <w:shd w:val="clear" w:color="auto" w:fill="EAF1F5"/>
          </w:tcPr>
          <w:p>
            <w:pPr>
              <w:spacing w:after="20" w:before="0"/>
            </w:pPr>
            <w:r/>
            <w:r>
              <w:rPr>
                <w:rFonts w:ascii="Lato" w:hAnsi="Lato" w:cs="Lato"/>
                <w:b/>
                <w:i w:val="0"/>
                <w:color w:val="00648B"/>
                <w:sz w:val="17"/>
              </w:rPr>
              <w:t>Exact policy location</w:t>
            </w:r>
          </w:p>
        </w:tc>
        <w:tc>
          <w:tcPr>
            <w:tcW w:type="dxa" w:w="7484"/>
          </w:tcPr>
          <w:p>
            <w:pPr>
              <w:spacing w:after="20" w:before="0"/>
            </w:pPr>
            <w:r/>
            <w:r>
              <w:rPr>
                <w:rFonts w:ascii="Lato" w:hAnsi="Lato" w:cs="Lato"/>
                <w:b w:val="0"/>
                <w:i w:val="0"/>
                <w:color w:val="2B2F33"/>
                <w:sz w:val="17"/>
              </w:rPr>
              <w:t>Section 12 — either a new sub-limited extension, or a cross-reference note after the Defence Costs provisions (p.73+).</w:t>
            </w:r>
          </w:p>
        </w:tc>
      </w:tr>
      <w:tr>
        <w:tc>
          <w:tcPr>
            <w:tcW w:type="dxa" w:w="2381"/>
            <w:shd w:val="clear" w:color="auto" w:fill="EAF1F5"/>
          </w:tcPr>
          <w:p>
            <w:pPr>
              <w:spacing w:after="20" w:before="0"/>
            </w:pPr>
            <w:r/>
            <w:r>
              <w:rPr>
                <w:rFonts w:ascii="Lato" w:hAnsi="Lato" w:cs="Lato"/>
                <w:b/>
                <w:i w:val="0"/>
                <w:color w:val="00648B"/>
                <w:sz w:val="17"/>
              </w:rPr>
              <w:t>Copy-paste-ready wording</w:t>
            </w:r>
          </w:p>
        </w:tc>
        <w:tc>
          <w:tcPr>
            <w:tcW w:type="dxa" w:w="7484"/>
          </w:tcPr>
          <w:p>
            <w:pPr>
              <w:spacing w:after="20" w:before="0"/>
            </w:pPr>
            <w:r/>
            <w:r>
              <w:rPr>
                <w:rFonts w:ascii="Lato" w:hAnsi="Lato" w:cs="Lato"/>
                <w:b w:val="0"/>
                <w:i w:val="0"/>
                <w:color w:val="2B2F33"/>
                <w:sz w:val="17"/>
              </w:rPr>
              <w:t>Criminal and Regulatory Defence Costs (Clarification / Optional) — For the avoidance of doubt, the defence of statutory, regulatory or criminal proceedings arising from the Business (other than the Data Protection defence costs expressly provided in this Section) is addressed under Section 13 (Commercial Legal Expenses) and Section 14 (Management Liability). Where stated as operative in the Schedule, this Section will in addition indemnify the Insured for defence costs incurred with the Insurer’s prior written consent up to GBP [ ] in respect of such proceedings.</w:t>
            </w:r>
          </w:p>
        </w:tc>
      </w:tr>
      <w:tr>
        <w:tc>
          <w:tcPr>
            <w:tcW w:type="dxa" w:w="2381"/>
            <w:shd w:val="clear" w:color="auto" w:fill="EAF1F5"/>
          </w:tcPr>
          <w:p>
            <w:pPr>
              <w:spacing w:after="20" w:before="0"/>
            </w:pPr>
            <w:r/>
            <w:r>
              <w:rPr>
                <w:rFonts w:ascii="Lato" w:hAnsi="Lato" w:cs="Lato"/>
                <w:b/>
                <w:i w:val="0"/>
                <w:color w:val="00648B"/>
                <w:sz w:val="17"/>
              </w:rPr>
              <w:t>Priority</w:t>
            </w:r>
          </w:p>
        </w:tc>
        <w:tc>
          <w:tcPr>
            <w:tcW w:type="dxa" w:w="7484"/>
          </w:tcPr>
          <w:p>
            <w:pPr>
              <w:spacing w:after="20" w:before="0"/>
            </w:pPr>
            <w:r/>
            <w:r>
              <w:rPr>
                <w:rFonts w:ascii="Lato" w:hAnsi="Lato" w:cs="Lato"/>
                <w:b w:val="0"/>
                <w:i w:val="0"/>
                <w:color w:val="2B2F33"/>
                <w:sz w:val="17"/>
              </w:rPr>
              <w:t>Medium-High</w:t>
            </w:r>
          </w:p>
        </w:tc>
      </w:tr>
      <w:tr>
        <w:tc>
          <w:tcPr>
            <w:tcW w:type="dxa" w:w="2381"/>
            <w:shd w:val="clear" w:color="auto" w:fill="EAF1F5"/>
          </w:tcPr>
          <w:p>
            <w:pPr>
              <w:spacing w:after="20" w:before="0"/>
            </w:pPr>
            <w:r/>
            <w:r>
              <w:rPr>
                <w:rFonts w:ascii="Lato" w:hAnsi="Lato" w:cs="Lato"/>
                <w:b/>
                <w:i w:val="0"/>
                <w:color w:val="00648B"/>
                <w:sz w:val="17"/>
              </w:rPr>
              <w:t>Underwriting impact</w:t>
            </w:r>
          </w:p>
        </w:tc>
        <w:tc>
          <w:tcPr>
            <w:tcW w:type="dxa" w:w="7484"/>
          </w:tcPr>
          <w:p>
            <w:pPr>
              <w:spacing w:after="20" w:before="0"/>
            </w:pPr>
            <w:r/>
            <w:r>
              <w:rPr>
                <w:rFonts w:ascii="Lato" w:hAnsi="Lato" w:cs="Lato"/>
                <w:b w:val="0"/>
                <w:i w:val="0"/>
                <w:color w:val="2B2F33"/>
                <w:sz w:val="17"/>
              </w:rPr>
              <w:t>Low–medium — cross-reference is essentially nil-cost; any S12 sub-limit should be modest.</w:t>
            </w:r>
          </w:p>
        </w:tc>
      </w:tr>
      <w:tr>
        <w:tc>
          <w:tcPr>
            <w:tcW w:type="dxa" w:w="2381"/>
            <w:shd w:val="clear" w:color="auto" w:fill="EAF1F5"/>
          </w:tcPr>
          <w:p>
            <w:pPr>
              <w:spacing w:after="20" w:before="0"/>
            </w:pPr>
            <w:r/>
            <w:r>
              <w:rPr>
                <w:rFonts w:ascii="Lato" w:hAnsi="Lato" w:cs="Lato"/>
                <w:b/>
                <w:i w:val="0"/>
                <w:color w:val="00648B"/>
                <w:sz w:val="17"/>
              </w:rPr>
              <w:t>Legal sign-off required</w:t>
            </w:r>
          </w:p>
        </w:tc>
        <w:tc>
          <w:tcPr>
            <w:tcW w:type="dxa" w:w="7484"/>
          </w:tcPr>
          <w:p>
            <w:pPr>
              <w:spacing w:after="20" w:before="0"/>
            </w:pPr>
            <w:r/>
            <w:r>
              <w:rPr>
                <w:rFonts w:ascii="Lato" w:hAnsi="Lato" w:cs="Lato"/>
                <w:b w:val="0"/>
                <w:i w:val="0"/>
                <w:color w:val="2B2F33"/>
                <w:sz w:val="17"/>
              </w:rPr>
              <w:t>Yes</w:t>
            </w:r>
          </w:p>
        </w:tc>
      </w:tr>
      <w:tr>
        <w:tc>
          <w:tcPr>
            <w:tcW w:type="dxa" w:w="2381"/>
            <w:shd w:val="clear" w:color="auto" w:fill="EAF1F5"/>
          </w:tcPr>
          <w:p>
            <w:pPr>
              <w:spacing w:after="20" w:before="0"/>
            </w:pPr>
            <w:r/>
            <w:r>
              <w:rPr>
                <w:rFonts w:ascii="Lato" w:hAnsi="Lato" w:cs="Lato"/>
                <w:b/>
                <w:i w:val="0"/>
                <w:color w:val="00648B"/>
                <w:sz w:val="17"/>
              </w:rPr>
              <w:t>Implemented now or parked</w:t>
            </w:r>
          </w:p>
        </w:tc>
        <w:tc>
          <w:tcPr>
            <w:tcW w:type="dxa" w:w="7484"/>
          </w:tcPr>
          <w:p>
            <w:pPr>
              <w:spacing w:after="20" w:before="0"/>
            </w:pPr>
            <w:r/>
            <w:r>
              <w:rPr>
                <w:rFonts w:ascii="Lato" w:hAnsi="Lato" w:cs="Lato"/>
                <w:b w:val="0"/>
                <w:i w:val="0"/>
                <w:color w:val="2B2F33"/>
                <w:sz w:val="17"/>
              </w:rPr>
              <w:t>Not implemented (Section 12 — sign-off)</w:t>
            </w:r>
          </w:p>
        </w:tc>
      </w:tr>
      <w:tr>
        <w:tc>
          <w:tcPr>
            <w:tcW w:type="dxa" w:w="2381"/>
            <w:shd w:val="clear" w:color="auto" w:fill="EAF1F5"/>
          </w:tcPr>
          <w:p>
            <w:pPr>
              <w:spacing w:after="20" w:before="0"/>
            </w:pPr>
            <w:r/>
            <w:r>
              <w:rPr>
                <w:rFonts w:ascii="Lato" w:hAnsi="Lato" w:cs="Lato"/>
                <w:b/>
                <w:i w:val="0"/>
                <w:color w:val="00648B"/>
                <w:sz w:val="17"/>
              </w:rPr>
              <w:t>Commercial benefit</w:t>
            </w:r>
          </w:p>
        </w:tc>
        <w:tc>
          <w:tcPr>
            <w:tcW w:type="dxa" w:w="7484"/>
          </w:tcPr>
          <w:p>
            <w:pPr>
              <w:spacing w:after="20" w:before="0"/>
            </w:pPr>
            <w:r/>
            <w:r>
              <w:rPr>
                <w:rFonts w:ascii="Lato" w:hAnsi="Lato" w:cs="Lato"/>
                <w:b w:val="0"/>
                <w:i w:val="0"/>
                <w:color w:val="2B2F33"/>
                <w:sz w:val="17"/>
              </w:rPr>
              <w:t>Removes an apparent gap with minimal added exposure.</w:t>
            </w:r>
          </w:p>
        </w:tc>
      </w:tr>
      <w:tr>
        <w:tc>
          <w:tcPr>
            <w:tcW w:type="dxa" w:w="2381"/>
            <w:shd w:val="clear" w:color="auto" w:fill="EAF1F5"/>
          </w:tcPr>
          <w:p>
            <w:pPr>
              <w:spacing w:after="20" w:before="0"/>
            </w:pPr>
            <w:r/>
            <w:r>
              <w:rPr>
                <w:rFonts w:ascii="Lato" w:hAnsi="Lato" w:cs="Lato"/>
                <w:b/>
                <w:i w:val="0"/>
                <w:color w:val="00648B"/>
                <w:sz w:val="17"/>
              </w:rPr>
              <w:t>Legal / underwriting review</w:t>
            </w:r>
          </w:p>
        </w:tc>
        <w:tc>
          <w:tcPr>
            <w:tcW w:type="dxa" w:w="7484"/>
          </w:tcPr>
          <w:p>
            <w:pPr>
              <w:spacing w:after="20" w:before="0"/>
            </w:pPr>
            <w:r/>
            <w:r>
              <w:rPr>
                <w:rFonts w:ascii="Lato" w:hAnsi="Lato" w:cs="Lato"/>
                <w:b w:val="0"/>
                <w:i w:val="0"/>
                <w:color w:val="2B2F33"/>
                <w:sz w:val="17"/>
              </w:rPr>
              <w:t>Confirm S13/S14 triggers; draft cross-reference wording.</w:t>
            </w:r>
          </w:p>
        </w:tc>
      </w:tr>
    </w:tbl>
    <w:p>
      <w:pPr>
        <w:spacing w:after="160"/>
      </w:pPr>
    </w:p>
    <w:p>
      <w:pPr>
        <w:keepNext/>
        <w:spacing w:before="180" w:after="40"/>
      </w:pPr>
      <w:r>
        <w:rPr>
          <w:rFonts w:ascii="Lato" w:hAnsi="Lato" w:cs="Lato"/>
          <w:b/>
          <w:i w:val="0"/>
          <w:color w:val="00648B"/>
          <w:sz w:val="23"/>
        </w:rPr>
        <w:t>Gap 4.  Add a Distributors &amp; Purchasers extension to Media Liability</w:t>
      </w:r>
      <w:r>
        <w:rPr>
          <w:rFonts w:ascii="Lato" w:hAnsi="Lato" w:cs="Lato"/>
          <w:b/>
          <w:i w:val="0"/>
          <w:color w:val="8A6A1E"/>
          <w:sz w:val="18"/>
        </w:rPr>
        <w:t xml:space="preserve">   [ Priority: Medium ]</w:t>
      </w:r>
      <w:r>
        <w:rPr>
          <w:rFonts w:ascii="Lato" w:hAnsi="Lato" w:cs="Lato"/>
          <w:b/>
          <w:i w:val="0"/>
          <w:color w:val="8A6A1E"/>
          <w:sz w:val="18"/>
        </w:rPr>
        <w:t xml:space="preserve">    [ Round 7: Parked — Section 12 sign-off list ]</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Competitor(s)</w:t>
            </w:r>
          </w:p>
        </w:tc>
        <w:tc>
          <w:tcPr>
            <w:tcW w:type="dxa" w:w="7484"/>
          </w:tcPr>
          <w:p>
            <w:pPr>
              <w:spacing w:after="20" w:before="0"/>
            </w:pPr>
            <w:r/>
            <w:r>
              <w:rPr>
                <w:rFonts w:ascii="Lato" w:hAnsi="Lato" w:cs="Lato"/>
                <w:b w:val="0"/>
                <w:i w:val="0"/>
                <w:color w:val="2B2F33"/>
                <w:sz w:val="17"/>
              </w:rPr>
              <w:t>Tysers (clause 8.7, up to 5x limit)</w:t>
            </w:r>
          </w:p>
        </w:tc>
      </w:tr>
      <w:tr>
        <w:tc>
          <w:tcPr>
            <w:tcW w:type="dxa" w:w="2381"/>
            <w:shd w:val="clear" w:color="auto" w:fill="EAF1F5"/>
          </w:tcPr>
          <w:p>
            <w:pPr>
              <w:spacing w:after="20" w:before="0"/>
            </w:pPr>
            <w:r/>
            <w:r>
              <w:rPr>
                <w:rFonts w:ascii="Lato" w:hAnsi="Lato" w:cs="Lato"/>
                <w:b/>
                <w:i w:val="0"/>
                <w:color w:val="00648B"/>
                <w:sz w:val="17"/>
              </w:rPr>
              <w:t>What the competitor does</w:t>
            </w:r>
          </w:p>
        </w:tc>
        <w:tc>
          <w:tcPr>
            <w:tcW w:type="dxa" w:w="7484"/>
          </w:tcPr>
          <w:p>
            <w:pPr>
              <w:spacing w:after="20" w:before="0"/>
            </w:pPr>
            <w:r/>
            <w:r>
              <w:rPr>
                <w:rFonts w:ascii="Lato" w:hAnsi="Lato" w:cs="Lato"/>
                <w:b w:val="0"/>
                <w:i w:val="0"/>
                <w:color w:val="2B2F33"/>
                <w:sz w:val="17"/>
              </w:rPr>
              <w:t>Extends indemnity to purchasers/co-producers/distributors of the insured’s media material, subject to control-of-defence and notice conditions.</w:t>
            </w:r>
          </w:p>
        </w:tc>
      </w:tr>
      <w:tr>
        <w:tc>
          <w:tcPr>
            <w:tcW w:type="dxa" w:w="2381"/>
            <w:shd w:val="clear" w:color="auto" w:fill="EAF1F5"/>
          </w:tcPr>
          <w:p>
            <w:pPr>
              <w:spacing w:after="20" w:before="0"/>
            </w:pPr>
            <w:r/>
            <w:r>
              <w:rPr>
                <w:rFonts w:ascii="Lato" w:hAnsi="Lato" w:cs="Lato"/>
                <w:b/>
                <w:i w:val="0"/>
                <w:color w:val="00648B"/>
                <w:sz w:val="17"/>
              </w:rPr>
              <w:t>Current TMHCC position</w:t>
            </w:r>
          </w:p>
        </w:tc>
        <w:tc>
          <w:tcPr>
            <w:tcW w:type="dxa" w:w="7484"/>
          </w:tcPr>
          <w:p>
            <w:pPr>
              <w:spacing w:after="20" w:before="0"/>
            </w:pPr>
            <w:r/>
            <w:r>
              <w:rPr>
                <w:rFonts w:ascii="Lato" w:hAnsi="Lato" w:cs="Lato"/>
                <w:b w:val="0"/>
                <w:i w:val="0"/>
                <w:color w:val="2B2F33"/>
                <w:sz w:val="17"/>
              </w:rPr>
              <w:t>No equivalent extension.</w:t>
            </w:r>
          </w:p>
        </w:tc>
      </w:tr>
      <w:tr>
        <w:tc>
          <w:tcPr>
            <w:tcW w:type="dxa" w:w="2381"/>
            <w:shd w:val="clear" w:color="auto" w:fill="EAF1F5"/>
          </w:tcPr>
          <w:p>
            <w:pPr>
              <w:spacing w:after="20" w:before="0"/>
            </w:pPr>
            <w:r/>
            <w:r>
              <w:rPr>
                <w:rFonts w:ascii="Lato" w:hAnsi="Lato" w:cs="Lato"/>
                <w:b/>
                <w:i w:val="0"/>
                <w:color w:val="00648B"/>
                <w:sz w:val="17"/>
              </w:rPr>
              <w:t>Gap / opportunity</w:t>
            </w:r>
          </w:p>
        </w:tc>
        <w:tc>
          <w:tcPr>
            <w:tcW w:type="dxa" w:w="7484"/>
          </w:tcPr>
          <w:p>
            <w:pPr>
              <w:spacing w:after="20" w:before="0"/>
            </w:pPr>
            <w:r/>
            <w:r>
              <w:rPr>
                <w:rFonts w:ascii="Lato" w:hAnsi="Lato" w:cs="Lato"/>
                <w:b w:val="0"/>
                <w:i w:val="0"/>
                <w:color w:val="2B2F33"/>
                <w:sz w:val="17"/>
              </w:rPr>
              <w:t>Production/distribution clients expect their distribution chain to be protected.</w:t>
            </w:r>
          </w:p>
        </w:tc>
      </w:tr>
      <w:tr>
        <w:tc>
          <w:tcPr>
            <w:tcW w:type="dxa" w:w="2381"/>
            <w:shd w:val="clear" w:color="auto" w:fill="EAF1F5"/>
          </w:tcPr>
          <w:p>
            <w:pPr>
              <w:spacing w:after="20" w:before="0"/>
            </w:pPr>
            <w:r/>
            <w:r>
              <w:rPr>
                <w:rFonts w:ascii="Lato" w:hAnsi="Lato" w:cs="Lato"/>
                <w:b/>
                <w:i w:val="0"/>
                <w:color w:val="00648B"/>
                <w:sz w:val="17"/>
              </w:rPr>
              <w:t>Recommended action</w:t>
            </w:r>
          </w:p>
        </w:tc>
        <w:tc>
          <w:tcPr>
            <w:tcW w:type="dxa" w:w="7484"/>
          </w:tcPr>
          <w:p>
            <w:pPr>
              <w:spacing w:after="20" w:before="0"/>
            </w:pPr>
            <w:r/>
            <w:r>
              <w:rPr>
                <w:rFonts w:ascii="Lato" w:hAnsi="Lato" w:cs="Lato"/>
                <w:b w:val="0"/>
                <w:i w:val="0"/>
                <w:color w:val="2B2F33"/>
                <w:sz w:val="17"/>
              </w:rPr>
              <w:t>Add an optional Distributors &amp; Purchasers extension with a capped aggregate (e.g. a multiple of the limit) and clear conditions.</w:t>
            </w:r>
          </w:p>
        </w:tc>
      </w:tr>
      <w:tr>
        <w:tc>
          <w:tcPr>
            <w:tcW w:type="dxa" w:w="2381"/>
            <w:shd w:val="clear" w:color="auto" w:fill="EAF1F5"/>
          </w:tcPr>
          <w:p>
            <w:pPr>
              <w:spacing w:after="20" w:before="0"/>
            </w:pPr>
            <w:r/>
            <w:r>
              <w:rPr>
                <w:rFonts w:ascii="Lato" w:hAnsi="Lato" w:cs="Lato"/>
                <w:b/>
                <w:i w:val="0"/>
                <w:color w:val="00648B"/>
                <w:sz w:val="17"/>
              </w:rPr>
              <w:t>Exact policy location</w:t>
            </w:r>
          </w:p>
        </w:tc>
        <w:tc>
          <w:tcPr>
            <w:tcW w:type="dxa" w:w="7484"/>
          </w:tcPr>
          <w:p>
            <w:pPr>
              <w:spacing w:after="20" w:before="0"/>
            </w:pPr>
            <w:r/>
            <w:r>
              <w:rPr>
                <w:rFonts w:ascii="Lato" w:hAnsi="Lato" w:cs="Lato"/>
                <w:b w:val="0"/>
                <w:i w:val="0"/>
                <w:color w:val="2B2F33"/>
                <w:sz w:val="17"/>
              </w:rPr>
              <w:t>Section 12, new Optional Extension within the Extensions block (p.73+).</w:t>
            </w:r>
          </w:p>
        </w:tc>
      </w:tr>
      <w:tr>
        <w:tc>
          <w:tcPr>
            <w:tcW w:type="dxa" w:w="2381"/>
            <w:shd w:val="clear" w:color="auto" w:fill="EAF1F5"/>
          </w:tcPr>
          <w:p>
            <w:pPr>
              <w:spacing w:after="20" w:before="0"/>
            </w:pPr>
            <w:r/>
            <w:r>
              <w:rPr>
                <w:rFonts w:ascii="Lato" w:hAnsi="Lato" w:cs="Lato"/>
                <w:b/>
                <w:i w:val="0"/>
                <w:color w:val="00648B"/>
                <w:sz w:val="17"/>
              </w:rPr>
              <w:t>Copy-paste-ready wording</w:t>
            </w:r>
          </w:p>
        </w:tc>
        <w:tc>
          <w:tcPr>
            <w:tcW w:type="dxa" w:w="7484"/>
          </w:tcPr>
          <w:p>
            <w:pPr>
              <w:spacing w:after="20" w:before="0"/>
            </w:pPr>
            <w:r/>
            <w:r>
              <w:rPr>
                <w:rFonts w:ascii="Lato" w:hAnsi="Lato" w:cs="Lato"/>
                <w:b w:val="0"/>
                <w:i w:val="0"/>
                <w:color w:val="2B2F33"/>
                <w:sz w:val="17"/>
              </w:rPr>
              <w:t>Distributors and Purchasers (Optional) — The indemnity provided by this Section extends to any distributor, licensee, co-producer or purchaser of the Insured’s media material for their liability arising from that material, provided that: (a) the Insurer’s total liability for all such parties shall not exceed the multiple of the Limit of Liability stated in the Schedule; (b) the claim is first made within 36 months of the relevant supply; and (c) the Insurer retains control of the defence and settlement of any such claim.</w:t>
            </w:r>
          </w:p>
        </w:tc>
      </w:tr>
      <w:tr>
        <w:tc>
          <w:tcPr>
            <w:tcW w:type="dxa" w:w="2381"/>
            <w:shd w:val="clear" w:color="auto" w:fill="EAF1F5"/>
          </w:tcPr>
          <w:p>
            <w:pPr>
              <w:spacing w:after="20" w:before="0"/>
            </w:pPr>
            <w:r/>
            <w:r>
              <w:rPr>
                <w:rFonts w:ascii="Lato" w:hAnsi="Lato" w:cs="Lato"/>
                <w:b/>
                <w:i w:val="0"/>
                <w:color w:val="00648B"/>
                <w:sz w:val="17"/>
              </w:rPr>
              <w:t>Priority</w:t>
            </w:r>
          </w:p>
        </w:tc>
        <w:tc>
          <w:tcPr>
            <w:tcW w:type="dxa" w:w="7484"/>
          </w:tcPr>
          <w:p>
            <w:pPr>
              <w:spacing w:after="20" w:before="0"/>
            </w:pPr>
            <w:r/>
            <w:r>
              <w:rPr>
                <w:rFonts w:ascii="Lato" w:hAnsi="Lato" w:cs="Lato"/>
                <w:b w:val="0"/>
                <w:i w:val="0"/>
                <w:color w:val="2B2F33"/>
                <w:sz w:val="17"/>
              </w:rPr>
              <w:t>Medium</w:t>
            </w:r>
          </w:p>
        </w:tc>
      </w:tr>
      <w:tr>
        <w:tc>
          <w:tcPr>
            <w:tcW w:type="dxa" w:w="2381"/>
            <w:shd w:val="clear" w:color="auto" w:fill="EAF1F5"/>
          </w:tcPr>
          <w:p>
            <w:pPr>
              <w:spacing w:after="20" w:before="0"/>
            </w:pPr>
            <w:r/>
            <w:r>
              <w:rPr>
                <w:rFonts w:ascii="Lato" w:hAnsi="Lato" w:cs="Lato"/>
                <w:b/>
                <w:i w:val="0"/>
                <w:color w:val="00648B"/>
                <w:sz w:val="17"/>
              </w:rPr>
              <w:t>Underwriting impact</w:t>
            </w:r>
          </w:p>
        </w:tc>
        <w:tc>
          <w:tcPr>
            <w:tcW w:type="dxa" w:w="7484"/>
          </w:tcPr>
          <w:p>
            <w:pPr>
              <w:spacing w:after="20" w:before="0"/>
            </w:pPr>
            <w:r/>
            <w:r>
              <w:rPr>
                <w:rFonts w:ascii="Lato" w:hAnsi="Lato" w:cs="Lato"/>
                <w:b w:val="0"/>
                <w:i w:val="0"/>
                <w:color w:val="2B2F33"/>
                <w:sz w:val="17"/>
              </w:rPr>
              <w:t>Medium — 36-month window, certificate, control of defence, capped aggregate (mirror Tysers cl. 8.7).</w:t>
            </w:r>
          </w:p>
        </w:tc>
      </w:tr>
      <w:tr>
        <w:tc>
          <w:tcPr>
            <w:tcW w:type="dxa" w:w="2381"/>
            <w:shd w:val="clear" w:color="auto" w:fill="EAF1F5"/>
          </w:tcPr>
          <w:p>
            <w:pPr>
              <w:spacing w:after="20" w:before="0"/>
            </w:pPr>
            <w:r/>
            <w:r>
              <w:rPr>
                <w:rFonts w:ascii="Lato" w:hAnsi="Lato" w:cs="Lato"/>
                <w:b/>
                <w:i w:val="0"/>
                <w:color w:val="00648B"/>
                <w:sz w:val="17"/>
              </w:rPr>
              <w:t>Legal sign-off required</w:t>
            </w:r>
          </w:p>
        </w:tc>
        <w:tc>
          <w:tcPr>
            <w:tcW w:type="dxa" w:w="7484"/>
          </w:tcPr>
          <w:p>
            <w:pPr>
              <w:spacing w:after="20" w:before="0"/>
            </w:pPr>
            <w:r/>
            <w:r>
              <w:rPr>
                <w:rFonts w:ascii="Lato" w:hAnsi="Lato" w:cs="Lato"/>
                <w:b w:val="0"/>
                <w:i w:val="0"/>
                <w:color w:val="2B2F33"/>
                <w:sz w:val="17"/>
              </w:rPr>
              <w:t>Yes</w:t>
            </w:r>
          </w:p>
        </w:tc>
      </w:tr>
      <w:tr>
        <w:tc>
          <w:tcPr>
            <w:tcW w:type="dxa" w:w="2381"/>
            <w:shd w:val="clear" w:color="auto" w:fill="EAF1F5"/>
          </w:tcPr>
          <w:p>
            <w:pPr>
              <w:spacing w:after="20" w:before="0"/>
            </w:pPr>
            <w:r/>
            <w:r>
              <w:rPr>
                <w:rFonts w:ascii="Lato" w:hAnsi="Lato" w:cs="Lato"/>
                <w:b/>
                <w:i w:val="0"/>
                <w:color w:val="00648B"/>
                <w:sz w:val="17"/>
              </w:rPr>
              <w:t>Implemented now or parked</w:t>
            </w:r>
          </w:p>
        </w:tc>
        <w:tc>
          <w:tcPr>
            <w:tcW w:type="dxa" w:w="7484"/>
          </w:tcPr>
          <w:p>
            <w:pPr>
              <w:spacing w:after="20" w:before="0"/>
            </w:pPr>
            <w:r/>
            <w:r>
              <w:rPr>
                <w:rFonts w:ascii="Lato" w:hAnsi="Lato" w:cs="Lato"/>
                <w:b w:val="0"/>
                <w:i w:val="0"/>
                <w:color w:val="2B2F33"/>
                <w:sz w:val="17"/>
              </w:rPr>
              <w:t>Not implemented (Section 12 — sign-off)</w:t>
            </w:r>
          </w:p>
        </w:tc>
      </w:tr>
      <w:tr>
        <w:tc>
          <w:tcPr>
            <w:tcW w:type="dxa" w:w="2381"/>
            <w:shd w:val="clear" w:color="auto" w:fill="EAF1F5"/>
          </w:tcPr>
          <w:p>
            <w:pPr>
              <w:spacing w:after="20" w:before="0"/>
            </w:pPr>
            <w:r/>
            <w:r>
              <w:rPr>
                <w:rFonts w:ascii="Lato" w:hAnsi="Lato" w:cs="Lato"/>
                <w:b/>
                <w:i w:val="0"/>
                <w:color w:val="00648B"/>
                <w:sz w:val="17"/>
              </w:rPr>
              <w:t>Commercial benefit</w:t>
            </w:r>
          </w:p>
        </w:tc>
        <w:tc>
          <w:tcPr>
            <w:tcW w:type="dxa" w:w="7484"/>
          </w:tcPr>
          <w:p>
            <w:pPr>
              <w:spacing w:after="20" w:before="0"/>
            </w:pPr>
            <w:r/>
            <w:r>
              <w:rPr>
                <w:rFonts w:ascii="Lato" w:hAnsi="Lato" w:cs="Lato"/>
                <w:b w:val="0"/>
                <w:i w:val="0"/>
                <w:color w:val="2B2F33"/>
                <w:sz w:val="17"/>
              </w:rPr>
              <w:t>Strong differentiator for production-house clients.</w:t>
            </w:r>
          </w:p>
        </w:tc>
      </w:tr>
      <w:tr>
        <w:tc>
          <w:tcPr>
            <w:tcW w:type="dxa" w:w="2381"/>
            <w:shd w:val="clear" w:color="auto" w:fill="EAF1F5"/>
          </w:tcPr>
          <w:p>
            <w:pPr>
              <w:spacing w:after="20" w:before="0"/>
            </w:pPr>
            <w:r/>
            <w:r>
              <w:rPr>
                <w:rFonts w:ascii="Lato" w:hAnsi="Lato" w:cs="Lato"/>
                <w:b/>
                <w:i w:val="0"/>
                <w:color w:val="00648B"/>
                <w:sz w:val="17"/>
              </w:rPr>
              <w:t>Legal / underwriting review</w:t>
            </w:r>
          </w:p>
        </w:tc>
        <w:tc>
          <w:tcPr>
            <w:tcW w:type="dxa" w:w="7484"/>
          </w:tcPr>
          <w:p>
            <w:pPr>
              <w:spacing w:after="20" w:before="0"/>
            </w:pPr>
            <w:r/>
            <w:r>
              <w:rPr>
                <w:rFonts w:ascii="Lato" w:hAnsi="Lato" w:cs="Lato"/>
                <w:b w:val="0"/>
                <w:i w:val="0"/>
                <w:color w:val="2B2F33"/>
                <w:sz w:val="17"/>
              </w:rPr>
              <w:t>Draft extension; confirm acceptable aggregate multiple.</w:t>
            </w:r>
          </w:p>
        </w:tc>
      </w:tr>
    </w:tbl>
    <w:p>
      <w:pPr>
        <w:spacing w:after="160"/>
      </w:pPr>
    </w:p>
    <w:p>
      <w:pPr>
        <w:keepNext/>
        <w:spacing w:before="180" w:after="40"/>
      </w:pPr>
      <w:r>
        <w:rPr>
          <w:rFonts w:ascii="Lato" w:hAnsi="Lato" w:cs="Lato"/>
          <w:b/>
          <w:i w:val="0"/>
          <w:color w:val="00648B"/>
          <w:sz w:val="23"/>
        </w:rPr>
        <w:t>Gap 5.  Add journalistic source-protection costs to Media Liability</w:t>
      </w:r>
      <w:r>
        <w:rPr>
          <w:rFonts w:ascii="Lato" w:hAnsi="Lato" w:cs="Lato"/>
          <w:b/>
          <w:i w:val="0"/>
          <w:color w:val="8A6A1E"/>
          <w:sz w:val="18"/>
        </w:rPr>
        <w:t xml:space="preserve">   [ Priority: Medium ]</w:t>
      </w:r>
      <w:r>
        <w:rPr>
          <w:rFonts w:ascii="Lato" w:hAnsi="Lato" w:cs="Lato"/>
          <w:b/>
          <w:i w:val="0"/>
          <w:color w:val="8A6A1E"/>
          <w:sz w:val="18"/>
        </w:rPr>
        <w:t xml:space="preserve">    [ Round 7: Parked — Section 12 sign-off list ]</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Competitor(s)</w:t>
            </w:r>
          </w:p>
        </w:tc>
        <w:tc>
          <w:tcPr>
            <w:tcW w:type="dxa" w:w="7484"/>
          </w:tcPr>
          <w:p>
            <w:pPr>
              <w:spacing w:after="20" w:before="0"/>
            </w:pPr>
            <w:r/>
            <w:r>
              <w:rPr>
                <w:rFonts w:ascii="Lato" w:hAnsi="Lato" w:cs="Lato"/>
                <w:b w:val="0"/>
                <w:i w:val="0"/>
                <w:color w:val="2B2F33"/>
                <w:sz w:val="17"/>
              </w:rPr>
              <w:t>Tysers (clause 8.13)</w:t>
            </w:r>
          </w:p>
        </w:tc>
      </w:tr>
      <w:tr>
        <w:tc>
          <w:tcPr>
            <w:tcW w:type="dxa" w:w="2381"/>
            <w:shd w:val="clear" w:color="auto" w:fill="EAF1F5"/>
          </w:tcPr>
          <w:p>
            <w:pPr>
              <w:spacing w:after="20" w:before="0"/>
            </w:pPr>
            <w:r/>
            <w:r>
              <w:rPr>
                <w:rFonts w:ascii="Lato" w:hAnsi="Lato" w:cs="Lato"/>
                <w:b/>
                <w:i w:val="0"/>
                <w:color w:val="00648B"/>
                <w:sz w:val="17"/>
              </w:rPr>
              <w:t>What the competitor does</w:t>
            </w:r>
          </w:p>
        </w:tc>
        <w:tc>
          <w:tcPr>
            <w:tcW w:type="dxa" w:w="7484"/>
          </w:tcPr>
          <w:p>
            <w:pPr>
              <w:spacing w:after="20" w:before="0"/>
            </w:pPr>
            <w:r/>
            <w:r>
              <w:rPr>
                <w:rFonts w:ascii="Lato" w:hAnsi="Lato" w:cs="Lato"/>
                <w:b w:val="0"/>
                <w:i w:val="0"/>
                <w:color w:val="2B2F33"/>
                <w:sz w:val="17"/>
              </w:rPr>
              <w:t>Funds legal costs to challenge a subpoena/court order requiring disclosure of a source.</w:t>
            </w:r>
          </w:p>
        </w:tc>
      </w:tr>
      <w:tr>
        <w:tc>
          <w:tcPr>
            <w:tcW w:type="dxa" w:w="2381"/>
            <w:shd w:val="clear" w:color="auto" w:fill="EAF1F5"/>
          </w:tcPr>
          <w:p>
            <w:pPr>
              <w:spacing w:after="20" w:before="0"/>
            </w:pPr>
            <w:r/>
            <w:r>
              <w:rPr>
                <w:rFonts w:ascii="Lato" w:hAnsi="Lato" w:cs="Lato"/>
                <w:b/>
                <w:i w:val="0"/>
                <w:color w:val="00648B"/>
                <w:sz w:val="17"/>
              </w:rPr>
              <w:t>Current TMHCC position</w:t>
            </w:r>
          </w:p>
        </w:tc>
        <w:tc>
          <w:tcPr>
            <w:tcW w:type="dxa" w:w="7484"/>
          </w:tcPr>
          <w:p>
            <w:pPr>
              <w:spacing w:after="20" w:before="0"/>
            </w:pPr>
            <w:r/>
            <w:r>
              <w:rPr>
                <w:rFonts w:ascii="Lato" w:hAnsi="Lato" w:cs="Lato"/>
                <w:b w:val="0"/>
                <w:i w:val="0"/>
                <w:color w:val="2B2F33"/>
                <w:sz w:val="17"/>
              </w:rPr>
              <w:t>Not provided.</w:t>
            </w:r>
          </w:p>
        </w:tc>
      </w:tr>
      <w:tr>
        <w:tc>
          <w:tcPr>
            <w:tcW w:type="dxa" w:w="2381"/>
            <w:shd w:val="clear" w:color="auto" w:fill="EAF1F5"/>
          </w:tcPr>
          <w:p>
            <w:pPr>
              <w:spacing w:after="20" w:before="0"/>
            </w:pPr>
            <w:r/>
            <w:r>
              <w:rPr>
                <w:rFonts w:ascii="Lato" w:hAnsi="Lato" w:cs="Lato"/>
                <w:b/>
                <w:i w:val="0"/>
                <w:color w:val="00648B"/>
                <w:sz w:val="17"/>
              </w:rPr>
              <w:t>Gap / opportunity</w:t>
            </w:r>
          </w:p>
        </w:tc>
        <w:tc>
          <w:tcPr>
            <w:tcW w:type="dxa" w:w="7484"/>
          </w:tcPr>
          <w:p>
            <w:pPr>
              <w:spacing w:after="20" w:before="0"/>
            </w:pPr>
            <w:r/>
            <w:r>
              <w:rPr>
                <w:rFonts w:ascii="Lato" w:hAnsi="Lato" w:cs="Lato"/>
                <w:b w:val="0"/>
                <w:i w:val="0"/>
                <w:color w:val="2B2F33"/>
                <w:sz w:val="17"/>
              </w:rPr>
              <w:t>Broker-sensitive for editorial, news and publishing clients.</w:t>
            </w:r>
          </w:p>
        </w:tc>
      </w:tr>
      <w:tr>
        <w:tc>
          <w:tcPr>
            <w:tcW w:type="dxa" w:w="2381"/>
            <w:shd w:val="clear" w:color="auto" w:fill="EAF1F5"/>
          </w:tcPr>
          <w:p>
            <w:pPr>
              <w:spacing w:after="20" w:before="0"/>
            </w:pPr>
            <w:r/>
            <w:r>
              <w:rPr>
                <w:rFonts w:ascii="Lato" w:hAnsi="Lato" w:cs="Lato"/>
                <w:b/>
                <w:i w:val="0"/>
                <w:color w:val="00648B"/>
                <w:sz w:val="17"/>
              </w:rPr>
              <w:t>Recommended action</w:t>
            </w:r>
          </w:p>
        </w:tc>
        <w:tc>
          <w:tcPr>
            <w:tcW w:type="dxa" w:w="7484"/>
          </w:tcPr>
          <w:p>
            <w:pPr>
              <w:spacing w:after="20" w:before="0"/>
            </w:pPr>
            <w:r/>
            <w:r>
              <w:rPr>
                <w:rFonts w:ascii="Lato" w:hAnsi="Lato" w:cs="Lato"/>
                <w:b w:val="0"/>
                <w:i w:val="0"/>
                <w:color w:val="2B2F33"/>
                <w:sz w:val="17"/>
              </w:rPr>
              <w:t>Add a modest sub-limited source-protection costs extension (insurer consent; reasonable prospects test).</w:t>
            </w:r>
          </w:p>
        </w:tc>
      </w:tr>
      <w:tr>
        <w:tc>
          <w:tcPr>
            <w:tcW w:type="dxa" w:w="2381"/>
            <w:shd w:val="clear" w:color="auto" w:fill="EAF1F5"/>
          </w:tcPr>
          <w:p>
            <w:pPr>
              <w:spacing w:after="20" w:before="0"/>
            </w:pPr>
            <w:r/>
            <w:r>
              <w:rPr>
                <w:rFonts w:ascii="Lato" w:hAnsi="Lato" w:cs="Lato"/>
                <w:b/>
                <w:i w:val="0"/>
                <w:color w:val="00648B"/>
                <w:sz w:val="17"/>
              </w:rPr>
              <w:t>Exact policy location</w:t>
            </w:r>
          </w:p>
        </w:tc>
        <w:tc>
          <w:tcPr>
            <w:tcW w:type="dxa" w:w="7484"/>
          </w:tcPr>
          <w:p>
            <w:pPr>
              <w:spacing w:after="20" w:before="0"/>
            </w:pPr>
            <w:r/>
            <w:r>
              <w:rPr>
                <w:rFonts w:ascii="Lato" w:hAnsi="Lato" w:cs="Lato"/>
                <w:b w:val="0"/>
                <w:i w:val="0"/>
                <w:color w:val="2B2F33"/>
                <w:sz w:val="17"/>
              </w:rPr>
              <w:t>Section 12, new sub-limited Optional Extension (p.73+).</w:t>
            </w:r>
          </w:p>
        </w:tc>
      </w:tr>
      <w:tr>
        <w:tc>
          <w:tcPr>
            <w:tcW w:type="dxa" w:w="2381"/>
            <w:shd w:val="clear" w:color="auto" w:fill="EAF1F5"/>
          </w:tcPr>
          <w:p>
            <w:pPr>
              <w:spacing w:after="20" w:before="0"/>
            </w:pPr>
            <w:r/>
            <w:r>
              <w:rPr>
                <w:rFonts w:ascii="Lato" w:hAnsi="Lato" w:cs="Lato"/>
                <w:b/>
                <w:i w:val="0"/>
                <w:color w:val="00648B"/>
                <w:sz w:val="17"/>
              </w:rPr>
              <w:t>Copy-paste-ready wording</w:t>
            </w:r>
          </w:p>
        </w:tc>
        <w:tc>
          <w:tcPr>
            <w:tcW w:type="dxa" w:w="7484"/>
          </w:tcPr>
          <w:p>
            <w:pPr>
              <w:spacing w:after="20" w:before="0"/>
            </w:pPr>
            <w:r/>
            <w:r>
              <w:rPr>
                <w:rFonts w:ascii="Lato" w:hAnsi="Lato" w:cs="Lato"/>
                <w:b w:val="0"/>
                <w:i w:val="0"/>
                <w:color w:val="2B2F33"/>
                <w:sz w:val="17"/>
              </w:rPr>
              <w:t>Journalistic Source Protection Costs (Optional) — The Insurer will pay, up to the sub-limit stated in the Schedule, legal costs reasonably incurred with the Insurer’s prior written consent in resisting any subpoena, application or court order that would require the Insured to disclose a confidential journalistic source, provided there are reasonable prospects of successfully resisting such disclosure.</w:t>
            </w:r>
          </w:p>
        </w:tc>
      </w:tr>
      <w:tr>
        <w:tc>
          <w:tcPr>
            <w:tcW w:type="dxa" w:w="2381"/>
            <w:shd w:val="clear" w:color="auto" w:fill="EAF1F5"/>
          </w:tcPr>
          <w:p>
            <w:pPr>
              <w:spacing w:after="20" w:before="0"/>
            </w:pPr>
            <w:r/>
            <w:r>
              <w:rPr>
                <w:rFonts w:ascii="Lato" w:hAnsi="Lato" w:cs="Lato"/>
                <w:b/>
                <w:i w:val="0"/>
                <w:color w:val="00648B"/>
                <w:sz w:val="17"/>
              </w:rPr>
              <w:t>Priority</w:t>
            </w:r>
          </w:p>
        </w:tc>
        <w:tc>
          <w:tcPr>
            <w:tcW w:type="dxa" w:w="7484"/>
          </w:tcPr>
          <w:p>
            <w:pPr>
              <w:spacing w:after="20" w:before="0"/>
            </w:pPr>
            <w:r/>
            <w:r>
              <w:rPr>
                <w:rFonts w:ascii="Lato" w:hAnsi="Lato" w:cs="Lato"/>
                <w:b w:val="0"/>
                <w:i w:val="0"/>
                <w:color w:val="2B2F33"/>
                <w:sz w:val="17"/>
              </w:rPr>
              <w:t>Medium</w:t>
            </w:r>
          </w:p>
        </w:tc>
      </w:tr>
      <w:tr>
        <w:tc>
          <w:tcPr>
            <w:tcW w:type="dxa" w:w="2381"/>
            <w:shd w:val="clear" w:color="auto" w:fill="EAF1F5"/>
          </w:tcPr>
          <w:p>
            <w:pPr>
              <w:spacing w:after="20" w:before="0"/>
            </w:pPr>
            <w:r/>
            <w:r>
              <w:rPr>
                <w:rFonts w:ascii="Lato" w:hAnsi="Lato" w:cs="Lato"/>
                <w:b/>
                <w:i w:val="0"/>
                <w:color w:val="00648B"/>
                <w:sz w:val="17"/>
              </w:rPr>
              <w:t>Underwriting impact</w:t>
            </w:r>
          </w:p>
        </w:tc>
        <w:tc>
          <w:tcPr>
            <w:tcW w:type="dxa" w:w="7484"/>
          </w:tcPr>
          <w:p>
            <w:pPr>
              <w:spacing w:after="20" w:before="0"/>
            </w:pPr>
            <w:r/>
            <w:r>
              <w:rPr>
                <w:rFonts w:ascii="Lato" w:hAnsi="Lato" w:cs="Lato"/>
                <w:b w:val="0"/>
                <w:i w:val="0"/>
                <w:color w:val="2B2F33"/>
                <w:sz w:val="17"/>
              </w:rPr>
              <w:t>Low — small sub-limit; consent and prospects-of-success conditions (mirror Tysers cl. 8.13).</w:t>
            </w:r>
          </w:p>
        </w:tc>
      </w:tr>
      <w:tr>
        <w:tc>
          <w:tcPr>
            <w:tcW w:type="dxa" w:w="2381"/>
            <w:shd w:val="clear" w:color="auto" w:fill="EAF1F5"/>
          </w:tcPr>
          <w:p>
            <w:pPr>
              <w:spacing w:after="20" w:before="0"/>
            </w:pPr>
            <w:r/>
            <w:r>
              <w:rPr>
                <w:rFonts w:ascii="Lato" w:hAnsi="Lato" w:cs="Lato"/>
                <w:b/>
                <w:i w:val="0"/>
                <w:color w:val="00648B"/>
                <w:sz w:val="17"/>
              </w:rPr>
              <w:t>Legal sign-off required</w:t>
            </w:r>
          </w:p>
        </w:tc>
        <w:tc>
          <w:tcPr>
            <w:tcW w:type="dxa" w:w="7484"/>
          </w:tcPr>
          <w:p>
            <w:pPr>
              <w:spacing w:after="20" w:before="0"/>
            </w:pPr>
            <w:r/>
            <w:r>
              <w:rPr>
                <w:rFonts w:ascii="Lato" w:hAnsi="Lato" w:cs="Lato"/>
                <w:b w:val="0"/>
                <w:i w:val="0"/>
                <w:color w:val="2B2F33"/>
                <w:sz w:val="17"/>
              </w:rPr>
              <w:t>Yes</w:t>
            </w:r>
          </w:p>
        </w:tc>
      </w:tr>
      <w:tr>
        <w:tc>
          <w:tcPr>
            <w:tcW w:type="dxa" w:w="2381"/>
            <w:shd w:val="clear" w:color="auto" w:fill="EAF1F5"/>
          </w:tcPr>
          <w:p>
            <w:pPr>
              <w:spacing w:after="20" w:before="0"/>
            </w:pPr>
            <w:r/>
            <w:r>
              <w:rPr>
                <w:rFonts w:ascii="Lato" w:hAnsi="Lato" w:cs="Lato"/>
                <w:b/>
                <w:i w:val="0"/>
                <w:color w:val="00648B"/>
                <w:sz w:val="17"/>
              </w:rPr>
              <w:t>Implemented now or parked</w:t>
            </w:r>
          </w:p>
        </w:tc>
        <w:tc>
          <w:tcPr>
            <w:tcW w:type="dxa" w:w="7484"/>
          </w:tcPr>
          <w:p>
            <w:pPr>
              <w:spacing w:after="20" w:before="0"/>
            </w:pPr>
            <w:r/>
            <w:r>
              <w:rPr>
                <w:rFonts w:ascii="Lato" w:hAnsi="Lato" w:cs="Lato"/>
                <w:b w:val="0"/>
                <w:i w:val="0"/>
                <w:color w:val="2B2F33"/>
                <w:sz w:val="17"/>
              </w:rPr>
              <w:t>Not implemented (Section 12 — sign-off)</w:t>
            </w:r>
          </w:p>
        </w:tc>
      </w:tr>
      <w:tr>
        <w:tc>
          <w:tcPr>
            <w:tcW w:type="dxa" w:w="2381"/>
            <w:shd w:val="clear" w:color="auto" w:fill="EAF1F5"/>
          </w:tcPr>
          <w:p>
            <w:pPr>
              <w:spacing w:after="20" w:before="0"/>
            </w:pPr>
            <w:r/>
            <w:r>
              <w:rPr>
                <w:rFonts w:ascii="Lato" w:hAnsi="Lato" w:cs="Lato"/>
                <w:b/>
                <w:i w:val="0"/>
                <w:color w:val="00648B"/>
                <w:sz w:val="17"/>
              </w:rPr>
              <w:t>Commercial benefit</w:t>
            </w:r>
          </w:p>
        </w:tc>
        <w:tc>
          <w:tcPr>
            <w:tcW w:type="dxa" w:w="7484"/>
          </w:tcPr>
          <w:p>
            <w:pPr>
              <w:spacing w:after="20" w:before="0"/>
            </w:pPr>
            <w:r/>
            <w:r>
              <w:rPr>
                <w:rFonts w:ascii="Lato" w:hAnsi="Lato" w:cs="Lato"/>
                <w:b w:val="0"/>
                <w:i w:val="0"/>
                <w:color w:val="2B2F33"/>
                <w:sz w:val="17"/>
              </w:rPr>
              <w:t>Distinctive, low-frequency, brand-positive cover.</w:t>
            </w:r>
          </w:p>
        </w:tc>
      </w:tr>
      <w:tr>
        <w:tc>
          <w:tcPr>
            <w:tcW w:type="dxa" w:w="2381"/>
            <w:shd w:val="clear" w:color="auto" w:fill="EAF1F5"/>
          </w:tcPr>
          <w:p>
            <w:pPr>
              <w:spacing w:after="20" w:before="0"/>
            </w:pPr>
            <w:r/>
            <w:r>
              <w:rPr>
                <w:rFonts w:ascii="Lato" w:hAnsi="Lato" w:cs="Lato"/>
                <w:b/>
                <w:i w:val="0"/>
                <w:color w:val="00648B"/>
                <w:sz w:val="17"/>
              </w:rPr>
              <w:t>Legal / underwriting review</w:t>
            </w:r>
          </w:p>
        </w:tc>
        <w:tc>
          <w:tcPr>
            <w:tcW w:type="dxa" w:w="7484"/>
          </w:tcPr>
          <w:p>
            <w:pPr>
              <w:spacing w:after="20" w:before="0"/>
            </w:pPr>
            <w:r/>
            <w:r>
              <w:rPr>
                <w:rFonts w:ascii="Lato" w:hAnsi="Lato" w:cs="Lato"/>
                <w:b w:val="0"/>
                <w:i w:val="0"/>
                <w:color w:val="2B2F33"/>
                <w:sz w:val="17"/>
              </w:rPr>
              <w:t>Draft sub-limited extension.</w:t>
            </w:r>
          </w:p>
        </w:tc>
      </w:tr>
    </w:tbl>
    <w:p>
      <w:pPr>
        <w:spacing w:after="160"/>
      </w:pPr>
    </w:p>
    <w:p>
      <w:pPr>
        <w:keepNext/>
        <w:spacing w:before="180" w:after="40"/>
      </w:pPr>
      <w:r>
        <w:rPr>
          <w:rFonts w:ascii="Lato" w:hAnsi="Lato" w:cs="Lato"/>
          <w:b/>
          <w:i w:val="0"/>
          <w:color w:val="00648B"/>
          <w:sz w:val="23"/>
        </w:rPr>
        <w:t>Gap 6.  Add representation costs at investigations/inquiries to Media Liability</w:t>
      </w:r>
      <w:r>
        <w:rPr>
          <w:rFonts w:ascii="Lato" w:hAnsi="Lato" w:cs="Lato"/>
          <w:b/>
          <w:i w:val="0"/>
          <w:color w:val="8A6A1E"/>
          <w:sz w:val="18"/>
        </w:rPr>
        <w:t xml:space="preserve">   [ Priority: Medium ]</w:t>
      </w:r>
      <w:r>
        <w:rPr>
          <w:rFonts w:ascii="Lato" w:hAnsi="Lato" w:cs="Lato"/>
          <w:b/>
          <w:i w:val="0"/>
          <w:color w:val="8A6A1E"/>
          <w:sz w:val="18"/>
        </w:rPr>
        <w:t xml:space="preserve">    [ Round 7: Parked — Section 12 sign-off list ]</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Competitor(s)</w:t>
            </w:r>
          </w:p>
        </w:tc>
        <w:tc>
          <w:tcPr>
            <w:tcW w:type="dxa" w:w="7484"/>
          </w:tcPr>
          <w:p>
            <w:pPr>
              <w:spacing w:after="20" w:before="0"/>
            </w:pPr>
            <w:r/>
            <w:r>
              <w:rPr>
                <w:rFonts w:ascii="Lato" w:hAnsi="Lato" w:cs="Lato"/>
                <w:b w:val="0"/>
                <w:i w:val="0"/>
                <w:color w:val="2B2F33"/>
                <w:sz w:val="17"/>
              </w:rPr>
              <w:t>Tysers (clause 8.15, GBP 25k)</w:t>
            </w:r>
          </w:p>
        </w:tc>
      </w:tr>
      <w:tr>
        <w:tc>
          <w:tcPr>
            <w:tcW w:type="dxa" w:w="2381"/>
            <w:shd w:val="clear" w:color="auto" w:fill="EAF1F5"/>
          </w:tcPr>
          <w:p>
            <w:pPr>
              <w:spacing w:after="20" w:before="0"/>
            </w:pPr>
            <w:r/>
            <w:r>
              <w:rPr>
                <w:rFonts w:ascii="Lato" w:hAnsi="Lato" w:cs="Lato"/>
                <w:b/>
                <w:i w:val="0"/>
                <w:color w:val="00648B"/>
                <w:sz w:val="17"/>
              </w:rPr>
              <w:t>What the competitor does</w:t>
            </w:r>
          </w:p>
        </w:tc>
        <w:tc>
          <w:tcPr>
            <w:tcW w:type="dxa" w:w="7484"/>
          </w:tcPr>
          <w:p>
            <w:pPr>
              <w:spacing w:after="20" w:before="0"/>
            </w:pPr>
            <w:r/>
            <w:r>
              <w:rPr>
                <w:rFonts w:ascii="Lato" w:hAnsi="Lato" w:cs="Lato"/>
                <w:b w:val="0"/>
                <w:i w:val="0"/>
                <w:color w:val="2B2F33"/>
                <w:sz w:val="17"/>
              </w:rPr>
              <w:t>Funds representation at official examinations/inquiries that could give rise to a claim.</w:t>
            </w:r>
          </w:p>
        </w:tc>
      </w:tr>
      <w:tr>
        <w:tc>
          <w:tcPr>
            <w:tcW w:type="dxa" w:w="2381"/>
            <w:shd w:val="clear" w:color="auto" w:fill="EAF1F5"/>
          </w:tcPr>
          <w:p>
            <w:pPr>
              <w:spacing w:after="20" w:before="0"/>
            </w:pPr>
            <w:r/>
            <w:r>
              <w:rPr>
                <w:rFonts w:ascii="Lato" w:hAnsi="Lato" w:cs="Lato"/>
                <w:b/>
                <w:i w:val="0"/>
                <w:color w:val="00648B"/>
                <w:sz w:val="17"/>
              </w:rPr>
              <w:t>Current TMHCC position</w:t>
            </w:r>
          </w:p>
        </w:tc>
        <w:tc>
          <w:tcPr>
            <w:tcW w:type="dxa" w:w="7484"/>
          </w:tcPr>
          <w:p>
            <w:pPr>
              <w:spacing w:after="20" w:before="0"/>
            </w:pPr>
            <w:r/>
            <w:r>
              <w:rPr>
                <w:rFonts w:ascii="Lato" w:hAnsi="Lato" w:cs="Lato"/>
                <w:b w:val="0"/>
                <w:i w:val="0"/>
                <w:color w:val="2B2F33"/>
                <w:sz w:val="17"/>
              </w:rPr>
              <w:t>Provided only via Data-Protection defence; otherwise absent.</w:t>
            </w:r>
          </w:p>
        </w:tc>
      </w:tr>
      <w:tr>
        <w:tc>
          <w:tcPr>
            <w:tcW w:type="dxa" w:w="2381"/>
            <w:shd w:val="clear" w:color="auto" w:fill="EAF1F5"/>
          </w:tcPr>
          <w:p>
            <w:pPr>
              <w:spacing w:after="20" w:before="0"/>
            </w:pPr>
            <w:r/>
            <w:r>
              <w:rPr>
                <w:rFonts w:ascii="Lato" w:hAnsi="Lato" w:cs="Lato"/>
                <w:b/>
                <w:i w:val="0"/>
                <w:color w:val="00648B"/>
                <w:sz w:val="17"/>
              </w:rPr>
              <w:t>Gap / opportunity</w:t>
            </w:r>
          </w:p>
        </w:tc>
        <w:tc>
          <w:tcPr>
            <w:tcW w:type="dxa" w:w="7484"/>
          </w:tcPr>
          <w:p>
            <w:pPr>
              <w:spacing w:after="20" w:before="0"/>
            </w:pPr>
            <w:r/>
            <w:r>
              <w:rPr>
                <w:rFonts w:ascii="Lato" w:hAnsi="Lato" w:cs="Lato"/>
                <w:b w:val="0"/>
                <w:i w:val="0"/>
                <w:color w:val="2B2F33"/>
                <w:sz w:val="17"/>
              </w:rPr>
              <w:t>Regulators increasingly investigate content/advertising.</w:t>
            </w:r>
          </w:p>
        </w:tc>
      </w:tr>
      <w:tr>
        <w:tc>
          <w:tcPr>
            <w:tcW w:type="dxa" w:w="2381"/>
            <w:shd w:val="clear" w:color="auto" w:fill="EAF1F5"/>
          </w:tcPr>
          <w:p>
            <w:pPr>
              <w:spacing w:after="20" w:before="0"/>
            </w:pPr>
            <w:r/>
            <w:r>
              <w:rPr>
                <w:rFonts w:ascii="Lato" w:hAnsi="Lato" w:cs="Lato"/>
                <w:b/>
                <w:i w:val="0"/>
                <w:color w:val="00648B"/>
                <w:sz w:val="17"/>
              </w:rPr>
              <w:t>Recommended action</w:t>
            </w:r>
          </w:p>
        </w:tc>
        <w:tc>
          <w:tcPr>
            <w:tcW w:type="dxa" w:w="7484"/>
          </w:tcPr>
          <w:p>
            <w:pPr>
              <w:spacing w:after="20" w:before="0"/>
            </w:pPr>
            <w:r/>
            <w:r>
              <w:rPr>
                <w:rFonts w:ascii="Lato" w:hAnsi="Lato" w:cs="Lato"/>
                <w:b w:val="0"/>
                <w:i w:val="0"/>
                <w:color w:val="2B2F33"/>
                <w:sz w:val="17"/>
              </w:rPr>
              <w:t>Add a sub-limited representation-costs extension (e.g. GBP 25k).</w:t>
            </w:r>
          </w:p>
        </w:tc>
      </w:tr>
      <w:tr>
        <w:tc>
          <w:tcPr>
            <w:tcW w:type="dxa" w:w="2381"/>
            <w:shd w:val="clear" w:color="auto" w:fill="EAF1F5"/>
          </w:tcPr>
          <w:p>
            <w:pPr>
              <w:spacing w:after="20" w:before="0"/>
            </w:pPr>
            <w:r/>
            <w:r>
              <w:rPr>
                <w:rFonts w:ascii="Lato" w:hAnsi="Lato" w:cs="Lato"/>
                <w:b/>
                <w:i w:val="0"/>
                <w:color w:val="00648B"/>
                <w:sz w:val="17"/>
              </w:rPr>
              <w:t>Exact policy location</w:t>
            </w:r>
          </w:p>
        </w:tc>
        <w:tc>
          <w:tcPr>
            <w:tcW w:type="dxa" w:w="7484"/>
          </w:tcPr>
          <w:p>
            <w:pPr>
              <w:spacing w:after="20" w:before="0"/>
            </w:pPr>
            <w:r/>
            <w:r>
              <w:rPr>
                <w:rFonts w:ascii="Lato" w:hAnsi="Lato" w:cs="Lato"/>
                <w:b w:val="0"/>
                <w:i w:val="0"/>
                <w:color w:val="2B2F33"/>
                <w:sz w:val="17"/>
              </w:rPr>
              <w:t>Section 12, new sub-limited Optional Extension (p.73+).</w:t>
            </w:r>
          </w:p>
        </w:tc>
      </w:tr>
      <w:tr>
        <w:tc>
          <w:tcPr>
            <w:tcW w:type="dxa" w:w="2381"/>
            <w:shd w:val="clear" w:color="auto" w:fill="EAF1F5"/>
          </w:tcPr>
          <w:p>
            <w:pPr>
              <w:spacing w:after="20" w:before="0"/>
            </w:pPr>
            <w:r/>
            <w:r>
              <w:rPr>
                <w:rFonts w:ascii="Lato" w:hAnsi="Lato" w:cs="Lato"/>
                <w:b/>
                <w:i w:val="0"/>
                <w:color w:val="00648B"/>
                <w:sz w:val="17"/>
              </w:rPr>
              <w:t>Copy-paste-ready wording</w:t>
            </w:r>
          </w:p>
        </w:tc>
        <w:tc>
          <w:tcPr>
            <w:tcW w:type="dxa" w:w="7484"/>
          </w:tcPr>
          <w:p>
            <w:pPr>
              <w:spacing w:after="20" w:before="0"/>
            </w:pPr>
            <w:r/>
            <w:r>
              <w:rPr>
                <w:rFonts w:ascii="Lato" w:hAnsi="Lato" w:cs="Lato"/>
                <w:b w:val="0"/>
                <w:i w:val="0"/>
                <w:color w:val="2B2F33"/>
                <w:sz w:val="17"/>
              </w:rPr>
              <w:t>Representation Costs at Investigations and Inquiries (Optional) — The Insurer will pay, up to GBP 25,000 in the aggregate, the reasonable costs of legal representation incurred with the Insurer’s prior written consent at any official examination, investigation or inquiry into a matter that could give rise to a claim under this Section.</w:t>
            </w:r>
          </w:p>
        </w:tc>
      </w:tr>
      <w:tr>
        <w:tc>
          <w:tcPr>
            <w:tcW w:type="dxa" w:w="2381"/>
            <w:shd w:val="clear" w:color="auto" w:fill="EAF1F5"/>
          </w:tcPr>
          <w:p>
            <w:pPr>
              <w:spacing w:after="20" w:before="0"/>
            </w:pPr>
            <w:r/>
            <w:r>
              <w:rPr>
                <w:rFonts w:ascii="Lato" w:hAnsi="Lato" w:cs="Lato"/>
                <w:b/>
                <w:i w:val="0"/>
                <w:color w:val="00648B"/>
                <w:sz w:val="17"/>
              </w:rPr>
              <w:t>Priority</w:t>
            </w:r>
          </w:p>
        </w:tc>
        <w:tc>
          <w:tcPr>
            <w:tcW w:type="dxa" w:w="7484"/>
          </w:tcPr>
          <w:p>
            <w:pPr>
              <w:spacing w:after="20" w:before="0"/>
            </w:pPr>
            <w:r/>
            <w:r>
              <w:rPr>
                <w:rFonts w:ascii="Lato" w:hAnsi="Lato" w:cs="Lato"/>
                <w:b w:val="0"/>
                <w:i w:val="0"/>
                <w:color w:val="2B2F33"/>
                <w:sz w:val="17"/>
              </w:rPr>
              <w:t>Medium</w:t>
            </w:r>
          </w:p>
        </w:tc>
      </w:tr>
      <w:tr>
        <w:tc>
          <w:tcPr>
            <w:tcW w:type="dxa" w:w="2381"/>
            <w:shd w:val="clear" w:color="auto" w:fill="EAF1F5"/>
          </w:tcPr>
          <w:p>
            <w:pPr>
              <w:spacing w:after="20" w:before="0"/>
            </w:pPr>
            <w:r/>
            <w:r>
              <w:rPr>
                <w:rFonts w:ascii="Lato" w:hAnsi="Lato" w:cs="Lato"/>
                <w:b/>
                <w:i w:val="0"/>
                <w:color w:val="00648B"/>
                <w:sz w:val="17"/>
              </w:rPr>
              <w:t>Underwriting impact</w:t>
            </w:r>
          </w:p>
        </w:tc>
        <w:tc>
          <w:tcPr>
            <w:tcW w:type="dxa" w:w="7484"/>
          </w:tcPr>
          <w:p>
            <w:pPr>
              <w:spacing w:after="20" w:before="0"/>
            </w:pPr>
            <w:r/>
            <w:r>
              <w:rPr>
                <w:rFonts w:ascii="Lato" w:hAnsi="Lato" w:cs="Lato"/>
                <w:b w:val="0"/>
                <w:i w:val="0"/>
                <w:color w:val="2B2F33"/>
                <w:sz w:val="17"/>
              </w:rPr>
              <w:t>Low — small sub-limit (mirror Tysers cl. 8.15).</w:t>
            </w:r>
          </w:p>
        </w:tc>
      </w:tr>
      <w:tr>
        <w:tc>
          <w:tcPr>
            <w:tcW w:type="dxa" w:w="2381"/>
            <w:shd w:val="clear" w:color="auto" w:fill="EAF1F5"/>
          </w:tcPr>
          <w:p>
            <w:pPr>
              <w:spacing w:after="20" w:before="0"/>
            </w:pPr>
            <w:r/>
            <w:r>
              <w:rPr>
                <w:rFonts w:ascii="Lato" w:hAnsi="Lato" w:cs="Lato"/>
                <w:b/>
                <w:i w:val="0"/>
                <w:color w:val="00648B"/>
                <w:sz w:val="17"/>
              </w:rPr>
              <w:t>Legal sign-off required</w:t>
            </w:r>
          </w:p>
        </w:tc>
        <w:tc>
          <w:tcPr>
            <w:tcW w:type="dxa" w:w="7484"/>
          </w:tcPr>
          <w:p>
            <w:pPr>
              <w:spacing w:after="20" w:before="0"/>
            </w:pPr>
            <w:r/>
            <w:r>
              <w:rPr>
                <w:rFonts w:ascii="Lato" w:hAnsi="Lato" w:cs="Lato"/>
                <w:b w:val="0"/>
                <w:i w:val="0"/>
                <w:color w:val="2B2F33"/>
                <w:sz w:val="17"/>
              </w:rPr>
              <w:t>Yes</w:t>
            </w:r>
          </w:p>
        </w:tc>
      </w:tr>
      <w:tr>
        <w:tc>
          <w:tcPr>
            <w:tcW w:type="dxa" w:w="2381"/>
            <w:shd w:val="clear" w:color="auto" w:fill="EAF1F5"/>
          </w:tcPr>
          <w:p>
            <w:pPr>
              <w:spacing w:after="20" w:before="0"/>
            </w:pPr>
            <w:r/>
            <w:r>
              <w:rPr>
                <w:rFonts w:ascii="Lato" w:hAnsi="Lato" w:cs="Lato"/>
                <w:b/>
                <w:i w:val="0"/>
                <w:color w:val="00648B"/>
                <w:sz w:val="17"/>
              </w:rPr>
              <w:t>Implemented now or parked</w:t>
            </w:r>
          </w:p>
        </w:tc>
        <w:tc>
          <w:tcPr>
            <w:tcW w:type="dxa" w:w="7484"/>
          </w:tcPr>
          <w:p>
            <w:pPr>
              <w:spacing w:after="20" w:before="0"/>
            </w:pPr>
            <w:r/>
            <w:r>
              <w:rPr>
                <w:rFonts w:ascii="Lato" w:hAnsi="Lato" w:cs="Lato"/>
                <w:b w:val="0"/>
                <w:i w:val="0"/>
                <w:color w:val="2B2F33"/>
                <w:sz w:val="17"/>
              </w:rPr>
              <w:t>Not implemented (Section 12 — sign-off)</w:t>
            </w:r>
          </w:p>
        </w:tc>
      </w:tr>
      <w:tr>
        <w:tc>
          <w:tcPr>
            <w:tcW w:type="dxa" w:w="2381"/>
            <w:shd w:val="clear" w:color="auto" w:fill="EAF1F5"/>
          </w:tcPr>
          <w:p>
            <w:pPr>
              <w:spacing w:after="20" w:before="0"/>
            </w:pPr>
            <w:r/>
            <w:r>
              <w:rPr>
                <w:rFonts w:ascii="Lato" w:hAnsi="Lato" w:cs="Lato"/>
                <w:b/>
                <w:i w:val="0"/>
                <w:color w:val="00648B"/>
                <w:sz w:val="17"/>
              </w:rPr>
              <w:t>Commercial benefit</w:t>
            </w:r>
          </w:p>
        </w:tc>
        <w:tc>
          <w:tcPr>
            <w:tcW w:type="dxa" w:w="7484"/>
          </w:tcPr>
          <w:p>
            <w:pPr>
              <w:spacing w:after="20" w:before="0"/>
            </w:pPr>
            <w:r/>
            <w:r>
              <w:rPr>
                <w:rFonts w:ascii="Lato" w:hAnsi="Lato" w:cs="Lato"/>
                <w:b w:val="0"/>
                <w:i w:val="0"/>
                <w:color w:val="2B2F33"/>
                <w:sz w:val="17"/>
              </w:rPr>
              <w:t>Cheap, visible enhancement.</w:t>
            </w:r>
          </w:p>
        </w:tc>
      </w:tr>
      <w:tr>
        <w:tc>
          <w:tcPr>
            <w:tcW w:type="dxa" w:w="2381"/>
            <w:shd w:val="clear" w:color="auto" w:fill="EAF1F5"/>
          </w:tcPr>
          <w:p>
            <w:pPr>
              <w:spacing w:after="20" w:before="0"/>
            </w:pPr>
            <w:r/>
            <w:r>
              <w:rPr>
                <w:rFonts w:ascii="Lato" w:hAnsi="Lato" w:cs="Lato"/>
                <w:b/>
                <w:i w:val="0"/>
                <w:color w:val="00648B"/>
                <w:sz w:val="17"/>
              </w:rPr>
              <w:t>Legal / underwriting review</w:t>
            </w:r>
          </w:p>
        </w:tc>
        <w:tc>
          <w:tcPr>
            <w:tcW w:type="dxa" w:w="7484"/>
          </w:tcPr>
          <w:p>
            <w:pPr>
              <w:spacing w:after="20" w:before="0"/>
            </w:pPr>
            <w:r/>
            <w:r>
              <w:rPr>
                <w:rFonts w:ascii="Lato" w:hAnsi="Lato" w:cs="Lato"/>
                <w:b w:val="0"/>
                <w:i w:val="0"/>
                <w:color w:val="2B2F33"/>
                <w:sz w:val="17"/>
              </w:rPr>
              <w:t>Draft sub-limited extension; align with S13/S14.</w:t>
            </w:r>
          </w:p>
        </w:tc>
      </w:tr>
    </w:tbl>
    <w:p>
      <w:pPr>
        <w:spacing w:after="160"/>
      </w:pPr>
    </w:p>
    <w:p>
      <w:pPr>
        <w:keepNext/>
        <w:spacing w:before="180" w:after="40"/>
      </w:pPr>
      <w:r>
        <w:rPr>
          <w:rFonts w:ascii="Lato" w:hAnsi="Lato" w:cs="Lato"/>
          <w:b/>
          <w:i w:val="0"/>
          <w:color w:val="00648B"/>
          <w:sz w:val="23"/>
        </w:rPr>
        <w:t>Gap 7.  Consider a limited asbestos / pollution professional-duty write-back in PI</w:t>
      </w:r>
      <w:r>
        <w:rPr>
          <w:rFonts w:ascii="Lato" w:hAnsi="Lato" w:cs="Lato"/>
          <w:b/>
          <w:i w:val="0"/>
          <w:color w:val="8A6A1E"/>
          <w:sz w:val="18"/>
        </w:rPr>
        <w:t xml:space="preserve">   [ Priority: Medium ]</w:t>
      </w:r>
      <w:r>
        <w:rPr>
          <w:rFonts w:ascii="Lato" w:hAnsi="Lato" w:cs="Lato"/>
          <w:b/>
          <w:i w:val="0"/>
          <w:color w:val="8A6A1E"/>
          <w:sz w:val="18"/>
        </w:rPr>
        <w:t xml:space="preserve">    [ Round 7: Parked — Section 12 sign-off list ]</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Competitor(s)</w:t>
            </w:r>
          </w:p>
        </w:tc>
        <w:tc>
          <w:tcPr>
            <w:tcW w:type="dxa" w:w="7484"/>
          </w:tcPr>
          <w:p>
            <w:pPr>
              <w:spacing w:after="20" w:before="0"/>
            </w:pPr>
            <w:r/>
            <w:r>
              <w:rPr>
                <w:rFonts w:ascii="Lato" w:hAnsi="Lato" w:cs="Lato"/>
                <w:b w:val="0"/>
                <w:i w:val="0"/>
                <w:color w:val="2B2F33"/>
                <w:sz w:val="17"/>
              </w:rPr>
              <w:t>Tysers (asbestos professional-duty write-back, GBP 1m, ex-BI); Yutree (pollution write-back for own negligence)</w:t>
            </w:r>
          </w:p>
        </w:tc>
      </w:tr>
      <w:tr>
        <w:tc>
          <w:tcPr>
            <w:tcW w:type="dxa" w:w="2381"/>
            <w:shd w:val="clear" w:color="auto" w:fill="EAF1F5"/>
          </w:tcPr>
          <w:p>
            <w:pPr>
              <w:spacing w:after="20" w:before="0"/>
            </w:pPr>
            <w:r/>
            <w:r>
              <w:rPr>
                <w:rFonts w:ascii="Lato" w:hAnsi="Lato" w:cs="Lato"/>
                <w:b/>
                <w:i w:val="0"/>
                <w:color w:val="00648B"/>
                <w:sz w:val="17"/>
              </w:rPr>
              <w:t>What the competitor does</w:t>
            </w:r>
          </w:p>
        </w:tc>
        <w:tc>
          <w:tcPr>
            <w:tcW w:type="dxa" w:w="7484"/>
          </w:tcPr>
          <w:p>
            <w:pPr>
              <w:spacing w:after="20" w:before="0"/>
            </w:pPr>
            <w:r/>
            <w:r>
              <w:rPr>
                <w:rFonts w:ascii="Lato" w:hAnsi="Lato" w:cs="Lato"/>
                <w:b w:val="0"/>
                <w:i w:val="0"/>
                <w:color w:val="2B2F33"/>
                <w:sz w:val="17"/>
              </w:rPr>
              <w:t>Cover PI liability that arises purely from negligent professional advice touching asbestos/pollution — not the contamination itself.</w:t>
            </w:r>
          </w:p>
        </w:tc>
      </w:tr>
      <w:tr>
        <w:tc>
          <w:tcPr>
            <w:tcW w:type="dxa" w:w="2381"/>
            <w:shd w:val="clear" w:color="auto" w:fill="EAF1F5"/>
          </w:tcPr>
          <w:p>
            <w:pPr>
              <w:spacing w:after="20" w:before="0"/>
            </w:pPr>
            <w:r/>
            <w:r>
              <w:rPr>
                <w:rFonts w:ascii="Lato" w:hAnsi="Lato" w:cs="Lato"/>
                <w:b/>
                <w:i w:val="0"/>
                <w:color w:val="00648B"/>
                <w:sz w:val="17"/>
              </w:rPr>
              <w:t>Current TMHCC position</w:t>
            </w:r>
          </w:p>
        </w:tc>
        <w:tc>
          <w:tcPr>
            <w:tcW w:type="dxa" w:w="7484"/>
          </w:tcPr>
          <w:p>
            <w:pPr>
              <w:spacing w:after="20" w:before="0"/>
            </w:pPr>
            <w:r/>
            <w:r>
              <w:rPr>
                <w:rFonts w:ascii="Lato" w:hAnsi="Lato" w:cs="Lato"/>
                <w:b w:val="0"/>
                <w:i w:val="0"/>
                <w:color w:val="2B2F33"/>
                <w:sz w:val="17"/>
              </w:rPr>
              <w:t>S12 excludes asbestos and pollution outright.</w:t>
            </w:r>
          </w:p>
        </w:tc>
      </w:tr>
      <w:tr>
        <w:tc>
          <w:tcPr>
            <w:tcW w:type="dxa" w:w="2381"/>
            <w:shd w:val="clear" w:color="auto" w:fill="EAF1F5"/>
          </w:tcPr>
          <w:p>
            <w:pPr>
              <w:spacing w:after="20" w:before="0"/>
            </w:pPr>
            <w:r/>
            <w:r>
              <w:rPr>
                <w:rFonts w:ascii="Lato" w:hAnsi="Lato" w:cs="Lato"/>
                <w:b/>
                <w:i w:val="0"/>
                <w:color w:val="00648B"/>
                <w:sz w:val="17"/>
              </w:rPr>
              <w:t>Gap / opportunity</w:t>
            </w:r>
          </w:p>
        </w:tc>
        <w:tc>
          <w:tcPr>
            <w:tcW w:type="dxa" w:w="7484"/>
          </w:tcPr>
          <w:p>
            <w:pPr>
              <w:spacing w:after="20" w:before="0"/>
            </w:pPr>
            <w:r/>
            <w:r>
              <w:rPr>
                <w:rFonts w:ascii="Lato" w:hAnsi="Lato" w:cs="Lato"/>
                <w:b w:val="0"/>
                <w:i w:val="0"/>
                <w:color w:val="2B2F33"/>
                <w:sz w:val="17"/>
              </w:rPr>
              <w:t>Genuine E&amp;O exposures (e.g. negligent advice/specification) fall in the exclusion gap.</w:t>
            </w:r>
          </w:p>
        </w:tc>
      </w:tr>
      <w:tr>
        <w:tc>
          <w:tcPr>
            <w:tcW w:type="dxa" w:w="2381"/>
            <w:shd w:val="clear" w:color="auto" w:fill="EAF1F5"/>
          </w:tcPr>
          <w:p>
            <w:pPr>
              <w:spacing w:after="20" w:before="0"/>
            </w:pPr>
            <w:r/>
            <w:r>
              <w:rPr>
                <w:rFonts w:ascii="Lato" w:hAnsi="Lato" w:cs="Lato"/>
                <w:b/>
                <w:i w:val="0"/>
                <w:color w:val="00648B"/>
                <w:sz w:val="17"/>
              </w:rPr>
              <w:t>Recommended action</w:t>
            </w:r>
          </w:p>
        </w:tc>
        <w:tc>
          <w:tcPr>
            <w:tcW w:type="dxa" w:w="7484"/>
          </w:tcPr>
          <w:p>
            <w:pPr>
              <w:spacing w:after="20" w:before="0"/>
            </w:pPr>
            <w:r/>
            <w:r>
              <w:rPr>
                <w:rFonts w:ascii="Lato" w:hAnsi="Lato" w:cs="Lato"/>
                <w:b w:val="0"/>
                <w:i w:val="0"/>
                <w:color w:val="2B2F33"/>
                <w:sz w:val="17"/>
              </w:rPr>
              <w:t>Consider a narrow, sub-limited write-back limited to negligent advice, expressly excluding bodily injury and the contamination itself.</w:t>
            </w:r>
          </w:p>
        </w:tc>
      </w:tr>
      <w:tr>
        <w:tc>
          <w:tcPr>
            <w:tcW w:type="dxa" w:w="2381"/>
            <w:shd w:val="clear" w:color="auto" w:fill="EAF1F5"/>
          </w:tcPr>
          <w:p>
            <w:pPr>
              <w:spacing w:after="20" w:before="0"/>
            </w:pPr>
            <w:r/>
            <w:r>
              <w:rPr>
                <w:rFonts w:ascii="Lato" w:hAnsi="Lato" w:cs="Lato"/>
                <w:b/>
                <w:i w:val="0"/>
                <w:color w:val="00648B"/>
                <w:sz w:val="17"/>
              </w:rPr>
              <w:t>Exact policy location</w:t>
            </w:r>
          </w:p>
        </w:tc>
        <w:tc>
          <w:tcPr>
            <w:tcW w:type="dxa" w:w="7484"/>
          </w:tcPr>
          <w:p>
            <w:pPr>
              <w:spacing w:after="20" w:before="0"/>
            </w:pPr>
            <w:r/>
            <w:r>
              <w:rPr>
                <w:rFonts w:ascii="Lato" w:hAnsi="Lato" w:cs="Lato"/>
                <w:b w:val="0"/>
                <w:i w:val="0"/>
                <w:color w:val="2B2F33"/>
                <w:sz w:val="17"/>
              </w:rPr>
              <w:t>Section 12 — narrow write-back to the asbestos/pollution exclusions (p.73+).</w:t>
            </w:r>
          </w:p>
        </w:tc>
      </w:tr>
      <w:tr>
        <w:tc>
          <w:tcPr>
            <w:tcW w:type="dxa" w:w="2381"/>
            <w:shd w:val="clear" w:color="auto" w:fill="EAF1F5"/>
          </w:tcPr>
          <w:p>
            <w:pPr>
              <w:spacing w:after="20" w:before="0"/>
            </w:pPr>
            <w:r/>
            <w:r>
              <w:rPr>
                <w:rFonts w:ascii="Lato" w:hAnsi="Lato" w:cs="Lato"/>
                <w:b/>
                <w:i w:val="0"/>
                <w:color w:val="00648B"/>
                <w:sz w:val="17"/>
              </w:rPr>
              <w:t>Copy-paste-ready wording</w:t>
            </w:r>
          </w:p>
        </w:tc>
        <w:tc>
          <w:tcPr>
            <w:tcW w:type="dxa" w:w="7484"/>
          </w:tcPr>
          <w:p>
            <w:pPr>
              <w:spacing w:after="20" w:before="0"/>
            </w:pPr>
            <w:r/>
            <w:r>
              <w:rPr>
                <w:rFonts w:ascii="Lato" w:hAnsi="Lato" w:cs="Lato"/>
                <w:b w:val="0"/>
                <w:i w:val="0"/>
                <w:color w:val="2B2F33"/>
                <w:sz w:val="17"/>
              </w:rPr>
              <w:t>Professional Duty Write-back (Asbestos / Pollution) (Optional) — Notwithstanding the asbestos and pollution exclusions of this Section, the Insurer will indemnify the Insured, up to the sub-limit stated in the Schedule, for liability arising solely from negligent professional advice, design or specification in connection with asbestos or pollution, but excluding any liability for bodily injury and any liability for the cost of the contamination, remediation or clean-up itself.</w:t>
            </w:r>
          </w:p>
        </w:tc>
      </w:tr>
      <w:tr>
        <w:tc>
          <w:tcPr>
            <w:tcW w:type="dxa" w:w="2381"/>
            <w:shd w:val="clear" w:color="auto" w:fill="EAF1F5"/>
          </w:tcPr>
          <w:p>
            <w:pPr>
              <w:spacing w:after="20" w:before="0"/>
            </w:pPr>
            <w:r/>
            <w:r>
              <w:rPr>
                <w:rFonts w:ascii="Lato" w:hAnsi="Lato" w:cs="Lato"/>
                <w:b/>
                <w:i w:val="0"/>
                <w:color w:val="00648B"/>
                <w:sz w:val="17"/>
              </w:rPr>
              <w:t>Priority</w:t>
            </w:r>
          </w:p>
        </w:tc>
        <w:tc>
          <w:tcPr>
            <w:tcW w:type="dxa" w:w="7484"/>
          </w:tcPr>
          <w:p>
            <w:pPr>
              <w:spacing w:after="20" w:before="0"/>
            </w:pPr>
            <w:r/>
            <w:r>
              <w:rPr>
                <w:rFonts w:ascii="Lato" w:hAnsi="Lato" w:cs="Lato"/>
                <w:b w:val="0"/>
                <w:i w:val="0"/>
                <w:color w:val="2B2F33"/>
                <w:sz w:val="17"/>
              </w:rPr>
              <w:t>Medium</w:t>
            </w:r>
          </w:p>
        </w:tc>
      </w:tr>
      <w:tr>
        <w:tc>
          <w:tcPr>
            <w:tcW w:type="dxa" w:w="2381"/>
            <w:shd w:val="clear" w:color="auto" w:fill="EAF1F5"/>
          </w:tcPr>
          <w:p>
            <w:pPr>
              <w:spacing w:after="20" w:before="0"/>
            </w:pPr>
            <w:r/>
            <w:r>
              <w:rPr>
                <w:rFonts w:ascii="Lato" w:hAnsi="Lato" w:cs="Lato"/>
                <w:b/>
                <w:i w:val="0"/>
                <w:color w:val="00648B"/>
                <w:sz w:val="17"/>
              </w:rPr>
              <w:t>Underwriting impact</w:t>
            </w:r>
          </w:p>
        </w:tc>
        <w:tc>
          <w:tcPr>
            <w:tcW w:type="dxa" w:w="7484"/>
          </w:tcPr>
          <w:p>
            <w:pPr>
              <w:spacing w:after="20" w:before="0"/>
            </w:pPr>
            <w:r/>
            <w:r>
              <w:rPr>
                <w:rFonts w:ascii="Lato" w:hAnsi="Lato" w:cs="Lato"/>
                <w:b w:val="0"/>
                <w:i w:val="0"/>
                <w:color w:val="2B2F33"/>
                <w:sz w:val="17"/>
              </w:rPr>
              <w:t>Medium — ring-fence to negligent advice; keep BI and contamination/clean-up excluded; tight cap.</w:t>
            </w:r>
          </w:p>
        </w:tc>
      </w:tr>
      <w:tr>
        <w:tc>
          <w:tcPr>
            <w:tcW w:type="dxa" w:w="2381"/>
            <w:shd w:val="clear" w:color="auto" w:fill="EAF1F5"/>
          </w:tcPr>
          <w:p>
            <w:pPr>
              <w:spacing w:after="20" w:before="0"/>
            </w:pPr>
            <w:r/>
            <w:r>
              <w:rPr>
                <w:rFonts w:ascii="Lato" w:hAnsi="Lato" w:cs="Lato"/>
                <w:b/>
                <w:i w:val="0"/>
                <w:color w:val="00648B"/>
                <w:sz w:val="17"/>
              </w:rPr>
              <w:t>Legal sign-off required</w:t>
            </w:r>
          </w:p>
        </w:tc>
        <w:tc>
          <w:tcPr>
            <w:tcW w:type="dxa" w:w="7484"/>
          </w:tcPr>
          <w:p>
            <w:pPr>
              <w:spacing w:after="20" w:before="0"/>
            </w:pPr>
            <w:r/>
            <w:r>
              <w:rPr>
                <w:rFonts w:ascii="Lato" w:hAnsi="Lato" w:cs="Lato"/>
                <w:b w:val="0"/>
                <w:i w:val="0"/>
                <w:color w:val="2B2F33"/>
                <w:sz w:val="17"/>
              </w:rPr>
              <w:t>Yes</w:t>
            </w:r>
          </w:p>
        </w:tc>
      </w:tr>
      <w:tr>
        <w:tc>
          <w:tcPr>
            <w:tcW w:type="dxa" w:w="2381"/>
            <w:shd w:val="clear" w:color="auto" w:fill="EAF1F5"/>
          </w:tcPr>
          <w:p>
            <w:pPr>
              <w:spacing w:after="20" w:before="0"/>
            </w:pPr>
            <w:r/>
            <w:r>
              <w:rPr>
                <w:rFonts w:ascii="Lato" w:hAnsi="Lato" w:cs="Lato"/>
                <w:b/>
                <w:i w:val="0"/>
                <w:color w:val="00648B"/>
                <w:sz w:val="17"/>
              </w:rPr>
              <w:t>Implemented now or parked</w:t>
            </w:r>
          </w:p>
        </w:tc>
        <w:tc>
          <w:tcPr>
            <w:tcW w:type="dxa" w:w="7484"/>
          </w:tcPr>
          <w:p>
            <w:pPr>
              <w:spacing w:after="20" w:before="0"/>
            </w:pPr>
            <w:r/>
            <w:r>
              <w:rPr>
                <w:rFonts w:ascii="Lato" w:hAnsi="Lato" w:cs="Lato"/>
                <w:b w:val="0"/>
                <w:i w:val="0"/>
                <w:color w:val="2B2F33"/>
                <w:sz w:val="17"/>
              </w:rPr>
              <w:t>Not implemented (Section 12 — sign-off; careful drafting essential)</w:t>
            </w:r>
          </w:p>
        </w:tc>
      </w:tr>
      <w:tr>
        <w:tc>
          <w:tcPr>
            <w:tcW w:type="dxa" w:w="2381"/>
            <w:shd w:val="clear" w:color="auto" w:fill="EAF1F5"/>
          </w:tcPr>
          <w:p>
            <w:pPr>
              <w:spacing w:after="20" w:before="0"/>
            </w:pPr>
            <w:r/>
            <w:r>
              <w:rPr>
                <w:rFonts w:ascii="Lato" w:hAnsi="Lato" w:cs="Lato"/>
                <w:b/>
                <w:i w:val="0"/>
                <w:color w:val="00648B"/>
                <w:sz w:val="17"/>
              </w:rPr>
              <w:t>Commercial benefit</w:t>
            </w:r>
          </w:p>
        </w:tc>
        <w:tc>
          <w:tcPr>
            <w:tcW w:type="dxa" w:w="7484"/>
          </w:tcPr>
          <w:p>
            <w:pPr>
              <w:spacing w:after="20" w:before="0"/>
            </w:pPr>
            <w:r/>
            <w:r>
              <w:rPr>
                <w:rFonts w:ascii="Lato" w:hAnsi="Lato" w:cs="Lato"/>
                <w:b w:val="0"/>
                <w:i w:val="0"/>
                <w:color w:val="2B2F33"/>
                <w:sz w:val="17"/>
              </w:rPr>
              <w:t>Closes a defensible E&amp;O gap without taking environmental risk.</w:t>
            </w:r>
          </w:p>
        </w:tc>
      </w:tr>
      <w:tr>
        <w:tc>
          <w:tcPr>
            <w:tcW w:type="dxa" w:w="2381"/>
            <w:shd w:val="clear" w:color="auto" w:fill="EAF1F5"/>
          </w:tcPr>
          <w:p>
            <w:pPr>
              <w:spacing w:after="20" w:before="0"/>
            </w:pPr>
            <w:r/>
            <w:r>
              <w:rPr>
                <w:rFonts w:ascii="Lato" w:hAnsi="Lato" w:cs="Lato"/>
                <w:b/>
                <w:i w:val="0"/>
                <w:color w:val="00648B"/>
                <w:sz w:val="17"/>
              </w:rPr>
              <w:t>Legal / underwriting review</w:t>
            </w:r>
          </w:p>
        </w:tc>
        <w:tc>
          <w:tcPr>
            <w:tcW w:type="dxa" w:w="7484"/>
          </w:tcPr>
          <w:p>
            <w:pPr>
              <w:spacing w:after="20" w:before="0"/>
            </w:pPr>
            <w:r/>
            <w:r>
              <w:rPr>
                <w:rFonts w:ascii="Lato" w:hAnsi="Lato" w:cs="Lato"/>
                <w:b w:val="0"/>
                <w:i w:val="0"/>
                <w:color w:val="2B2F33"/>
                <w:sz w:val="17"/>
              </w:rPr>
              <w:t>Careful drafting essential — keep BI and contamination excluded.</w:t>
            </w:r>
          </w:p>
        </w:tc>
      </w:tr>
    </w:tbl>
    <w:p>
      <w:pPr>
        <w:spacing w:after="160"/>
      </w:pPr>
    </w:p>
    <w:p>
      <w:pPr>
        <w:keepNext/>
        <w:spacing w:before="180" w:after="40"/>
      </w:pPr>
      <w:r>
        <w:rPr>
          <w:rFonts w:ascii="Lato" w:hAnsi="Lato" w:cs="Lato"/>
          <w:b/>
          <w:i w:val="0"/>
          <w:color w:val="00648B"/>
          <w:sz w:val="23"/>
        </w:rPr>
        <w:t>Gap 8.  Make Increased Cost of Working / Book Debts explicit in BI</w:t>
      </w:r>
      <w:r>
        <w:rPr>
          <w:rFonts w:ascii="Lato" w:hAnsi="Lato" w:cs="Lato"/>
          <w:b/>
          <w:i w:val="0"/>
          <w:color w:val="8A6A1E"/>
          <w:sz w:val="18"/>
        </w:rPr>
        <w:t xml:space="preserve">   [ Priority: Medium ]</w:t>
      </w:r>
      <w:r>
        <w:rPr>
          <w:rFonts w:ascii="Lato" w:hAnsi="Lato" w:cs="Lato"/>
          <w:b/>
          <w:i w:val="0"/>
          <w:color w:val="2E7D44"/>
          <w:sz w:val="18"/>
        </w:rPr>
        <w:t xml:space="preserve">    [ Round 7: Implemented now (tracked change) ]</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Competitor(s)</w:t>
            </w:r>
          </w:p>
        </w:tc>
        <w:tc>
          <w:tcPr>
            <w:tcW w:type="dxa" w:w="7484"/>
          </w:tcPr>
          <w:p>
            <w:pPr>
              <w:spacing w:after="20" w:before="0"/>
            </w:pPr>
            <w:r/>
            <w:r>
              <w:rPr>
                <w:rFonts w:ascii="Lato" w:hAnsi="Lato" w:cs="Lato"/>
                <w:b w:val="0"/>
                <w:i w:val="0"/>
                <w:color w:val="2B2F33"/>
                <w:sz w:val="17"/>
              </w:rPr>
              <w:t>Allianz (ICOW; Book Debts)</w:t>
            </w:r>
          </w:p>
        </w:tc>
      </w:tr>
      <w:tr>
        <w:tc>
          <w:tcPr>
            <w:tcW w:type="dxa" w:w="2381"/>
            <w:shd w:val="clear" w:color="auto" w:fill="EAF1F5"/>
          </w:tcPr>
          <w:p>
            <w:pPr>
              <w:spacing w:after="20" w:before="0"/>
            </w:pPr>
            <w:r/>
            <w:r>
              <w:rPr>
                <w:rFonts w:ascii="Lato" w:hAnsi="Lato" w:cs="Lato"/>
                <w:b/>
                <w:i w:val="0"/>
                <w:color w:val="00648B"/>
                <w:sz w:val="17"/>
              </w:rPr>
              <w:t>What the competitor does</w:t>
            </w:r>
          </w:p>
        </w:tc>
        <w:tc>
          <w:tcPr>
            <w:tcW w:type="dxa" w:w="7484"/>
          </w:tcPr>
          <w:p>
            <w:pPr>
              <w:spacing w:after="20" w:before="0"/>
            </w:pPr>
            <w:r/>
            <w:r>
              <w:rPr>
                <w:rFonts w:ascii="Lato" w:hAnsi="Lato" w:cs="Lato"/>
                <w:b w:val="0"/>
                <w:i w:val="0"/>
                <w:color w:val="2B2F33"/>
                <w:sz w:val="17"/>
              </w:rPr>
              <w:t>Presents ICOW/AICOW and Book Debts as named, discrete cover heads (AXA XL also names Rent Receivable/Turnover).</w:t>
            </w:r>
          </w:p>
        </w:tc>
      </w:tr>
      <w:tr>
        <w:tc>
          <w:tcPr>
            <w:tcW w:type="dxa" w:w="2381"/>
            <w:shd w:val="clear" w:color="auto" w:fill="EAF1F5"/>
          </w:tcPr>
          <w:p>
            <w:pPr>
              <w:spacing w:after="20" w:before="0"/>
            </w:pPr>
            <w:r/>
            <w:r>
              <w:rPr>
                <w:rFonts w:ascii="Lato" w:hAnsi="Lato" w:cs="Lato"/>
                <w:b/>
                <w:i w:val="0"/>
                <w:color w:val="00648B"/>
                <w:sz w:val="17"/>
              </w:rPr>
              <w:t>Current TMHCC position</w:t>
            </w:r>
          </w:p>
        </w:tc>
        <w:tc>
          <w:tcPr>
            <w:tcW w:type="dxa" w:w="7484"/>
          </w:tcPr>
          <w:p>
            <w:pPr>
              <w:spacing w:after="20" w:before="0"/>
            </w:pPr>
            <w:r/>
            <w:r>
              <w:rPr>
                <w:rFonts w:ascii="Lato" w:hAnsi="Lato" w:cs="Lato"/>
                <w:b w:val="0"/>
                <w:i w:val="0"/>
                <w:color w:val="2B2F33"/>
                <w:sz w:val="17"/>
              </w:rPr>
              <w:t>BI cover exists (S3) but ICOW/book-debts may be implicit.</w:t>
            </w:r>
          </w:p>
        </w:tc>
      </w:tr>
      <w:tr>
        <w:tc>
          <w:tcPr>
            <w:tcW w:type="dxa" w:w="2381"/>
            <w:shd w:val="clear" w:color="auto" w:fill="EAF1F5"/>
          </w:tcPr>
          <w:p>
            <w:pPr>
              <w:spacing w:after="20" w:before="0"/>
            </w:pPr>
            <w:r/>
            <w:r>
              <w:rPr>
                <w:rFonts w:ascii="Lato" w:hAnsi="Lato" w:cs="Lato"/>
                <w:b/>
                <w:i w:val="0"/>
                <w:color w:val="00648B"/>
                <w:sz w:val="17"/>
              </w:rPr>
              <w:t>Gap / opportunity</w:t>
            </w:r>
          </w:p>
        </w:tc>
        <w:tc>
          <w:tcPr>
            <w:tcW w:type="dxa" w:w="7484"/>
          </w:tcPr>
          <w:p>
            <w:pPr>
              <w:spacing w:after="20" w:before="0"/>
            </w:pPr>
            <w:r/>
            <w:r>
              <w:rPr>
                <w:rFonts w:ascii="Lato" w:hAnsi="Lato" w:cs="Lato"/>
                <w:b w:val="0"/>
                <w:i w:val="0"/>
                <w:color w:val="2B2F33"/>
                <w:sz w:val="17"/>
              </w:rPr>
              <w:t>Presentational — competitors show more named BI heads.</w:t>
            </w:r>
          </w:p>
        </w:tc>
      </w:tr>
      <w:tr>
        <w:tc>
          <w:tcPr>
            <w:tcW w:type="dxa" w:w="2381"/>
            <w:shd w:val="clear" w:color="auto" w:fill="EAF1F5"/>
          </w:tcPr>
          <w:p>
            <w:pPr>
              <w:spacing w:after="20" w:before="0"/>
            </w:pPr>
            <w:r/>
            <w:r>
              <w:rPr>
                <w:rFonts w:ascii="Lato" w:hAnsi="Lato" w:cs="Lato"/>
                <w:b/>
                <w:i w:val="0"/>
                <w:color w:val="00648B"/>
                <w:sz w:val="17"/>
              </w:rPr>
              <w:t>Recommended action</w:t>
            </w:r>
          </w:p>
        </w:tc>
        <w:tc>
          <w:tcPr>
            <w:tcW w:type="dxa" w:w="7484"/>
          </w:tcPr>
          <w:p>
            <w:pPr>
              <w:spacing w:after="20" w:before="0"/>
            </w:pPr>
            <w:r/>
            <w:r>
              <w:rPr>
                <w:rFonts w:ascii="Lato" w:hAnsi="Lato" w:cs="Lato"/>
                <w:b w:val="0"/>
                <w:i w:val="0"/>
                <w:color w:val="2B2F33"/>
                <w:sz w:val="17"/>
              </w:rPr>
              <w:t>Confirm and, if needed, name ICOW/AICOW and book-debts heads expressly in S3.</w:t>
            </w:r>
          </w:p>
        </w:tc>
      </w:tr>
      <w:tr>
        <w:tc>
          <w:tcPr>
            <w:tcW w:type="dxa" w:w="2381"/>
            <w:shd w:val="clear" w:color="auto" w:fill="EAF1F5"/>
          </w:tcPr>
          <w:p>
            <w:pPr>
              <w:spacing w:after="20" w:before="0"/>
            </w:pPr>
            <w:r/>
            <w:r>
              <w:rPr>
                <w:rFonts w:ascii="Lato" w:hAnsi="Lato" w:cs="Lato"/>
                <w:b/>
                <w:i w:val="0"/>
                <w:color w:val="00648B"/>
                <w:sz w:val="17"/>
              </w:rPr>
              <w:t>Exact policy location</w:t>
            </w:r>
          </w:p>
        </w:tc>
        <w:tc>
          <w:tcPr>
            <w:tcW w:type="dxa" w:w="7484"/>
          </w:tcPr>
          <w:p>
            <w:pPr>
              <w:spacing w:after="20" w:before="0"/>
            </w:pPr>
            <w:r/>
            <w:r>
              <w:rPr>
                <w:rFonts w:ascii="Lato" w:hAnsi="Lato" w:cs="Lato"/>
                <w:b w:val="0"/>
                <w:i w:val="0"/>
                <w:color w:val="2B2F33"/>
                <w:sz w:val="17"/>
              </w:rPr>
              <w:t>Section 3 (Business Interruption), Definitions and Basis of Settlement — 'Accounts Receivable' head (p.38+).</w:t>
            </w:r>
          </w:p>
        </w:tc>
      </w:tr>
      <w:tr>
        <w:tc>
          <w:tcPr>
            <w:tcW w:type="dxa" w:w="2381"/>
            <w:shd w:val="clear" w:color="auto" w:fill="EAF1F5"/>
          </w:tcPr>
          <w:p>
            <w:pPr>
              <w:spacing w:after="20" w:before="0"/>
            </w:pPr>
            <w:r/>
            <w:r>
              <w:rPr>
                <w:rFonts w:ascii="Lato" w:hAnsi="Lato" w:cs="Lato"/>
                <w:b/>
                <w:i w:val="0"/>
                <w:color w:val="00648B"/>
                <w:sz w:val="17"/>
              </w:rPr>
              <w:t>Copy-paste-ready wording</w:t>
            </w:r>
          </w:p>
        </w:tc>
        <w:tc>
          <w:tcPr>
            <w:tcW w:type="dxa" w:w="7484"/>
          </w:tcPr>
          <w:p>
            <w:pPr>
              <w:spacing w:after="20" w:before="0"/>
            </w:pPr>
            <w:r/>
            <w:r>
              <w:rPr>
                <w:rFonts w:ascii="Lato" w:hAnsi="Lato" w:cs="Lato"/>
                <w:b w:val="0"/>
                <w:i w:val="0"/>
                <w:color w:val="2B2F33"/>
                <w:sz w:val="17"/>
              </w:rPr>
              <w:t>Accounts Receivable (Book Debts) — [head re-labelled]. Increase in Cost of Working and Additional Increase in Cost of Working are already named, discrete Basis-of-Settlement heads in Section 3; the 'Accounts Receivable' head has been labelled '(Book Debts)' so the book-debts cover is unmistakable for like-for-like comparison with Allianz/AXA XL.</w:t>
            </w:r>
          </w:p>
        </w:tc>
      </w:tr>
      <w:tr>
        <w:tc>
          <w:tcPr>
            <w:tcW w:type="dxa" w:w="2381"/>
            <w:shd w:val="clear" w:color="auto" w:fill="EAF1F5"/>
          </w:tcPr>
          <w:p>
            <w:pPr>
              <w:spacing w:after="20" w:before="0"/>
            </w:pPr>
            <w:r/>
            <w:r>
              <w:rPr>
                <w:rFonts w:ascii="Lato" w:hAnsi="Lato" w:cs="Lato"/>
                <w:b/>
                <w:i w:val="0"/>
                <w:color w:val="00648B"/>
                <w:sz w:val="17"/>
              </w:rPr>
              <w:t>Priority</w:t>
            </w:r>
          </w:p>
        </w:tc>
        <w:tc>
          <w:tcPr>
            <w:tcW w:type="dxa" w:w="7484"/>
          </w:tcPr>
          <w:p>
            <w:pPr>
              <w:spacing w:after="20" w:before="0"/>
            </w:pPr>
            <w:r/>
            <w:r>
              <w:rPr>
                <w:rFonts w:ascii="Lato" w:hAnsi="Lato" w:cs="Lato"/>
                <w:b w:val="0"/>
                <w:i w:val="0"/>
                <w:color w:val="2B2F33"/>
                <w:sz w:val="17"/>
              </w:rPr>
              <w:t>Medium</w:t>
            </w:r>
          </w:p>
        </w:tc>
      </w:tr>
      <w:tr>
        <w:tc>
          <w:tcPr>
            <w:tcW w:type="dxa" w:w="2381"/>
            <w:shd w:val="clear" w:color="auto" w:fill="EAF1F5"/>
          </w:tcPr>
          <w:p>
            <w:pPr>
              <w:spacing w:after="20" w:before="0"/>
            </w:pPr>
            <w:r/>
            <w:r>
              <w:rPr>
                <w:rFonts w:ascii="Lato" w:hAnsi="Lato" w:cs="Lato"/>
                <w:b/>
                <w:i w:val="0"/>
                <w:color w:val="00648B"/>
                <w:sz w:val="17"/>
              </w:rPr>
              <w:t>Underwriting impact</w:t>
            </w:r>
          </w:p>
        </w:tc>
        <w:tc>
          <w:tcPr>
            <w:tcW w:type="dxa" w:w="7484"/>
          </w:tcPr>
          <w:p>
            <w:pPr>
              <w:spacing w:after="20" w:before="0"/>
            </w:pPr>
            <w:r/>
            <w:r>
              <w:rPr>
                <w:rFonts w:ascii="Lato" w:hAnsi="Lato" w:cs="Lato"/>
                <w:b w:val="0"/>
                <w:i w:val="0"/>
                <w:color w:val="2B2F33"/>
                <w:sz w:val="17"/>
              </w:rPr>
              <w:t>Nil — presentational clarification only; no broadening of cover.</w:t>
            </w:r>
          </w:p>
        </w:tc>
      </w:tr>
      <w:tr>
        <w:tc>
          <w:tcPr>
            <w:tcW w:type="dxa" w:w="2381"/>
            <w:shd w:val="clear" w:color="auto" w:fill="EAF1F5"/>
          </w:tcPr>
          <w:p>
            <w:pPr>
              <w:spacing w:after="20" w:before="0"/>
            </w:pPr>
            <w:r/>
            <w:r>
              <w:rPr>
                <w:rFonts w:ascii="Lato" w:hAnsi="Lato" w:cs="Lato"/>
                <w:b/>
                <w:i w:val="0"/>
                <w:color w:val="00648B"/>
                <w:sz w:val="17"/>
              </w:rPr>
              <w:t>Legal sign-off required</w:t>
            </w:r>
          </w:p>
        </w:tc>
        <w:tc>
          <w:tcPr>
            <w:tcW w:type="dxa" w:w="7484"/>
          </w:tcPr>
          <w:p>
            <w:pPr>
              <w:spacing w:after="20" w:before="0"/>
            </w:pPr>
            <w:r/>
            <w:r>
              <w:rPr>
                <w:rFonts w:ascii="Lato" w:hAnsi="Lato" w:cs="Lato"/>
                <w:b w:val="0"/>
                <w:i w:val="0"/>
                <w:color w:val="2B2F33"/>
                <w:sz w:val="17"/>
              </w:rPr>
              <w:t>No</w:t>
            </w:r>
          </w:p>
        </w:tc>
      </w:tr>
      <w:tr>
        <w:tc>
          <w:tcPr>
            <w:tcW w:type="dxa" w:w="2381"/>
            <w:shd w:val="clear" w:color="auto" w:fill="EAF1F5"/>
          </w:tcPr>
          <w:p>
            <w:pPr>
              <w:spacing w:after="20" w:before="0"/>
            </w:pPr>
            <w:r/>
            <w:r>
              <w:rPr>
                <w:rFonts w:ascii="Lato" w:hAnsi="Lato" w:cs="Lato"/>
                <w:b/>
                <w:i w:val="0"/>
                <w:color w:val="00648B"/>
                <w:sz w:val="17"/>
              </w:rPr>
              <w:t>Implemented now or parked</w:t>
            </w:r>
          </w:p>
        </w:tc>
        <w:tc>
          <w:tcPr>
            <w:tcW w:type="dxa" w:w="7484"/>
          </w:tcPr>
          <w:p>
            <w:pPr>
              <w:spacing w:after="20" w:before="0"/>
            </w:pPr>
            <w:r/>
            <w:r>
              <w:rPr>
                <w:rFonts w:ascii="Lato" w:hAnsi="Lato" w:cs="Lato"/>
                <w:b w:val="0"/>
                <w:i w:val="0"/>
                <w:color w:val="2B2F33"/>
                <w:sz w:val="17"/>
              </w:rPr>
              <w:t>Implemented now</w:t>
            </w:r>
          </w:p>
        </w:tc>
      </w:tr>
      <w:tr>
        <w:tc>
          <w:tcPr>
            <w:tcW w:type="dxa" w:w="2381"/>
            <w:shd w:val="clear" w:color="auto" w:fill="EAF1F5"/>
          </w:tcPr>
          <w:p>
            <w:pPr>
              <w:spacing w:after="20" w:before="0"/>
            </w:pPr>
            <w:r/>
            <w:r>
              <w:rPr>
                <w:rFonts w:ascii="Lato" w:hAnsi="Lato" w:cs="Lato"/>
                <w:b/>
                <w:i w:val="0"/>
                <w:color w:val="00648B"/>
                <w:sz w:val="17"/>
              </w:rPr>
              <w:t>Commercial benefit</w:t>
            </w:r>
          </w:p>
        </w:tc>
        <w:tc>
          <w:tcPr>
            <w:tcW w:type="dxa" w:w="7484"/>
          </w:tcPr>
          <w:p>
            <w:pPr>
              <w:spacing w:after="20" w:before="0"/>
            </w:pPr>
            <w:r/>
            <w:r>
              <w:rPr>
                <w:rFonts w:ascii="Lato" w:hAnsi="Lato" w:cs="Lato"/>
                <w:b w:val="0"/>
                <w:i w:val="0"/>
                <w:color w:val="2B2F33"/>
                <w:sz w:val="17"/>
              </w:rPr>
              <w:t>Improves like-for-like BI presentation.</w:t>
            </w:r>
          </w:p>
        </w:tc>
      </w:tr>
      <w:tr>
        <w:tc>
          <w:tcPr>
            <w:tcW w:type="dxa" w:w="2381"/>
            <w:shd w:val="clear" w:color="auto" w:fill="EAF1F5"/>
          </w:tcPr>
          <w:p>
            <w:pPr>
              <w:spacing w:after="20" w:before="0"/>
            </w:pPr>
            <w:r/>
            <w:r>
              <w:rPr>
                <w:rFonts w:ascii="Lato" w:hAnsi="Lato" w:cs="Lato"/>
                <w:b/>
                <w:i w:val="0"/>
                <w:color w:val="00648B"/>
                <w:sz w:val="17"/>
              </w:rPr>
              <w:t>Legal / underwriting review</w:t>
            </w:r>
          </w:p>
        </w:tc>
        <w:tc>
          <w:tcPr>
            <w:tcW w:type="dxa" w:w="7484"/>
          </w:tcPr>
          <w:p>
            <w:pPr>
              <w:spacing w:after="20" w:before="0"/>
            </w:pPr>
            <w:r/>
            <w:r>
              <w:rPr>
                <w:rFonts w:ascii="Lato" w:hAnsi="Lato" w:cs="Lato"/>
                <w:b w:val="0"/>
                <w:i w:val="0"/>
                <w:color w:val="2B2F33"/>
                <w:sz w:val="17"/>
              </w:rPr>
              <w:t>Confirm S3 scope; adjust headings only.</w:t>
            </w:r>
          </w:p>
        </w:tc>
      </w:tr>
    </w:tbl>
    <w:p>
      <w:pPr>
        <w:spacing w:after="160"/>
      </w:pPr>
    </w:p>
    <w:tbl>
      <w:tblPr>
        <w:tblW w:type="pct" w:w="5000"/>
        <w:tblLayout w:type="fixed"/>
        <w:tblLook w:firstColumn="1" w:firstRow="1" w:lastColumn="0" w:lastRow="0" w:noHBand="0" w:noVBand="1" w:val="04A0"/>
      </w:tblPr>
      <w:tblGrid>
        <w:gridCol w:w="9978"/>
      </w:tblGrid>
      <w:tr>
        <w:tc>
          <w:tcPr>
            <w:tcW w:type="dxa" w:w="9978"/>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Final position:  </w:t>
            </w:r>
            <w:r>
              <w:rPr>
                <w:rFonts w:ascii="Lato" w:hAnsi="Lato" w:cs="Lato"/>
                <w:b w:val="0"/>
                <w:i w:val="0"/>
                <w:color w:val="2B2F33"/>
                <w:sz w:val="19"/>
              </w:rPr>
              <w:t>FINAL POSITION (Gap 8): Section 3 already names 'Increase in Cost of Working' and 'Additional Increase in Cost of Working' as discrete settlement heads, and provides book-debts cover under 'Accounts Receivable'. The only refinement required was presentational: the 'Accounts Receivable' head is now labelled '(Book Debts)' (tracked change, definition + basis of settlement). No cover broadened; no sign-off required.</w:t>
            </w:r>
          </w:p>
        </w:tc>
      </w:tr>
    </w:tbl>
    <w:p>
      <w:pPr>
        <w:spacing w:after="80"/>
      </w:pPr>
    </w:p>
    <w:p>
      <w:pPr>
        <w:keepNext/>
        <w:spacing w:before="180" w:after="40"/>
      </w:pPr>
      <w:r>
        <w:rPr>
          <w:rFonts w:ascii="Lato" w:hAnsi="Lato" w:cs="Lato"/>
          <w:b/>
          <w:i w:val="0"/>
          <w:color w:val="00648B"/>
          <w:sz w:val="23"/>
        </w:rPr>
        <w:t>Gap 9.  Adopt a King’s Counsel dispute-resolution clause in Media Liability</w:t>
      </w:r>
      <w:r>
        <w:rPr>
          <w:rFonts w:ascii="Lato" w:hAnsi="Lato" w:cs="Lato"/>
          <w:b/>
          <w:i w:val="0"/>
          <w:color w:val="5B6166"/>
          <w:sz w:val="18"/>
        </w:rPr>
        <w:t xml:space="preserve">   [ Priority: Low-Medium ]</w:t>
      </w:r>
      <w:r>
        <w:rPr>
          <w:rFonts w:ascii="Lato" w:hAnsi="Lato" w:cs="Lato"/>
          <w:b/>
          <w:i w:val="0"/>
          <w:color w:val="8A6A1E"/>
          <w:sz w:val="18"/>
        </w:rPr>
        <w:t xml:space="preserve">    [ Round 7: Parked — Section 12 sign-off list ]</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Competitor(s)</w:t>
            </w:r>
          </w:p>
        </w:tc>
        <w:tc>
          <w:tcPr>
            <w:tcW w:type="dxa" w:w="7484"/>
          </w:tcPr>
          <w:p>
            <w:pPr>
              <w:spacing w:after="20" w:before="0"/>
            </w:pPr>
            <w:r/>
            <w:r>
              <w:rPr>
                <w:rFonts w:ascii="Lato" w:hAnsi="Lato" w:cs="Lato"/>
                <w:b w:val="0"/>
                <w:i w:val="0"/>
                <w:color w:val="2B2F33"/>
                <w:sz w:val="17"/>
              </w:rPr>
              <w:t>Yutree (KC clause)</w:t>
            </w:r>
          </w:p>
        </w:tc>
      </w:tr>
      <w:tr>
        <w:tc>
          <w:tcPr>
            <w:tcW w:type="dxa" w:w="2381"/>
            <w:shd w:val="clear" w:color="auto" w:fill="EAF1F5"/>
          </w:tcPr>
          <w:p>
            <w:pPr>
              <w:spacing w:after="20" w:before="0"/>
            </w:pPr>
            <w:r/>
            <w:r>
              <w:rPr>
                <w:rFonts w:ascii="Lato" w:hAnsi="Lato" w:cs="Lato"/>
                <w:b/>
                <w:i w:val="0"/>
                <w:color w:val="00648B"/>
                <w:sz w:val="17"/>
              </w:rPr>
              <w:t>What the competitor does</w:t>
            </w:r>
          </w:p>
        </w:tc>
        <w:tc>
          <w:tcPr>
            <w:tcW w:type="dxa" w:w="7484"/>
          </w:tcPr>
          <w:p>
            <w:pPr>
              <w:spacing w:after="20" w:before="0"/>
            </w:pPr>
            <w:r/>
            <w:r>
              <w:rPr>
                <w:rFonts w:ascii="Lato" w:hAnsi="Lato" w:cs="Lato"/>
                <w:b w:val="0"/>
                <w:i w:val="0"/>
                <w:color w:val="2B2F33"/>
                <w:sz w:val="17"/>
              </w:rPr>
              <w:t>On a defence/settlement dispute, the matter is referred to a mutually-agreed King’s Counsel whose view binds both parties.</w:t>
            </w:r>
          </w:p>
        </w:tc>
      </w:tr>
      <w:tr>
        <w:tc>
          <w:tcPr>
            <w:tcW w:type="dxa" w:w="2381"/>
            <w:shd w:val="clear" w:color="auto" w:fill="EAF1F5"/>
          </w:tcPr>
          <w:p>
            <w:pPr>
              <w:spacing w:after="20" w:before="0"/>
            </w:pPr>
            <w:r/>
            <w:r>
              <w:rPr>
                <w:rFonts w:ascii="Lato" w:hAnsi="Lato" w:cs="Lato"/>
                <w:b/>
                <w:i w:val="0"/>
                <w:color w:val="00648B"/>
                <w:sz w:val="17"/>
              </w:rPr>
              <w:t>Current TMHCC position</w:t>
            </w:r>
          </w:p>
        </w:tc>
        <w:tc>
          <w:tcPr>
            <w:tcW w:type="dxa" w:w="7484"/>
          </w:tcPr>
          <w:p>
            <w:pPr>
              <w:spacing w:after="20" w:before="0"/>
            </w:pPr>
            <w:r/>
            <w:r>
              <w:rPr>
                <w:rFonts w:ascii="Lato" w:hAnsi="Lato" w:cs="Lato"/>
                <w:b w:val="0"/>
                <w:i w:val="0"/>
                <w:color w:val="2B2F33"/>
                <w:sz w:val="17"/>
              </w:rPr>
              <w:t>Relies on a general mediation/dispute condition.</w:t>
            </w:r>
          </w:p>
        </w:tc>
      </w:tr>
      <w:tr>
        <w:tc>
          <w:tcPr>
            <w:tcW w:type="dxa" w:w="2381"/>
            <w:shd w:val="clear" w:color="auto" w:fill="EAF1F5"/>
          </w:tcPr>
          <w:p>
            <w:pPr>
              <w:spacing w:after="20" w:before="0"/>
            </w:pPr>
            <w:r/>
            <w:r>
              <w:rPr>
                <w:rFonts w:ascii="Lato" w:hAnsi="Lato" w:cs="Lato"/>
                <w:b/>
                <w:i w:val="0"/>
                <w:color w:val="00648B"/>
                <w:sz w:val="17"/>
              </w:rPr>
              <w:t>Gap / opportunity</w:t>
            </w:r>
          </w:p>
        </w:tc>
        <w:tc>
          <w:tcPr>
            <w:tcW w:type="dxa" w:w="7484"/>
          </w:tcPr>
          <w:p>
            <w:pPr>
              <w:spacing w:after="20" w:before="0"/>
            </w:pPr>
            <w:r/>
            <w:r>
              <w:rPr>
                <w:rFonts w:ascii="Lato" w:hAnsi="Lato" w:cs="Lato"/>
                <w:b w:val="0"/>
                <w:i w:val="0"/>
                <w:color w:val="2B2F33"/>
                <w:sz w:val="17"/>
              </w:rPr>
              <w:t>Drafting-clarity opportunity; reduces coverage friction.</w:t>
            </w:r>
          </w:p>
        </w:tc>
      </w:tr>
      <w:tr>
        <w:tc>
          <w:tcPr>
            <w:tcW w:type="dxa" w:w="2381"/>
            <w:shd w:val="clear" w:color="auto" w:fill="EAF1F5"/>
          </w:tcPr>
          <w:p>
            <w:pPr>
              <w:spacing w:after="20" w:before="0"/>
            </w:pPr>
            <w:r/>
            <w:r>
              <w:rPr>
                <w:rFonts w:ascii="Lato" w:hAnsi="Lato" w:cs="Lato"/>
                <w:b/>
                <w:i w:val="0"/>
                <w:color w:val="00648B"/>
                <w:sz w:val="17"/>
              </w:rPr>
              <w:t>Recommended action</w:t>
            </w:r>
          </w:p>
        </w:tc>
        <w:tc>
          <w:tcPr>
            <w:tcW w:type="dxa" w:w="7484"/>
          </w:tcPr>
          <w:p>
            <w:pPr>
              <w:spacing w:after="20" w:before="0"/>
            </w:pPr>
            <w:r/>
            <w:r>
              <w:rPr>
                <w:rFonts w:ascii="Lato" w:hAnsi="Lato" w:cs="Lato"/>
                <w:b w:val="0"/>
                <w:i w:val="0"/>
                <w:color w:val="2B2F33"/>
                <w:sz w:val="17"/>
              </w:rPr>
              <w:t>Add a KC-determination clause to S12 defence/settlement provisions.</w:t>
            </w:r>
          </w:p>
        </w:tc>
      </w:tr>
      <w:tr>
        <w:tc>
          <w:tcPr>
            <w:tcW w:type="dxa" w:w="2381"/>
            <w:shd w:val="clear" w:color="auto" w:fill="EAF1F5"/>
          </w:tcPr>
          <w:p>
            <w:pPr>
              <w:spacing w:after="20" w:before="0"/>
            </w:pPr>
            <w:r/>
            <w:r>
              <w:rPr>
                <w:rFonts w:ascii="Lato" w:hAnsi="Lato" w:cs="Lato"/>
                <w:b/>
                <w:i w:val="0"/>
                <w:color w:val="00648B"/>
                <w:sz w:val="17"/>
              </w:rPr>
              <w:t>Exact policy location</w:t>
            </w:r>
          </w:p>
        </w:tc>
        <w:tc>
          <w:tcPr>
            <w:tcW w:type="dxa" w:w="7484"/>
          </w:tcPr>
          <w:p>
            <w:pPr>
              <w:spacing w:after="20" w:before="0"/>
            </w:pPr>
            <w:r/>
            <w:r>
              <w:rPr>
                <w:rFonts w:ascii="Lato" w:hAnsi="Lato" w:cs="Lato"/>
                <w:b w:val="0"/>
                <w:i w:val="0"/>
                <w:color w:val="2B2F33"/>
                <w:sz w:val="17"/>
              </w:rPr>
              <w:t>Section 12 — within the Defence and Settlement / dispute provisions (p.73+).</w:t>
            </w:r>
          </w:p>
        </w:tc>
      </w:tr>
      <w:tr>
        <w:tc>
          <w:tcPr>
            <w:tcW w:type="dxa" w:w="2381"/>
            <w:shd w:val="clear" w:color="auto" w:fill="EAF1F5"/>
          </w:tcPr>
          <w:p>
            <w:pPr>
              <w:spacing w:after="20" w:before="0"/>
            </w:pPr>
            <w:r/>
            <w:r>
              <w:rPr>
                <w:rFonts w:ascii="Lato" w:hAnsi="Lato" w:cs="Lato"/>
                <w:b/>
                <w:i w:val="0"/>
                <w:color w:val="00648B"/>
                <w:sz w:val="17"/>
              </w:rPr>
              <w:t>Copy-paste-ready wording</w:t>
            </w:r>
          </w:p>
        </w:tc>
        <w:tc>
          <w:tcPr>
            <w:tcW w:type="dxa" w:w="7484"/>
          </w:tcPr>
          <w:p>
            <w:pPr>
              <w:spacing w:after="20" w:before="0"/>
            </w:pPr>
            <w:r/>
            <w:r>
              <w:rPr>
                <w:rFonts w:ascii="Lato" w:hAnsi="Lato" w:cs="Lato"/>
                <w:b w:val="0"/>
                <w:i w:val="0"/>
                <w:color w:val="2B2F33"/>
                <w:sz w:val="17"/>
              </w:rPr>
              <w:t>King’s Counsel Determination (Optional) — If the Insured and the Insurer disagree as to whether any claim should be contested, the dispute shall be referred to a King’s Counsel to be mutually agreed (or, failing agreement, nominated by the President of the Bar Council), whose determination shall be binding. The costs of the reference shall be at the discretion of the King’s Counsel.</w:t>
            </w:r>
          </w:p>
        </w:tc>
      </w:tr>
      <w:tr>
        <w:tc>
          <w:tcPr>
            <w:tcW w:type="dxa" w:w="2381"/>
            <w:shd w:val="clear" w:color="auto" w:fill="EAF1F5"/>
          </w:tcPr>
          <w:p>
            <w:pPr>
              <w:spacing w:after="20" w:before="0"/>
            </w:pPr>
            <w:r/>
            <w:r>
              <w:rPr>
                <w:rFonts w:ascii="Lato" w:hAnsi="Lato" w:cs="Lato"/>
                <w:b/>
                <w:i w:val="0"/>
                <w:color w:val="00648B"/>
                <w:sz w:val="17"/>
              </w:rPr>
              <w:t>Priority</w:t>
            </w:r>
          </w:p>
        </w:tc>
        <w:tc>
          <w:tcPr>
            <w:tcW w:type="dxa" w:w="7484"/>
          </w:tcPr>
          <w:p>
            <w:pPr>
              <w:spacing w:after="20" w:before="0"/>
            </w:pPr>
            <w:r/>
            <w:r>
              <w:rPr>
                <w:rFonts w:ascii="Lato" w:hAnsi="Lato" w:cs="Lato"/>
                <w:b w:val="0"/>
                <w:i w:val="0"/>
                <w:color w:val="2B2F33"/>
                <w:sz w:val="17"/>
              </w:rPr>
              <w:t>Low-Medium</w:t>
            </w:r>
          </w:p>
        </w:tc>
      </w:tr>
      <w:tr>
        <w:tc>
          <w:tcPr>
            <w:tcW w:type="dxa" w:w="2381"/>
            <w:shd w:val="clear" w:color="auto" w:fill="EAF1F5"/>
          </w:tcPr>
          <w:p>
            <w:pPr>
              <w:spacing w:after="20" w:before="0"/>
            </w:pPr>
            <w:r/>
            <w:r>
              <w:rPr>
                <w:rFonts w:ascii="Lato" w:hAnsi="Lato" w:cs="Lato"/>
                <w:b/>
                <w:i w:val="0"/>
                <w:color w:val="00648B"/>
                <w:sz w:val="17"/>
              </w:rPr>
              <w:t>Underwriting impact</w:t>
            </w:r>
          </w:p>
        </w:tc>
        <w:tc>
          <w:tcPr>
            <w:tcW w:type="dxa" w:w="7484"/>
          </w:tcPr>
          <w:p>
            <w:pPr>
              <w:spacing w:after="20" w:before="0"/>
            </w:pPr>
            <w:r/>
            <w:r>
              <w:rPr>
                <w:rFonts w:ascii="Lato" w:hAnsi="Lato" w:cs="Lato"/>
                <w:b w:val="0"/>
                <w:i w:val="0"/>
                <w:color w:val="2B2F33"/>
                <w:sz w:val="17"/>
              </w:rPr>
              <w:t>Low — procedural; confirm cost-allocation wording (mirror Yutree KC clause).</w:t>
            </w:r>
          </w:p>
        </w:tc>
      </w:tr>
      <w:tr>
        <w:tc>
          <w:tcPr>
            <w:tcW w:type="dxa" w:w="2381"/>
            <w:shd w:val="clear" w:color="auto" w:fill="EAF1F5"/>
          </w:tcPr>
          <w:p>
            <w:pPr>
              <w:spacing w:after="20" w:before="0"/>
            </w:pPr>
            <w:r/>
            <w:r>
              <w:rPr>
                <w:rFonts w:ascii="Lato" w:hAnsi="Lato" w:cs="Lato"/>
                <w:b/>
                <w:i w:val="0"/>
                <w:color w:val="00648B"/>
                <w:sz w:val="17"/>
              </w:rPr>
              <w:t>Legal sign-off required</w:t>
            </w:r>
          </w:p>
        </w:tc>
        <w:tc>
          <w:tcPr>
            <w:tcW w:type="dxa" w:w="7484"/>
          </w:tcPr>
          <w:p>
            <w:pPr>
              <w:spacing w:after="20" w:before="0"/>
            </w:pPr>
            <w:r/>
            <w:r>
              <w:rPr>
                <w:rFonts w:ascii="Lato" w:hAnsi="Lato" w:cs="Lato"/>
                <w:b w:val="0"/>
                <w:i w:val="0"/>
                <w:color w:val="2B2F33"/>
                <w:sz w:val="17"/>
              </w:rPr>
              <w:t>Yes</w:t>
            </w:r>
          </w:p>
        </w:tc>
      </w:tr>
      <w:tr>
        <w:tc>
          <w:tcPr>
            <w:tcW w:type="dxa" w:w="2381"/>
            <w:shd w:val="clear" w:color="auto" w:fill="EAF1F5"/>
          </w:tcPr>
          <w:p>
            <w:pPr>
              <w:spacing w:after="20" w:before="0"/>
            </w:pPr>
            <w:r/>
            <w:r>
              <w:rPr>
                <w:rFonts w:ascii="Lato" w:hAnsi="Lato" w:cs="Lato"/>
                <w:b/>
                <w:i w:val="0"/>
                <w:color w:val="00648B"/>
                <w:sz w:val="17"/>
              </w:rPr>
              <w:t>Implemented now or parked</w:t>
            </w:r>
          </w:p>
        </w:tc>
        <w:tc>
          <w:tcPr>
            <w:tcW w:type="dxa" w:w="7484"/>
          </w:tcPr>
          <w:p>
            <w:pPr>
              <w:spacing w:after="20" w:before="0"/>
            </w:pPr>
            <w:r/>
            <w:r>
              <w:rPr>
                <w:rFonts w:ascii="Lato" w:hAnsi="Lato" w:cs="Lato"/>
                <w:b w:val="0"/>
                <w:i w:val="0"/>
                <w:color w:val="2B2F33"/>
                <w:sz w:val="17"/>
              </w:rPr>
              <w:t>Not implemented (Section 12 — sign-off)</w:t>
            </w:r>
          </w:p>
        </w:tc>
      </w:tr>
      <w:tr>
        <w:tc>
          <w:tcPr>
            <w:tcW w:type="dxa" w:w="2381"/>
            <w:shd w:val="clear" w:color="auto" w:fill="EAF1F5"/>
          </w:tcPr>
          <w:p>
            <w:pPr>
              <w:spacing w:after="20" w:before="0"/>
            </w:pPr>
            <w:r/>
            <w:r>
              <w:rPr>
                <w:rFonts w:ascii="Lato" w:hAnsi="Lato" w:cs="Lato"/>
                <w:b/>
                <w:i w:val="0"/>
                <w:color w:val="00648B"/>
                <w:sz w:val="17"/>
              </w:rPr>
              <w:t>Commercial benefit</w:t>
            </w:r>
          </w:p>
        </w:tc>
        <w:tc>
          <w:tcPr>
            <w:tcW w:type="dxa" w:w="7484"/>
          </w:tcPr>
          <w:p>
            <w:pPr>
              <w:spacing w:after="20" w:before="0"/>
            </w:pPr>
            <w:r/>
            <w:r>
              <w:rPr>
                <w:rFonts w:ascii="Lato" w:hAnsi="Lato" w:cs="Lato"/>
                <w:b w:val="0"/>
                <w:i w:val="0"/>
                <w:color w:val="2B2F33"/>
                <w:sz w:val="17"/>
              </w:rPr>
              <w:t>Signals fair-claims handling.</w:t>
            </w:r>
          </w:p>
        </w:tc>
      </w:tr>
      <w:tr>
        <w:tc>
          <w:tcPr>
            <w:tcW w:type="dxa" w:w="2381"/>
            <w:shd w:val="clear" w:color="auto" w:fill="EAF1F5"/>
          </w:tcPr>
          <w:p>
            <w:pPr>
              <w:spacing w:after="20" w:before="0"/>
            </w:pPr>
            <w:r/>
            <w:r>
              <w:rPr>
                <w:rFonts w:ascii="Lato" w:hAnsi="Lato" w:cs="Lato"/>
                <w:b/>
                <w:i w:val="0"/>
                <w:color w:val="00648B"/>
                <w:sz w:val="17"/>
              </w:rPr>
              <w:t>Legal / underwriting review</w:t>
            </w:r>
          </w:p>
        </w:tc>
        <w:tc>
          <w:tcPr>
            <w:tcW w:type="dxa" w:w="7484"/>
          </w:tcPr>
          <w:p>
            <w:pPr>
              <w:spacing w:after="20" w:before="0"/>
            </w:pPr>
            <w:r/>
            <w:r>
              <w:rPr>
                <w:rFonts w:ascii="Lato" w:hAnsi="Lato" w:cs="Lato"/>
                <w:b w:val="0"/>
                <w:i w:val="0"/>
                <w:color w:val="2B2F33"/>
                <w:sz w:val="17"/>
              </w:rPr>
              <w:t>Standard clause; confirm cost-allocation wording.</w:t>
            </w:r>
          </w:p>
        </w:tc>
      </w:tr>
    </w:tbl>
    <w:p>
      <w:pPr>
        <w:spacing w:after="160"/>
      </w:pPr>
    </w:p>
    <w:p>
      <w:pPr>
        <w:keepNext/>
        <w:spacing w:before="180" w:after="40"/>
      </w:pPr>
      <w:r>
        <w:rPr>
          <w:rFonts w:ascii="Lato" w:hAnsi="Lato" w:cs="Lato"/>
          <w:b/>
          <w:i w:val="0"/>
          <w:color w:val="00648B"/>
          <w:sz w:val="23"/>
        </w:rPr>
        <w:t>Gap 10.  Confirm/clarify computer-breakdown cover within S1/S2</w:t>
      </w:r>
      <w:r>
        <w:rPr>
          <w:rFonts w:ascii="Lato" w:hAnsi="Lato" w:cs="Lato"/>
          <w:b/>
          <w:i w:val="0"/>
          <w:color w:val="5B6166"/>
          <w:sz w:val="18"/>
        </w:rPr>
        <w:t xml:space="preserve">   [ Priority: Low-Medium ]</w:t>
      </w:r>
      <w:r>
        <w:rPr>
          <w:rFonts w:ascii="Lato" w:hAnsi="Lato" w:cs="Lato"/>
          <w:b/>
          <w:i w:val="0"/>
          <w:color w:val="2E7D44"/>
          <w:sz w:val="18"/>
        </w:rPr>
        <w:t xml:space="preserve">    [ Round 7: Already covered — no wording change ]</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Competitor(s)</w:t>
            </w:r>
          </w:p>
        </w:tc>
        <w:tc>
          <w:tcPr>
            <w:tcW w:type="dxa" w:w="7484"/>
          </w:tcPr>
          <w:p>
            <w:pPr>
              <w:spacing w:after="20" w:before="0"/>
            </w:pPr>
            <w:r/>
            <w:r>
              <w:rPr>
                <w:rFonts w:ascii="Lato" w:hAnsi="Lato" w:cs="Lato"/>
                <w:b w:val="0"/>
                <w:i w:val="0"/>
                <w:color w:val="2B2F33"/>
                <w:sz w:val="17"/>
              </w:rPr>
              <w:t>Yutree (standalone Computer Breakdown section)</w:t>
            </w:r>
          </w:p>
        </w:tc>
      </w:tr>
      <w:tr>
        <w:tc>
          <w:tcPr>
            <w:tcW w:type="dxa" w:w="2381"/>
            <w:shd w:val="clear" w:color="auto" w:fill="EAF1F5"/>
          </w:tcPr>
          <w:p>
            <w:pPr>
              <w:spacing w:after="20" w:before="0"/>
            </w:pPr>
            <w:r/>
            <w:r>
              <w:rPr>
                <w:rFonts w:ascii="Lato" w:hAnsi="Lato" w:cs="Lato"/>
                <w:b/>
                <w:i w:val="0"/>
                <w:color w:val="00648B"/>
                <w:sz w:val="17"/>
              </w:rPr>
              <w:t>What the competitor does</w:t>
            </w:r>
          </w:p>
        </w:tc>
        <w:tc>
          <w:tcPr>
            <w:tcW w:type="dxa" w:w="7484"/>
          </w:tcPr>
          <w:p>
            <w:pPr>
              <w:spacing w:after="20" w:before="0"/>
            </w:pPr>
            <w:r/>
            <w:r>
              <w:rPr>
                <w:rFonts w:ascii="Lato" w:hAnsi="Lato" w:cs="Lato"/>
                <w:b w:val="0"/>
                <w:i w:val="0"/>
                <w:color w:val="2B2F33"/>
                <w:sz w:val="17"/>
              </w:rPr>
              <w:t>Dedicated first-party computer-breakdown section.</w:t>
            </w:r>
          </w:p>
        </w:tc>
      </w:tr>
      <w:tr>
        <w:tc>
          <w:tcPr>
            <w:tcW w:type="dxa" w:w="2381"/>
            <w:shd w:val="clear" w:color="auto" w:fill="EAF1F5"/>
          </w:tcPr>
          <w:p>
            <w:pPr>
              <w:spacing w:after="20" w:before="0"/>
            </w:pPr>
            <w:r/>
            <w:r>
              <w:rPr>
                <w:rFonts w:ascii="Lato" w:hAnsi="Lato" w:cs="Lato"/>
                <w:b/>
                <w:i w:val="0"/>
                <w:color w:val="00648B"/>
                <w:sz w:val="17"/>
              </w:rPr>
              <w:t>Current TMHCC position</w:t>
            </w:r>
          </w:p>
        </w:tc>
        <w:tc>
          <w:tcPr>
            <w:tcW w:type="dxa" w:w="7484"/>
          </w:tcPr>
          <w:p>
            <w:pPr>
              <w:spacing w:after="20" w:before="0"/>
            </w:pPr>
            <w:r/>
            <w:r>
              <w:rPr>
                <w:rFonts w:ascii="Lato" w:hAnsi="Lato" w:cs="Lato"/>
                <w:b w:val="0"/>
                <w:i w:val="0"/>
                <w:color w:val="2B2F33"/>
                <w:sz w:val="17"/>
              </w:rPr>
              <w:t>IT/breakdown consolidated within S1/S2 (per prior drafting).</w:t>
            </w:r>
          </w:p>
        </w:tc>
      </w:tr>
      <w:tr>
        <w:tc>
          <w:tcPr>
            <w:tcW w:type="dxa" w:w="2381"/>
            <w:shd w:val="clear" w:color="auto" w:fill="EAF1F5"/>
          </w:tcPr>
          <w:p>
            <w:pPr>
              <w:spacing w:after="20" w:before="0"/>
            </w:pPr>
            <w:r/>
            <w:r>
              <w:rPr>
                <w:rFonts w:ascii="Lato" w:hAnsi="Lato" w:cs="Lato"/>
                <w:b/>
                <w:i w:val="0"/>
                <w:color w:val="00648B"/>
                <w:sz w:val="17"/>
              </w:rPr>
              <w:t>Gap / opportunity</w:t>
            </w:r>
          </w:p>
        </w:tc>
        <w:tc>
          <w:tcPr>
            <w:tcW w:type="dxa" w:w="7484"/>
          </w:tcPr>
          <w:p>
            <w:pPr>
              <w:spacing w:after="20" w:before="0"/>
            </w:pPr>
            <w:r/>
            <w:r>
              <w:rPr>
                <w:rFonts w:ascii="Lato" w:hAnsi="Lato" w:cs="Lato"/>
                <w:b w:val="0"/>
                <w:i w:val="0"/>
                <w:color w:val="2B2F33"/>
                <w:sz w:val="17"/>
              </w:rPr>
              <w:t>Presentational — a competitor shows a named breakdown section.</w:t>
            </w:r>
          </w:p>
        </w:tc>
      </w:tr>
      <w:tr>
        <w:tc>
          <w:tcPr>
            <w:tcW w:type="dxa" w:w="2381"/>
            <w:shd w:val="clear" w:color="auto" w:fill="EAF1F5"/>
          </w:tcPr>
          <w:p>
            <w:pPr>
              <w:spacing w:after="20" w:before="0"/>
            </w:pPr>
            <w:r/>
            <w:r>
              <w:rPr>
                <w:rFonts w:ascii="Lato" w:hAnsi="Lato" w:cs="Lato"/>
                <w:b/>
                <w:i w:val="0"/>
                <w:color w:val="00648B"/>
                <w:sz w:val="17"/>
              </w:rPr>
              <w:t>Recommended action</w:t>
            </w:r>
          </w:p>
        </w:tc>
        <w:tc>
          <w:tcPr>
            <w:tcW w:type="dxa" w:w="7484"/>
          </w:tcPr>
          <w:p>
            <w:pPr>
              <w:spacing w:after="20" w:before="0"/>
            </w:pPr>
            <w:r/>
            <w:r>
              <w:rPr>
                <w:rFonts w:ascii="Lato" w:hAnsi="Lato" w:cs="Lato"/>
                <w:b w:val="0"/>
                <w:i w:val="0"/>
                <w:color w:val="2B2F33"/>
                <w:sz w:val="17"/>
              </w:rPr>
              <w:t>Add an explicit ‘computer/IT breakdown’ sub-heading or signpost within S1/S2.</w:t>
            </w:r>
          </w:p>
        </w:tc>
      </w:tr>
      <w:tr>
        <w:tc>
          <w:tcPr>
            <w:tcW w:type="dxa" w:w="2381"/>
            <w:shd w:val="clear" w:color="auto" w:fill="EAF1F5"/>
          </w:tcPr>
          <w:p>
            <w:pPr>
              <w:spacing w:after="20" w:before="0"/>
            </w:pPr>
            <w:r/>
            <w:r>
              <w:rPr>
                <w:rFonts w:ascii="Lato" w:hAnsi="Lato" w:cs="Lato"/>
                <w:b/>
                <w:i w:val="0"/>
                <w:color w:val="00648B"/>
                <w:sz w:val="17"/>
              </w:rPr>
              <w:t>Exact policy location</w:t>
            </w:r>
          </w:p>
        </w:tc>
        <w:tc>
          <w:tcPr>
            <w:tcW w:type="dxa" w:w="7484"/>
          </w:tcPr>
          <w:p>
            <w:pPr>
              <w:spacing w:after="20" w:before="0"/>
            </w:pPr>
            <w:r/>
            <w:r>
              <w:rPr>
                <w:rFonts w:ascii="Lato" w:hAnsi="Lato" w:cs="Lato"/>
                <w:b w:val="0"/>
                <w:i w:val="0"/>
                <w:color w:val="2B2F33"/>
                <w:sz w:val="17"/>
              </w:rPr>
              <w:t>Section 1 (Premises) Definitions &amp; The Cover (p.23+); Section 2 'Mechanical and Electrical Breakdown' Optional Extension (p.31+); Section 3 ICOW (Computers) (p.38+).</w:t>
            </w:r>
          </w:p>
        </w:tc>
      </w:tr>
      <w:tr>
        <w:tc>
          <w:tcPr>
            <w:tcW w:type="dxa" w:w="2381"/>
            <w:shd w:val="clear" w:color="auto" w:fill="EAF1F5"/>
          </w:tcPr>
          <w:p>
            <w:pPr>
              <w:spacing w:after="20" w:before="0"/>
            </w:pPr>
            <w:r/>
            <w:r>
              <w:rPr>
                <w:rFonts w:ascii="Lato" w:hAnsi="Lato" w:cs="Lato"/>
                <w:b/>
                <w:i w:val="0"/>
                <w:color w:val="00648B"/>
                <w:sz w:val="17"/>
              </w:rPr>
              <w:t>Copy-paste-ready wording</w:t>
            </w:r>
          </w:p>
        </w:tc>
        <w:tc>
          <w:tcPr>
            <w:tcW w:type="dxa" w:w="7484"/>
          </w:tcPr>
          <w:p>
            <w:pPr>
              <w:spacing w:after="20" w:before="0"/>
            </w:pPr>
            <w:r/>
            <w:r>
              <w:rPr>
                <w:rFonts w:ascii="Lato" w:hAnsi="Lato" w:cs="Lato"/>
                <w:b w:val="0"/>
                <w:i w:val="0"/>
                <w:color w:val="2B2F33"/>
                <w:sz w:val="17"/>
              </w:rPr>
              <w:t>(Optional signpost, NOT implemented) — 'Computer / IT Breakdown: cover for Breakdown of Information Technology Property is provided under Section 1 (Business “All Risks”) and, where away from the Premises, under the Mechanical and Electrical Breakdown Optional Extension of Section 2; consequential loss is dealt with under Section 3.' Not added so as not to imply new cover or alter the existing structure.</w:t>
            </w:r>
          </w:p>
        </w:tc>
      </w:tr>
      <w:tr>
        <w:tc>
          <w:tcPr>
            <w:tcW w:type="dxa" w:w="2381"/>
            <w:shd w:val="clear" w:color="auto" w:fill="EAF1F5"/>
          </w:tcPr>
          <w:p>
            <w:pPr>
              <w:spacing w:after="20" w:before="0"/>
            </w:pPr>
            <w:r/>
            <w:r>
              <w:rPr>
                <w:rFonts w:ascii="Lato" w:hAnsi="Lato" w:cs="Lato"/>
                <w:b/>
                <w:i w:val="0"/>
                <w:color w:val="00648B"/>
                <w:sz w:val="17"/>
              </w:rPr>
              <w:t>Priority</w:t>
            </w:r>
          </w:p>
        </w:tc>
        <w:tc>
          <w:tcPr>
            <w:tcW w:type="dxa" w:w="7484"/>
          </w:tcPr>
          <w:p>
            <w:pPr>
              <w:spacing w:after="20" w:before="0"/>
            </w:pPr>
            <w:r/>
            <w:r>
              <w:rPr>
                <w:rFonts w:ascii="Lato" w:hAnsi="Lato" w:cs="Lato"/>
                <w:b w:val="0"/>
                <w:i w:val="0"/>
                <w:color w:val="2B2F33"/>
                <w:sz w:val="17"/>
              </w:rPr>
              <w:t>Low-Medium</w:t>
            </w:r>
          </w:p>
        </w:tc>
      </w:tr>
      <w:tr>
        <w:tc>
          <w:tcPr>
            <w:tcW w:type="dxa" w:w="2381"/>
            <w:shd w:val="clear" w:color="auto" w:fill="EAF1F5"/>
          </w:tcPr>
          <w:p>
            <w:pPr>
              <w:spacing w:after="20" w:before="0"/>
            </w:pPr>
            <w:r/>
            <w:r>
              <w:rPr>
                <w:rFonts w:ascii="Lato" w:hAnsi="Lato" w:cs="Lato"/>
                <w:b/>
                <w:i w:val="0"/>
                <w:color w:val="00648B"/>
                <w:sz w:val="17"/>
              </w:rPr>
              <w:t>Underwriting impact</w:t>
            </w:r>
          </w:p>
        </w:tc>
        <w:tc>
          <w:tcPr>
            <w:tcW w:type="dxa" w:w="7484"/>
          </w:tcPr>
          <w:p>
            <w:pPr>
              <w:spacing w:after="20" w:before="0"/>
            </w:pPr>
            <w:r/>
            <w:r>
              <w:rPr>
                <w:rFonts w:ascii="Lato" w:hAnsi="Lato" w:cs="Lato"/>
                <w:b w:val="0"/>
                <w:i w:val="0"/>
                <w:color w:val="2B2F33"/>
                <w:sz w:val="17"/>
              </w:rPr>
              <w:t>Nil — cover already present; any change would be presentational only.</w:t>
            </w:r>
          </w:p>
        </w:tc>
      </w:tr>
      <w:tr>
        <w:tc>
          <w:tcPr>
            <w:tcW w:type="dxa" w:w="2381"/>
            <w:shd w:val="clear" w:color="auto" w:fill="EAF1F5"/>
          </w:tcPr>
          <w:p>
            <w:pPr>
              <w:spacing w:after="20" w:before="0"/>
            </w:pPr>
            <w:r/>
            <w:r>
              <w:rPr>
                <w:rFonts w:ascii="Lato" w:hAnsi="Lato" w:cs="Lato"/>
                <w:b/>
                <w:i w:val="0"/>
                <w:color w:val="00648B"/>
                <w:sz w:val="17"/>
              </w:rPr>
              <w:t>Legal sign-off required</w:t>
            </w:r>
          </w:p>
        </w:tc>
        <w:tc>
          <w:tcPr>
            <w:tcW w:type="dxa" w:w="7484"/>
          </w:tcPr>
          <w:p>
            <w:pPr>
              <w:spacing w:after="20" w:before="0"/>
            </w:pPr>
            <w:r/>
            <w:r>
              <w:rPr>
                <w:rFonts w:ascii="Lato" w:hAnsi="Lato" w:cs="Lato"/>
                <w:b w:val="0"/>
                <w:i w:val="0"/>
                <w:color w:val="2B2F33"/>
                <w:sz w:val="17"/>
              </w:rPr>
              <w:t>No</w:t>
            </w:r>
          </w:p>
        </w:tc>
      </w:tr>
      <w:tr>
        <w:tc>
          <w:tcPr>
            <w:tcW w:type="dxa" w:w="2381"/>
            <w:shd w:val="clear" w:color="auto" w:fill="EAF1F5"/>
          </w:tcPr>
          <w:p>
            <w:pPr>
              <w:spacing w:after="20" w:before="0"/>
            </w:pPr>
            <w:r/>
            <w:r>
              <w:rPr>
                <w:rFonts w:ascii="Lato" w:hAnsi="Lato" w:cs="Lato"/>
                <w:b/>
                <w:i w:val="0"/>
                <w:color w:val="00648B"/>
                <w:sz w:val="17"/>
              </w:rPr>
              <w:t>Implemented now or parked</w:t>
            </w:r>
          </w:p>
        </w:tc>
        <w:tc>
          <w:tcPr>
            <w:tcW w:type="dxa" w:w="7484"/>
          </w:tcPr>
          <w:p>
            <w:pPr>
              <w:spacing w:after="20" w:before="0"/>
            </w:pPr>
            <w:r/>
            <w:r>
              <w:rPr>
                <w:rFonts w:ascii="Lato" w:hAnsi="Lato" w:cs="Lato"/>
                <w:b w:val="0"/>
                <w:i w:val="0"/>
                <w:color w:val="2B2F33"/>
                <w:sz w:val="17"/>
              </w:rPr>
              <w:t>Confirmed — no change (avoids redundancy/over-broadening)</w:t>
            </w:r>
          </w:p>
        </w:tc>
      </w:tr>
      <w:tr>
        <w:tc>
          <w:tcPr>
            <w:tcW w:type="dxa" w:w="2381"/>
            <w:shd w:val="clear" w:color="auto" w:fill="EAF1F5"/>
          </w:tcPr>
          <w:p>
            <w:pPr>
              <w:spacing w:after="20" w:before="0"/>
            </w:pPr>
            <w:r/>
            <w:r>
              <w:rPr>
                <w:rFonts w:ascii="Lato" w:hAnsi="Lato" w:cs="Lato"/>
                <w:b/>
                <w:i w:val="0"/>
                <w:color w:val="00648B"/>
                <w:sz w:val="17"/>
              </w:rPr>
              <w:t>Commercial benefit</w:t>
            </w:r>
          </w:p>
        </w:tc>
        <w:tc>
          <w:tcPr>
            <w:tcW w:type="dxa" w:w="7484"/>
          </w:tcPr>
          <w:p>
            <w:pPr>
              <w:spacing w:after="20" w:before="0"/>
            </w:pPr>
            <w:r/>
            <w:r>
              <w:rPr>
                <w:rFonts w:ascii="Lato" w:hAnsi="Lato" w:cs="Lato"/>
                <w:b w:val="0"/>
                <w:i w:val="0"/>
                <w:color w:val="2B2F33"/>
                <w:sz w:val="17"/>
              </w:rPr>
              <w:t>Removes a perceived gap.</w:t>
            </w:r>
          </w:p>
        </w:tc>
      </w:tr>
      <w:tr>
        <w:tc>
          <w:tcPr>
            <w:tcW w:type="dxa" w:w="2381"/>
            <w:shd w:val="clear" w:color="auto" w:fill="EAF1F5"/>
          </w:tcPr>
          <w:p>
            <w:pPr>
              <w:spacing w:after="20" w:before="0"/>
            </w:pPr>
            <w:r/>
            <w:r>
              <w:rPr>
                <w:rFonts w:ascii="Lato" w:hAnsi="Lato" w:cs="Lato"/>
                <w:b/>
                <w:i w:val="0"/>
                <w:color w:val="00648B"/>
                <w:sz w:val="17"/>
              </w:rPr>
              <w:t>Legal / underwriting review</w:t>
            </w:r>
          </w:p>
        </w:tc>
        <w:tc>
          <w:tcPr>
            <w:tcW w:type="dxa" w:w="7484"/>
          </w:tcPr>
          <w:p>
            <w:pPr>
              <w:spacing w:after="20" w:before="0"/>
            </w:pPr>
            <w:r/>
            <w:r>
              <w:rPr>
                <w:rFonts w:ascii="Lato" w:hAnsi="Lato" w:cs="Lato"/>
                <w:b w:val="0"/>
                <w:i w:val="0"/>
                <w:color w:val="2B2F33"/>
                <w:sz w:val="17"/>
              </w:rPr>
              <w:t>Confirm breakdown is within S1/S2; add signpost.</w:t>
            </w:r>
          </w:p>
        </w:tc>
      </w:tr>
    </w:tbl>
    <w:p>
      <w:pPr>
        <w:spacing w:after="160"/>
      </w:pPr>
    </w:p>
    <w:tbl>
      <w:tblPr>
        <w:tblW w:type="pct" w:w="5000"/>
        <w:tblLayout w:type="fixed"/>
        <w:tblLook w:firstColumn="1" w:firstRow="1" w:lastColumn="0" w:lastRow="0" w:noHBand="0" w:noVBand="1" w:val="04A0"/>
      </w:tblPr>
      <w:tblGrid>
        <w:gridCol w:w="9978"/>
      </w:tblGrid>
      <w:tr>
        <w:tc>
          <w:tcPr>
            <w:tcW w:type="dxa" w:w="9978"/>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Final position:  </w:t>
            </w:r>
            <w:r>
              <w:rPr>
                <w:rFonts w:ascii="Lato" w:hAnsi="Lato" w:cs="Lato"/>
                <w:b w:val="0"/>
                <w:i w:val="0"/>
                <w:color w:val="2B2F33"/>
                <w:sz w:val="19"/>
              </w:rPr>
              <w:t>FINAL POSITION (Gap 10): Confirmed against the live wording. Section 1 (Premises) DEFINES 'Breakdown' and covers/pays Information Technology Property 'Breakdown' (definition, insured event 'The Cover', and Basis of Settlement) — this is the old Section 4 IT-Property breakdown, preserved faithfully. Section 2 contains a 'Mechanical and Electrical Breakdown' OPTIONAL EXTENSION with its own broad Breakdown definition (all Property Insured, not IT-only). vs YUTREE: TMHCC matches Yutree on BOTH of Yutree’s breakdown covers — Section 1 IT-Property Breakdown ≡ Yutree’s dedicated Computer Breakdown section, and Section 2 M&amp;E Breakdown ≡ Yutree’s general 'Mechanical and electrical breakdown cover'. See Reviewer Notes for two points to confirm: (a) the brief’s assumption that the IT-Property breakdown sits 'in Section 2' is not correct — it is in Section 1 (premises) and Section 3 (BI computers); (b) narrowing Section 2 to 'IT-only' would REMOVE existing optional cover and make TMHCC narrower than Yutree — not done without explicit instruction and sign-off.</w:t>
            </w:r>
          </w:p>
        </w:tc>
      </w:tr>
    </w:tbl>
    <w:p>
      <w:pPr>
        <w:spacing w:after="80"/>
      </w:pPr>
    </w:p>
    <w:p>
      <w:pPr>
        <w:keepNext/>
        <w:spacing w:before="180" w:after="40"/>
      </w:pPr>
      <w:r>
        <w:rPr>
          <w:rFonts w:ascii="Lato" w:hAnsi="Lato" w:cs="Lato"/>
          <w:b/>
          <w:i w:val="0"/>
          <w:color w:val="00648B"/>
          <w:sz w:val="23"/>
        </w:rPr>
        <w:t>Gap 11.  Add a defined term for ‘Media Material’</w:t>
      </w:r>
      <w:r>
        <w:rPr>
          <w:rFonts w:ascii="Lato" w:hAnsi="Lato" w:cs="Lato"/>
          <w:b/>
          <w:i w:val="0"/>
          <w:color w:val="5B6166"/>
          <w:sz w:val="18"/>
        </w:rPr>
        <w:t xml:space="preserve">   [ Priority: Low ]</w:t>
      </w:r>
      <w:r>
        <w:rPr>
          <w:rFonts w:ascii="Lato" w:hAnsi="Lato" w:cs="Lato"/>
          <w:b/>
          <w:i w:val="0"/>
          <w:color w:val="5B6166"/>
          <w:sz w:val="18"/>
        </w:rPr>
        <w:t xml:space="preserve">    [ Round 7: Parked — for consideration ]</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Competitor(s)</w:t>
            </w:r>
          </w:p>
        </w:tc>
        <w:tc>
          <w:tcPr>
            <w:tcW w:type="dxa" w:w="7484"/>
          </w:tcPr>
          <w:p>
            <w:pPr>
              <w:spacing w:after="20" w:before="0"/>
            </w:pPr>
            <w:r/>
            <w:r>
              <w:rPr>
                <w:rFonts w:ascii="Lato" w:hAnsi="Lato" w:cs="Lato"/>
                <w:b w:val="0"/>
                <w:i w:val="0"/>
                <w:color w:val="2B2F33"/>
                <w:sz w:val="17"/>
              </w:rPr>
              <w:t>Tysers (defines Media Material)</w:t>
            </w:r>
          </w:p>
        </w:tc>
      </w:tr>
      <w:tr>
        <w:tc>
          <w:tcPr>
            <w:tcW w:type="dxa" w:w="2381"/>
            <w:shd w:val="clear" w:color="auto" w:fill="EAF1F5"/>
          </w:tcPr>
          <w:p>
            <w:pPr>
              <w:spacing w:after="20" w:before="0"/>
            </w:pPr>
            <w:r/>
            <w:r>
              <w:rPr>
                <w:rFonts w:ascii="Lato" w:hAnsi="Lato" w:cs="Lato"/>
                <w:b/>
                <w:i w:val="0"/>
                <w:color w:val="00648B"/>
                <w:sz w:val="17"/>
              </w:rPr>
              <w:t>What the competitor does</w:t>
            </w:r>
          </w:p>
        </w:tc>
        <w:tc>
          <w:tcPr>
            <w:tcW w:type="dxa" w:w="7484"/>
          </w:tcPr>
          <w:p>
            <w:pPr>
              <w:spacing w:after="20" w:before="0"/>
            </w:pPr>
            <w:r/>
            <w:r>
              <w:rPr>
                <w:rFonts w:ascii="Lato" w:hAnsi="Lato" w:cs="Lato"/>
                <w:b w:val="0"/>
                <w:i w:val="0"/>
                <w:color w:val="2B2F33"/>
                <w:sz w:val="17"/>
              </w:rPr>
              <w:t>Defines the subject-matter of cover precisely.</w:t>
            </w:r>
          </w:p>
        </w:tc>
      </w:tr>
      <w:tr>
        <w:tc>
          <w:tcPr>
            <w:tcW w:type="dxa" w:w="2381"/>
            <w:shd w:val="clear" w:color="auto" w:fill="EAF1F5"/>
          </w:tcPr>
          <w:p>
            <w:pPr>
              <w:spacing w:after="20" w:before="0"/>
            </w:pPr>
            <w:r/>
            <w:r>
              <w:rPr>
                <w:rFonts w:ascii="Lato" w:hAnsi="Lato" w:cs="Lato"/>
                <w:b/>
                <w:i w:val="0"/>
                <w:color w:val="00648B"/>
                <w:sz w:val="17"/>
              </w:rPr>
              <w:t>Current TMHCC position</w:t>
            </w:r>
          </w:p>
        </w:tc>
        <w:tc>
          <w:tcPr>
            <w:tcW w:type="dxa" w:w="7484"/>
          </w:tcPr>
          <w:p>
            <w:pPr>
              <w:spacing w:after="20" w:before="0"/>
            </w:pPr>
            <w:r/>
            <w:r>
              <w:rPr>
                <w:rFonts w:ascii="Lato" w:hAnsi="Lato" w:cs="Lato"/>
                <w:b w:val="0"/>
                <w:i w:val="0"/>
                <w:color w:val="2B2F33"/>
                <w:sz w:val="17"/>
              </w:rPr>
              <w:t>Uses ‘data, text, sounds, images or similar content’ descriptively.</w:t>
            </w:r>
          </w:p>
        </w:tc>
      </w:tr>
      <w:tr>
        <w:tc>
          <w:tcPr>
            <w:tcW w:type="dxa" w:w="2381"/>
            <w:shd w:val="clear" w:color="auto" w:fill="EAF1F5"/>
          </w:tcPr>
          <w:p>
            <w:pPr>
              <w:spacing w:after="20" w:before="0"/>
            </w:pPr>
            <w:r/>
            <w:r>
              <w:rPr>
                <w:rFonts w:ascii="Lato" w:hAnsi="Lato" w:cs="Lato"/>
                <w:b/>
                <w:i w:val="0"/>
                <w:color w:val="00648B"/>
                <w:sz w:val="17"/>
              </w:rPr>
              <w:t>Gap / opportunity</w:t>
            </w:r>
          </w:p>
        </w:tc>
        <w:tc>
          <w:tcPr>
            <w:tcW w:type="dxa" w:w="7484"/>
          </w:tcPr>
          <w:p>
            <w:pPr>
              <w:spacing w:after="20" w:before="0"/>
            </w:pPr>
            <w:r/>
            <w:r>
              <w:rPr>
                <w:rFonts w:ascii="Lato" w:hAnsi="Lato" w:cs="Lato"/>
                <w:b w:val="0"/>
                <w:i w:val="0"/>
                <w:color w:val="2B2F33"/>
                <w:sz w:val="17"/>
              </w:rPr>
              <w:t>Minor drafting-clarity opportunity.</w:t>
            </w:r>
          </w:p>
        </w:tc>
      </w:tr>
      <w:tr>
        <w:tc>
          <w:tcPr>
            <w:tcW w:type="dxa" w:w="2381"/>
            <w:shd w:val="clear" w:color="auto" w:fill="EAF1F5"/>
          </w:tcPr>
          <w:p>
            <w:pPr>
              <w:spacing w:after="20" w:before="0"/>
            </w:pPr>
            <w:r/>
            <w:r>
              <w:rPr>
                <w:rFonts w:ascii="Lato" w:hAnsi="Lato" w:cs="Lato"/>
                <w:b/>
                <w:i w:val="0"/>
                <w:color w:val="00648B"/>
                <w:sz w:val="17"/>
              </w:rPr>
              <w:t>Recommended action</w:t>
            </w:r>
          </w:p>
        </w:tc>
        <w:tc>
          <w:tcPr>
            <w:tcW w:type="dxa" w:w="7484"/>
          </w:tcPr>
          <w:p>
            <w:pPr>
              <w:spacing w:after="20" w:before="0"/>
            </w:pPr>
            <w:r/>
            <w:r>
              <w:rPr>
                <w:rFonts w:ascii="Lato" w:hAnsi="Lato" w:cs="Lato"/>
                <w:b w:val="0"/>
                <w:i w:val="0"/>
                <w:color w:val="2B2F33"/>
                <w:sz w:val="17"/>
              </w:rPr>
              <w:t>Consider adding a ‘Media Material’ (or ‘Content’) definition.</w:t>
            </w:r>
          </w:p>
        </w:tc>
      </w:tr>
      <w:tr>
        <w:tc>
          <w:tcPr>
            <w:tcW w:type="dxa" w:w="2381"/>
            <w:shd w:val="clear" w:color="auto" w:fill="EAF1F5"/>
          </w:tcPr>
          <w:p>
            <w:pPr>
              <w:spacing w:after="20" w:before="0"/>
            </w:pPr>
            <w:r/>
            <w:r>
              <w:rPr>
                <w:rFonts w:ascii="Lato" w:hAnsi="Lato" w:cs="Lato"/>
                <w:b/>
                <w:i w:val="0"/>
                <w:color w:val="00648B"/>
                <w:sz w:val="17"/>
              </w:rPr>
              <w:t>Exact policy location</w:t>
            </w:r>
          </w:p>
        </w:tc>
        <w:tc>
          <w:tcPr>
            <w:tcW w:type="dxa" w:w="7484"/>
          </w:tcPr>
          <w:p>
            <w:pPr>
              <w:spacing w:after="20" w:before="0"/>
            </w:pPr>
            <w:r/>
            <w:r>
              <w:rPr>
                <w:rFonts w:ascii="Lato" w:hAnsi="Lato" w:cs="Lato"/>
                <w:b w:val="0"/>
                <w:i w:val="0"/>
                <w:color w:val="2B2F33"/>
                <w:sz w:val="17"/>
              </w:rPr>
              <w:t>General Definitions or Section 12 Definitions (p.73+).</w:t>
            </w:r>
          </w:p>
        </w:tc>
      </w:tr>
      <w:tr>
        <w:tc>
          <w:tcPr>
            <w:tcW w:type="dxa" w:w="2381"/>
            <w:shd w:val="clear" w:color="auto" w:fill="EAF1F5"/>
          </w:tcPr>
          <w:p>
            <w:pPr>
              <w:spacing w:after="20" w:before="0"/>
            </w:pPr>
            <w:r/>
            <w:r>
              <w:rPr>
                <w:rFonts w:ascii="Lato" w:hAnsi="Lato" w:cs="Lato"/>
                <w:b/>
                <w:i w:val="0"/>
                <w:color w:val="00648B"/>
                <w:sz w:val="17"/>
              </w:rPr>
              <w:t>Copy-paste-ready wording</w:t>
            </w:r>
          </w:p>
        </w:tc>
        <w:tc>
          <w:tcPr>
            <w:tcW w:type="dxa" w:w="7484"/>
          </w:tcPr>
          <w:p>
            <w:pPr>
              <w:spacing w:after="20" w:before="0"/>
            </w:pPr>
            <w:r/>
            <w:r>
              <w:rPr>
                <w:rFonts w:ascii="Lato" w:hAnsi="Lato" w:cs="Lato"/>
                <w:b w:val="0"/>
                <w:i w:val="0"/>
                <w:color w:val="2B2F33"/>
                <w:sz w:val="17"/>
              </w:rPr>
              <w:t>Media Material (Definition) — 'Media Material means any data, text, sounds, images, advertising, film, video, audio, broadcast, publication, website or other content created, produced, published, distributed, broadcast or disseminated by or on behalf of the Insured in the course of the Business.'</w:t>
            </w:r>
          </w:p>
        </w:tc>
      </w:tr>
      <w:tr>
        <w:tc>
          <w:tcPr>
            <w:tcW w:type="dxa" w:w="2381"/>
            <w:shd w:val="clear" w:color="auto" w:fill="EAF1F5"/>
          </w:tcPr>
          <w:p>
            <w:pPr>
              <w:spacing w:after="20" w:before="0"/>
            </w:pPr>
            <w:r/>
            <w:r>
              <w:rPr>
                <w:rFonts w:ascii="Lato" w:hAnsi="Lato" w:cs="Lato"/>
                <w:b/>
                <w:i w:val="0"/>
                <w:color w:val="00648B"/>
                <w:sz w:val="17"/>
              </w:rPr>
              <w:t>Priority</w:t>
            </w:r>
          </w:p>
        </w:tc>
        <w:tc>
          <w:tcPr>
            <w:tcW w:type="dxa" w:w="7484"/>
          </w:tcPr>
          <w:p>
            <w:pPr>
              <w:spacing w:after="20" w:before="0"/>
            </w:pPr>
            <w:r/>
            <w:r>
              <w:rPr>
                <w:rFonts w:ascii="Lato" w:hAnsi="Lato" w:cs="Lato"/>
                <w:b w:val="0"/>
                <w:i w:val="0"/>
                <w:color w:val="2B2F33"/>
                <w:sz w:val="17"/>
              </w:rPr>
              <w:t>Low</w:t>
            </w:r>
          </w:p>
        </w:tc>
      </w:tr>
      <w:tr>
        <w:tc>
          <w:tcPr>
            <w:tcW w:type="dxa" w:w="2381"/>
            <w:shd w:val="clear" w:color="auto" w:fill="EAF1F5"/>
          </w:tcPr>
          <w:p>
            <w:pPr>
              <w:spacing w:after="20" w:before="0"/>
            </w:pPr>
            <w:r/>
            <w:r>
              <w:rPr>
                <w:rFonts w:ascii="Lato" w:hAnsi="Lato" w:cs="Lato"/>
                <w:b/>
                <w:i w:val="0"/>
                <w:color w:val="00648B"/>
                <w:sz w:val="17"/>
              </w:rPr>
              <w:t>Underwriting impact</w:t>
            </w:r>
          </w:p>
        </w:tc>
        <w:tc>
          <w:tcPr>
            <w:tcW w:type="dxa" w:w="7484"/>
          </w:tcPr>
          <w:p>
            <w:pPr>
              <w:spacing w:after="20" w:before="0"/>
            </w:pPr>
            <w:r/>
            <w:r>
              <w:rPr>
                <w:rFonts w:ascii="Lato" w:hAnsi="Lato" w:cs="Lato"/>
                <w:b w:val="0"/>
                <w:i w:val="0"/>
                <w:color w:val="2B2F33"/>
                <w:sz w:val="17"/>
              </w:rPr>
              <w:t>Nil — drafting clarity only.</w:t>
            </w:r>
          </w:p>
        </w:tc>
      </w:tr>
      <w:tr>
        <w:tc>
          <w:tcPr>
            <w:tcW w:type="dxa" w:w="2381"/>
            <w:shd w:val="clear" w:color="auto" w:fill="EAF1F5"/>
          </w:tcPr>
          <w:p>
            <w:pPr>
              <w:spacing w:after="20" w:before="0"/>
            </w:pPr>
            <w:r/>
            <w:r>
              <w:rPr>
                <w:rFonts w:ascii="Lato" w:hAnsi="Lato" w:cs="Lato"/>
                <w:b/>
                <w:i w:val="0"/>
                <w:color w:val="00648B"/>
                <w:sz w:val="17"/>
              </w:rPr>
              <w:t>Legal sign-off required</w:t>
            </w:r>
          </w:p>
        </w:tc>
        <w:tc>
          <w:tcPr>
            <w:tcW w:type="dxa" w:w="7484"/>
          </w:tcPr>
          <w:p>
            <w:pPr>
              <w:spacing w:after="20" w:before="0"/>
            </w:pPr>
            <w:r/>
            <w:r>
              <w:rPr>
                <w:rFonts w:ascii="Lato" w:hAnsi="Lato" w:cs="Lato"/>
                <w:b w:val="0"/>
                <w:i w:val="0"/>
                <w:color w:val="2B2F33"/>
                <w:sz w:val="17"/>
              </w:rPr>
              <w:t>No</w:t>
            </w:r>
          </w:p>
        </w:tc>
      </w:tr>
      <w:tr>
        <w:tc>
          <w:tcPr>
            <w:tcW w:type="dxa" w:w="2381"/>
            <w:shd w:val="clear" w:color="auto" w:fill="EAF1F5"/>
          </w:tcPr>
          <w:p>
            <w:pPr>
              <w:spacing w:after="20" w:before="0"/>
            </w:pPr>
            <w:r/>
            <w:r>
              <w:rPr>
                <w:rFonts w:ascii="Lato" w:hAnsi="Lato" w:cs="Lato"/>
                <w:b/>
                <w:i w:val="0"/>
                <w:color w:val="00648B"/>
                <w:sz w:val="17"/>
              </w:rPr>
              <w:t>Implemented now or parked</w:t>
            </w:r>
          </w:p>
        </w:tc>
        <w:tc>
          <w:tcPr>
            <w:tcW w:type="dxa" w:w="7484"/>
          </w:tcPr>
          <w:p>
            <w:pPr>
              <w:spacing w:after="20" w:before="0"/>
            </w:pPr>
            <w:r/>
            <w:r>
              <w:rPr>
                <w:rFonts w:ascii="Lato" w:hAnsi="Lato" w:cs="Lato"/>
                <w:b w:val="0"/>
                <w:i w:val="0"/>
                <w:color w:val="2B2F33"/>
                <w:sz w:val="17"/>
              </w:rPr>
              <w:t>Not implemented — optional drafting polish</w:t>
            </w:r>
          </w:p>
        </w:tc>
      </w:tr>
      <w:tr>
        <w:tc>
          <w:tcPr>
            <w:tcW w:type="dxa" w:w="2381"/>
            <w:shd w:val="clear" w:color="auto" w:fill="EAF1F5"/>
          </w:tcPr>
          <w:p>
            <w:pPr>
              <w:spacing w:after="20" w:before="0"/>
            </w:pPr>
            <w:r/>
            <w:r>
              <w:rPr>
                <w:rFonts w:ascii="Lato" w:hAnsi="Lato" w:cs="Lato"/>
                <w:b/>
                <w:i w:val="0"/>
                <w:color w:val="00648B"/>
                <w:sz w:val="17"/>
              </w:rPr>
              <w:t>Commercial benefit</w:t>
            </w:r>
          </w:p>
        </w:tc>
        <w:tc>
          <w:tcPr>
            <w:tcW w:type="dxa" w:w="7484"/>
          </w:tcPr>
          <w:p>
            <w:pPr>
              <w:spacing w:after="20" w:before="0"/>
            </w:pPr>
            <w:r/>
            <w:r>
              <w:rPr>
                <w:rFonts w:ascii="Lato" w:hAnsi="Lato" w:cs="Lato"/>
                <w:b w:val="0"/>
                <w:i w:val="0"/>
                <w:color w:val="2B2F33"/>
                <w:sz w:val="17"/>
              </w:rPr>
              <w:t>Sharper wording.</w:t>
            </w:r>
          </w:p>
        </w:tc>
      </w:tr>
      <w:tr>
        <w:tc>
          <w:tcPr>
            <w:tcW w:type="dxa" w:w="2381"/>
            <w:shd w:val="clear" w:color="auto" w:fill="EAF1F5"/>
          </w:tcPr>
          <w:p>
            <w:pPr>
              <w:spacing w:after="20" w:before="0"/>
            </w:pPr>
            <w:r/>
            <w:r>
              <w:rPr>
                <w:rFonts w:ascii="Lato" w:hAnsi="Lato" w:cs="Lato"/>
                <w:b/>
                <w:i w:val="0"/>
                <w:color w:val="00648B"/>
                <w:sz w:val="17"/>
              </w:rPr>
              <w:t>Legal / underwriting review</w:t>
            </w:r>
          </w:p>
        </w:tc>
        <w:tc>
          <w:tcPr>
            <w:tcW w:type="dxa" w:w="7484"/>
          </w:tcPr>
          <w:p>
            <w:pPr>
              <w:spacing w:after="20" w:before="0"/>
            </w:pPr>
            <w:r/>
            <w:r>
              <w:rPr>
                <w:rFonts w:ascii="Lato" w:hAnsi="Lato" w:cs="Lato"/>
                <w:b w:val="0"/>
                <w:i w:val="0"/>
                <w:color w:val="2B2F33"/>
                <w:sz w:val="17"/>
              </w:rPr>
              <w:t>Optional drafting polish.</w:t>
            </w:r>
          </w:p>
        </w:tc>
      </w:tr>
    </w:tbl>
    <w:p>
      <w:pPr>
        <w:spacing w:after="160"/>
      </w:pPr>
    </w:p>
    <w:p>
      <w:pPr>
        <w:keepNext/>
        <w:spacing w:before="180" w:after="40"/>
      </w:pPr>
      <w:r>
        <w:rPr>
          <w:rFonts w:ascii="Lato" w:hAnsi="Lato" w:cs="Lato"/>
          <w:b/>
          <w:i w:val="0"/>
          <w:color w:val="00648B"/>
          <w:sz w:val="23"/>
        </w:rPr>
        <w:t>Gap 12.  LEAVE UNCHANGED — patents, communicable disease and default US/Canada exclusion</w:t>
      </w:r>
      <w:r>
        <w:rPr>
          <w:rFonts w:ascii="Lato" w:hAnsi="Lato" w:cs="Lato"/>
          <w:b/>
          <w:i w:val="0"/>
          <w:color w:val="5B6166"/>
          <w:sz w:val="18"/>
        </w:rPr>
        <w:t xml:space="preserve">   [ Priority: Low ]</w:t>
      </w:r>
      <w:r>
        <w:rPr>
          <w:rFonts w:ascii="Lato" w:hAnsi="Lato" w:cs="Lato"/>
          <w:b/>
          <w:i w:val="0"/>
          <w:color w:val="5B6166"/>
          <w:sz w:val="18"/>
        </w:rPr>
        <w:t xml:space="preserve">    [ Round 7: No change — deliberate restriction ]</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Competitor(s)</w:t>
            </w:r>
          </w:p>
        </w:tc>
        <w:tc>
          <w:tcPr>
            <w:tcW w:type="dxa" w:w="7484"/>
          </w:tcPr>
          <w:p>
            <w:pPr>
              <w:spacing w:after="20" w:before="0"/>
            </w:pPr>
            <w:r/>
            <w:r>
              <w:rPr>
                <w:rFonts w:ascii="Lato" w:hAnsi="Lato" w:cs="Lato"/>
                <w:b w:val="0"/>
                <w:i w:val="0"/>
                <w:color w:val="2B2F33"/>
                <w:sz w:val="17"/>
              </w:rPr>
              <w:t>Tysers (patents, worldwide); AXA XL (supports restriction)</w:t>
            </w:r>
          </w:p>
        </w:tc>
      </w:tr>
      <w:tr>
        <w:tc>
          <w:tcPr>
            <w:tcW w:type="dxa" w:w="2381"/>
            <w:shd w:val="clear" w:color="auto" w:fill="EAF1F5"/>
          </w:tcPr>
          <w:p>
            <w:pPr>
              <w:spacing w:after="20" w:before="0"/>
            </w:pPr>
            <w:r/>
            <w:r>
              <w:rPr>
                <w:rFonts w:ascii="Lato" w:hAnsi="Lato" w:cs="Lato"/>
                <w:b/>
                <w:i w:val="0"/>
                <w:color w:val="00648B"/>
                <w:sz w:val="17"/>
              </w:rPr>
              <w:t>What the competitor does</w:t>
            </w:r>
          </w:p>
        </w:tc>
        <w:tc>
          <w:tcPr>
            <w:tcW w:type="dxa" w:w="7484"/>
          </w:tcPr>
          <w:p>
            <w:pPr>
              <w:spacing w:after="20" w:before="0"/>
            </w:pPr>
            <w:r/>
            <w:r>
              <w:rPr>
                <w:rFonts w:ascii="Lato" w:hAnsi="Lato" w:cs="Lato"/>
                <w:b w:val="0"/>
                <w:i w:val="0"/>
                <w:color w:val="2B2F33"/>
                <w:sz w:val="17"/>
              </w:rPr>
              <w:t>Tysers covers patents and is worldwide; AXA XL by contrast excludes terrorism and punitive damages ABSOLUTELY and carries a broad communicable-disease and cyber exclusion — evidencing that disciplined restrictions are market-normal.</w:t>
            </w:r>
          </w:p>
        </w:tc>
      </w:tr>
      <w:tr>
        <w:tc>
          <w:tcPr>
            <w:tcW w:type="dxa" w:w="2381"/>
            <w:shd w:val="clear" w:color="auto" w:fill="EAF1F5"/>
          </w:tcPr>
          <w:p>
            <w:pPr>
              <w:spacing w:after="20" w:before="0"/>
            </w:pPr>
            <w:r/>
            <w:r>
              <w:rPr>
                <w:rFonts w:ascii="Lato" w:hAnsi="Lato" w:cs="Lato"/>
                <w:b/>
                <w:i w:val="0"/>
                <w:color w:val="00648B"/>
                <w:sz w:val="17"/>
              </w:rPr>
              <w:t>Current TMHCC position</w:t>
            </w:r>
          </w:p>
        </w:tc>
        <w:tc>
          <w:tcPr>
            <w:tcW w:type="dxa" w:w="7484"/>
          </w:tcPr>
          <w:p>
            <w:pPr>
              <w:spacing w:after="20" w:before="0"/>
            </w:pPr>
            <w:r/>
            <w:r>
              <w:rPr>
                <w:rFonts w:ascii="Lato" w:hAnsi="Lato" w:cs="Lato"/>
                <w:b w:val="0"/>
                <w:i w:val="0"/>
                <w:color w:val="2B2F33"/>
                <w:sz w:val="17"/>
              </w:rPr>
              <w:t>Excludes patents; carries a broad communicable-disease exclusion; default ex-US/Canada jurisdiction.</w:t>
            </w:r>
          </w:p>
        </w:tc>
      </w:tr>
      <w:tr>
        <w:tc>
          <w:tcPr>
            <w:tcW w:type="dxa" w:w="2381"/>
            <w:shd w:val="clear" w:color="auto" w:fill="EAF1F5"/>
          </w:tcPr>
          <w:p>
            <w:pPr>
              <w:spacing w:after="20" w:before="0"/>
            </w:pPr>
            <w:r/>
            <w:r>
              <w:rPr>
                <w:rFonts w:ascii="Lato" w:hAnsi="Lato" w:cs="Lato"/>
                <w:b/>
                <w:i w:val="0"/>
                <w:color w:val="00648B"/>
                <w:sz w:val="17"/>
              </w:rPr>
              <w:t>Gap / opportunity</w:t>
            </w:r>
          </w:p>
        </w:tc>
        <w:tc>
          <w:tcPr>
            <w:tcW w:type="dxa" w:w="7484"/>
          </w:tcPr>
          <w:p>
            <w:pPr>
              <w:spacing w:after="20" w:before="0"/>
            </w:pPr>
            <w:r/>
            <w:r>
              <w:rPr>
                <w:rFonts w:ascii="Lato" w:hAnsi="Lato" w:cs="Lato"/>
                <w:b w:val="0"/>
                <w:i w:val="0"/>
                <w:color w:val="2B2F33"/>
                <w:sz w:val="17"/>
              </w:rPr>
              <w:t>These are deliberate, defensible restrictions — not true gaps.</w:t>
            </w:r>
          </w:p>
        </w:tc>
      </w:tr>
      <w:tr>
        <w:tc>
          <w:tcPr>
            <w:tcW w:type="dxa" w:w="2381"/>
            <w:shd w:val="clear" w:color="auto" w:fill="EAF1F5"/>
          </w:tcPr>
          <w:p>
            <w:pPr>
              <w:spacing w:after="20" w:before="0"/>
            </w:pPr>
            <w:r/>
            <w:r>
              <w:rPr>
                <w:rFonts w:ascii="Lato" w:hAnsi="Lato" w:cs="Lato"/>
                <w:b/>
                <w:i w:val="0"/>
                <w:color w:val="00648B"/>
                <w:sz w:val="17"/>
              </w:rPr>
              <w:t>Recommended action</w:t>
            </w:r>
          </w:p>
        </w:tc>
        <w:tc>
          <w:tcPr>
            <w:tcW w:type="dxa" w:w="7484"/>
          </w:tcPr>
          <w:p>
            <w:pPr>
              <w:spacing w:after="20" w:before="0"/>
            </w:pPr>
            <w:r/>
            <w:r>
              <w:rPr>
                <w:rFonts w:ascii="Lato" w:hAnsi="Lato" w:cs="Lato"/>
                <w:b w:val="0"/>
                <w:i w:val="0"/>
                <w:color w:val="2B2F33"/>
                <w:sz w:val="17"/>
              </w:rPr>
              <w:t>Leave unchanged (offer US/Canada only as a rated option per rec. 2).</w:t>
            </w:r>
          </w:p>
        </w:tc>
      </w:tr>
      <w:tr>
        <w:tc>
          <w:tcPr>
            <w:tcW w:type="dxa" w:w="2381"/>
            <w:shd w:val="clear" w:color="auto" w:fill="EAF1F5"/>
          </w:tcPr>
          <w:p>
            <w:pPr>
              <w:spacing w:after="20" w:before="0"/>
            </w:pPr>
            <w:r/>
            <w:r>
              <w:rPr>
                <w:rFonts w:ascii="Lato" w:hAnsi="Lato" w:cs="Lato"/>
                <w:b/>
                <w:i w:val="0"/>
                <w:color w:val="00648B"/>
                <w:sz w:val="17"/>
              </w:rPr>
              <w:t>Exact policy location</w:t>
            </w:r>
          </w:p>
        </w:tc>
        <w:tc>
          <w:tcPr>
            <w:tcW w:type="dxa" w:w="7484"/>
          </w:tcPr>
          <w:p>
            <w:pPr>
              <w:spacing w:after="20" w:before="0"/>
            </w:pPr>
            <w:r/>
            <w:r>
              <w:rPr>
                <w:rFonts w:ascii="Lato" w:hAnsi="Lato" w:cs="Lato"/>
                <w:b w:val="0"/>
                <w:i w:val="0"/>
                <w:color w:val="2B2F33"/>
                <w:sz w:val="17"/>
              </w:rPr>
              <w:t>Section 12 exclusions / 'Jurisdiction' definition.</w:t>
            </w:r>
          </w:p>
        </w:tc>
      </w:tr>
      <w:tr>
        <w:tc>
          <w:tcPr>
            <w:tcW w:type="dxa" w:w="2381"/>
            <w:shd w:val="clear" w:color="auto" w:fill="EAF1F5"/>
          </w:tcPr>
          <w:p>
            <w:pPr>
              <w:spacing w:after="20" w:before="0"/>
            </w:pPr>
            <w:r/>
            <w:r>
              <w:rPr>
                <w:rFonts w:ascii="Lato" w:hAnsi="Lato" w:cs="Lato"/>
                <w:b/>
                <w:i w:val="0"/>
                <w:color w:val="00648B"/>
                <w:sz w:val="17"/>
              </w:rPr>
              <w:t>Copy-paste-ready wording</w:t>
            </w:r>
          </w:p>
        </w:tc>
        <w:tc>
          <w:tcPr>
            <w:tcW w:type="dxa" w:w="7484"/>
          </w:tcPr>
          <w:p>
            <w:pPr>
              <w:spacing w:after="20" w:before="0"/>
            </w:pPr>
            <w:r/>
            <w:r>
              <w:rPr>
                <w:rFonts w:ascii="Lato" w:hAnsi="Lato" w:cs="Lato"/>
                <w:b w:val="0"/>
                <w:i w:val="0"/>
                <w:color w:val="2B2F33"/>
                <w:sz w:val="17"/>
              </w:rPr>
              <w:t>No wording change. Retain the patents exclusion, the broad communicable-disease exclusion and the default worldwide-excluding-USA/Canada jurisdiction. These are deliberate, defensible underwriting positions.</w:t>
            </w:r>
          </w:p>
        </w:tc>
      </w:tr>
      <w:tr>
        <w:tc>
          <w:tcPr>
            <w:tcW w:type="dxa" w:w="2381"/>
            <w:shd w:val="clear" w:color="auto" w:fill="EAF1F5"/>
          </w:tcPr>
          <w:p>
            <w:pPr>
              <w:spacing w:after="20" w:before="0"/>
            </w:pPr>
            <w:r/>
            <w:r>
              <w:rPr>
                <w:rFonts w:ascii="Lato" w:hAnsi="Lato" w:cs="Lato"/>
                <w:b/>
                <w:i w:val="0"/>
                <w:color w:val="00648B"/>
                <w:sz w:val="17"/>
              </w:rPr>
              <w:t>Priority</w:t>
            </w:r>
          </w:p>
        </w:tc>
        <w:tc>
          <w:tcPr>
            <w:tcW w:type="dxa" w:w="7484"/>
          </w:tcPr>
          <w:p>
            <w:pPr>
              <w:spacing w:after="20" w:before="0"/>
            </w:pPr>
            <w:r/>
            <w:r>
              <w:rPr>
                <w:rFonts w:ascii="Lato" w:hAnsi="Lato" w:cs="Lato"/>
                <w:b w:val="0"/>
                <w:i w:val="0"/>
                <w:color w:val="2B2F33"/>
                <w:sz w:val="17"/>
              </w:rPr>
              <w:t>Low</w:t>
            </w:r>
          </w:p>
        </w:tc>
      </w:tr>
      <w:tr>
        <w:tc>
          <w:tcPr>
            <w:tcW w:type="dxa" w:w="2381"/>
            <w:shd w:val="clear" w:color="auto" w:fill="EAF1F5"/>
          </w:tcPr>
          <w:p>
            <w:pPr>
              <w:spacing w:after="20" w:before="0"/>
            </w:pPr>
            <w:r/>
            <w:r>
              <w:rPr>
                <w:rFonts w:ascii="Lato" w:hAnsi="Lato" w:cs="Lato"/>
                <w:b/>
                <w:i w:val="0"/>
                <w:color w:val="00648B"/>
                <w:sz w:val="17"/>
              </w:rPr>
              <w:t>Underwriting impact</w:t>
            </w:r>
          </w:p>
        </w:tc>
        <w:tc>
          <w:tcPr>
            <w:tcW w:type="dxa" w:w="7484"/>
          </w:tcPr>
          <w:p>
            <w:pPr>
              <w:spacing w:after="20" w:before="0"/>
            </w:pPr>
            <w:r/>
            <w:r>
              <w:rPr>
                <w:rFonts w:ascii="Lato" w:hAnsi="Lato" w:cs="Lato"/>
                <w:b w:val="0"/>
                <w:i w:val="0"/>
                <w:color w:val="2B2F33"/>
                <w:sz w:val="17"/>
              </w:rPr>
              <w:t>Retaining these protects TMHCC — broadening would materially increase volatility.</w:t>
            </w:r>
          </w:p>
        </w:tc>
      </w:tr>
      <w:tr>
        <w:tc>
          <w:tcPr>
            <w:tcW w:type="dxa" w:w="2381"/>
            <w:shd w:val="clear" w:color="auto" w:fill="EAF1F5"/>
          </w:tcPr>
          <w:p>
            <w:pPr>
              <w:spacing w:after="20" w:before="0"/>
            </w:pPr>
            <w:r/>
            <w:r>
              <w:rPr>
                <w:rFonts w:ascii="Lato" w:hAnsi="Lato" w:cs="Lato"/>
                <w:b/>
                <w:i w:val="0"/>
                <w:color w:val="00648B"/>
                <w:sz w:val="17"/>
              </w:rPr>
              <w:t>Legal sign-off required</w:t>
            </w:r>
          </w:p>
        </w:tc>
        <w:tc>
          <w:tcPr>
            <w:tcW w:type="dxa" w:w="7484"/>
          </w:tcPr>
          <w:p>
            <w:pPr>
              <w:spacing w:after="20" w:before="0"/>
            </w:pPr>
            <w:r/>
            <w:r>
              <w:rPr>
                <w:rFonts w:ascii="Lato" w:hAnsi="Lato" w:cs="Lato"/>
                <w:b w:val="0"/>
                <w:i w:val="0"/>
                <w:color w:val="2B2F33"/>
                <w:sz w:val="17"/>
              </w:rPr>
              <w:t>No</w:t>
            </w:r>
          </w:p>
        </w:tc>
      </w:tr>
      <w:tr>
        <w:tc>
          <w:tcPr>
            <w:tcW w:type="dxa" w:w="2381"/>
            <w:shd w:val="clear" w:color="auto" w:fill="EAF1F5"/>
          </w:tcPr>
          <w:p>
            <w:pPr>
              <w:spacing w:after="20" w:before="0"/>
            </w:pPr>
            <w:r/>
            <w:r>
              <w:rPr>
                <w:rFonts w:ascii="Lato" w:hAnsi="Lato" w:cs="Lato"/>
                <w:b/>
                <w:i w:val="0"/>
                <w:color w:val="00648B"/>
                <w:sz w:val="17"/>
              </w:rPr>
              <w:t>Implemented now or parked</w:t>
            </w:r>
          </w:p>
        </w:tc>
        <w:tc>
          <w:tcPr>
            <w:tcW w:type="dxa" w:w="7484"/>
          </w:tcPr>
          <w:p>
            <w:pPr>
              <w:spacing w:after="20" w:before="0"/>
            </w:pPr>
            <w:r/>
            <w:r>
              <w:rPr>
                <w:rFonts w:ascii="Lato" w:hAnsi="Lato" w:cs="Lato"/>
                <w:b w:val="0"/>
                <w:i w:val="0"/>
                <w:color w:val="2B2F33"/>
                <w:sz w:val="17"/>
              </w:rPr>
              <w:t>No change recommended (document rationale)</w:t>
            </w:r>
          </w:p>
        </w:tc>
      </w:tr>
      <w:tr>
        <w:tc>
          <w:tcPr>
            <w:tcW w:type="dxa" w:w="2381"/>
            <w:shd w:val="clear" w:color="auto" w:fill="EAF1F5"/>
          </w:tcPr>
          <w:p>
            <w:pPr>
              <w:spacing w:after="20" w:before="0"/>
            </w:pPr>
            <w:r/>
            <w:r>
              <w:rPr>
                <w:rFonts w:ascii="Lato" w:hAnsi="Lato" w:cs="Lato"/>
                <w:b/>
                <w:i w:val="0"/>
                <w:color w:val="00648B"/>
                <w:sz w:val="17"/>
              </w:rPr>
              <w:t>Commercial benefit</w:t>
            </w:r>
          </w:p>
        </w:tc>
        <w:tc>
          <w:tcPr>
            <w:tcW w:type="dxa" w:w="7484"/>
          </w:tcPr>
          <w:p>
            <w:pPr>
              <w:spacing w:after="20" w:before="0"/>
            </w:pPr>
            <w:r/>
            <w:r>
              <w:rPr>
                <w:rFonts w:ascii="Lato" w:hAnsi="Lato" w:cs="Lato"/>
                <w:b w:val="0"/>
                <w:i w:val="0"/>
                <w:color w:val="2B2F33"/>
                <w:sz w:val="17"/>
              </w:rPr>
              <w:t>Protects portfolio profitability and reinsurance terms.</w:t>
            </w:r>
          </w:p>
        </w:tc>
      </w:tr>
      <w:tr>
        <w:tc>
          <w:tcPr>
            <w:tcW w:type="dxa" w:w="2381"/>
            <w:shd w:val="clear" w:color="auto" w:fill="EAF1F5"/>
          </w:tcPr>
          <w:p>
            <w:pPr>
              <w:spacing w:after="20" w:before="0"/>
            </w:pPr>
            <w:r/>
            <w:r>
              <w:rPr>
                <w:rFonts w:ascii="Lato" w:hAnsi="Lato" w:cs="Lato"/>
                <w:b/>
                <w:i w:val="0"/>
                <w:color w:val="00648B"/>
                <w:sz w:val="17"/>
              </w:rPr>
              <w:t>Legal / underwriting review</w:t>
            </w:r>
          </w:p>
        </w:tc>
        <w:tc>
          <w:tcPr>
            <w:tcW w:type="dxa" w:w="7484"/>
          </w:tcPr>
          <w:p>
            <w:pPr>
              <w:spacing w:after="20" w:before="0"/>
            </w:pPr>
            <w:r/>
            <w:r>
              <w:rPr>
                <w:rFonts w:ascii="Lato" w:hAnsi="Lato" w:cs="Lato"/>
                <w:b w:val="0"/>
                <w:i w:val="0"/>
                <w:color w:val="2B2F33"/>
                <w:sz w:val="17"/>
              </w:rPr>
              <w:t>No change recommended; document rationale.</w:t>
            </w:r>
          </w:p>
        </w:tc>
      </w:tr>
    </w:tbl>
    <w:p>
      <w:pPr>
        <w:spacing w:after="160"/>
      </w:pPr>
    </w:p>
    <w:p>
      <w:r>
        <w:br w:type="page"/>
      </w:r>
    </w:p>
    <w:p>
      <w:pPr>
        <w:keepNext/>
        <w:spacing w:before="280" w:after="40"/>
        <w:pBdr>
          <w:bottom w:val="single" w:sz="8" w:space="2" w:color="B88A3C"/>
        </w:pBdr>
      </w:pPr>
      <w:r>
        <w:rPr>
          <w:rFonts w:ascii="Lato" w:hAnsi="Lato" w:cs="Lato"/>
          <w:b/>
          <w:i w:val="0"/>
          <w:color w:val="B88A3C"/>
          <w:sz w:val="30"/>
        </w:rPr>
        <w:t xml:space="preserve">5  </w:t>
      </w:r>
      <w:r>
        <w:rPr>
          <w:rFonts w:ascii="Lato" w:hAnsi="Lato" w:cs="Lato"/>
          <w:b/>
          <w:i w:val="0"/>
          <w:color w:val="00648B"/>
          <w:sz w:val="30"/>
        </w:rPr>
        <w:t>Exclusion write-backs to consider</w:t>
      </w:r>
    </w:p>
    <w:p>
      <w:pPr>
        <w:spacing w:after="80" w:before="0"/>
      </w:pPr>
      <w:r>
        <w:rPr>
          <w:rFonts w:ascii="Lato" w:hAnsi="Lato" w:cs="Lato"/>
          <w:b w:val="0"/>
          <w:i w:val="0"/>
          <w:color w:val="2B2F33"/>
          <w:sz w:val="19"/>
        </w:rPr>
        <w:t>Where a competitor narrows an exclusion or writes cover back, and whether TMHCC should follow. Exclusions are not softened lightly — each note states the underwriting view.</w:t>
      </w:r>
    </w:p>
    <w:tbl>
      <w:tblPr>
        <w:tblW w:type="dxa" w:w="10093"/>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1758"/>
        <w:gridCol w:w="1247"/>
        <w:gridCol w:w="1871"/>
        <w:gridCol w:w="1814"/>
        <w:gridCol w:w="2268"/>
        <w:gridCol w:w="1134"/>
      </w:tblGrid>
      <w:tr>
        <w:tc>
          <w:tcPr>
            <w:tcW w:type="dxa" w:w="1757"/>
            <w:shd w:val="clear" w:color="auto" w:fill="00648B"/>
          </w:tcPr>
          <w:p>
            <w:pPr>
              <w:spacing w:after="20" w:before="0"/>
              <w:jc w:val="center"/>
            </w:pPr>
            <w:r/>
            <w:r>
              <w:rPr>
                <w:rFonts w:ascii="Lato" w:hAnsi="Lato" w:cs="Lato"/>
                <w:b/>
                <w:i w:val="0"/>
                <w:color w:val="FFFFFF"/>
                <w:sz w:val="17"/>
              </w:rPr>
              <w:t>Exclusion area</w:t>
            </w:r>
          </w:p>
        </w:tc>
        <w:tc>
          <w:tcPr>
            <w:tcW w:type="dxa" w:w="1247"/>
            <w:shd w:val="clear" w:color="auto" w:fill="00648B"/>
          </w:tcPr>
          <w:p>
            <w:pPr>
              <w:spacing w:after="20" w:before="0"/>
              <w:jc w:val="center"/>
            </w:pPr>
            <w:r/>
            <w:r>
              <w:rPr>
                <w:rFonts w:ascii="Lato" w:hAnsi="Lato" w:cs="Lato"/>
                <w:b/>
                <w:i w:val="0"/>
                <w:color w:val="FFFFFF"/>
                <w:sz w:val="17"/>
              </w:rPr>
              <w:t>Competitor</w:t>
            </w:r>
          </w:p>
        </w:tc>
        <w:tc>
          <w:tcPr>
            <w:tcW w:type="dxa" w:w="1871"/>
            <w:shd w:val="clear" w:color="auto" w:fill="00648B"/>
          </w:tcPr>
          <w:p>
            <w:pPr>
              <w:spacing w:after="20" w:before="0"/>
              <w:jc w:val="center"/>
            </w:pPr>
            <w:r/>
            <w:r>
              <w:rPr>
                <w:rFonts w:ascii="Lato" w:hAnsi="Lato" w:cs="Lato"/>
                <w:b/>
                <w:i w:val="0"/>
                <w:color w:val="FFFFFF"/>
                <w:sz w:val="17"/>
              </w:rPr>
              <w:t>What they do</w:t>
            </w:r>
          </w:p>
        </w:tc>
        <w:tc>
          <w:tcPr>
            <w:tcW w:type="dxa" w:w="1814"/>
            <w:shd w:val="clear" w:color="auto" w:fill="00648B"/>
          </w:tcPr>
          <w:p>
            <w:pPr>
              <w:spacing w:after="20" w:before="0"/>
              <w:jc w:val="center"/>
            </w:pPr>
            <w:r/>
            <w:r>
              <w:rPr>
                <w:rFonts w:ascii="Lato" w:hAnsi="Lato" w:cs="Lato"/>
                <w:b/>
                <w:i w:val="0"/>
                <w:color w:val="FFFFFF"/>
                <w:sz w:val="17"/>
              </w:rPr>
              <w:t>TMHCC position</w:t>
            </w:r>
          </w:p>
        </w:tc>
        <w:tc>
          <w:tcPr>
            <w:tcW w:type="dxa" w:w="2268"/>
            <w:shd w:val="clear" w:color="auto" w:fill="00648B"/>
          </w:tcPr>
          <w:p>
            <w:pPr>
              <w:spacing w:after="20" w:before="0"/>
              <w:jc w:val="center"/>
            </w:pPr>
            <w:r/>
            <w:r>
              <w:rPr>
                <w:rFonts w:ascii="Lato" w:hAnsi="Lato" w:cs="Lato"/>
                <w:b/>
                <w:i w:val="0"/>
                <w:color w:val="FFFFFF"/>
                <w:sz w:val="17"/>
              </w:rPr>
              <w:t>Recommended TMHCC action</w:t>
            </w:r>
          </w:p>
        </w:tc>
        <w:tc>
          <w:tcPr>
            <w:tcW w:type="dxa" w:w="1134"/>
            <w:shd w:val="clear" w:color="auto" w:fill="00648B"/>
          </w:tcPr>
          <w:p>
            <w:pPr>
              <w:spacing w:after="20" w:before="0"/>
              <w:jc w:val="center"/>
            </w:pPr>
            <w:r/>
            <w:r>
              <w:rPr>
                <w:rFonts w:ascii="Lato" w:hAnsi="Lato" w:cs="Lato"/>
                <w:b/>
                <w:i w:val="0"/>
                <w:color w:val="FFFFFF"/>
                <w:sz w:val="17"/>
              </w:rPr>
              <w:t>Priority</w:t>
            </w:r>
          </w:p>
        </w:tc>
      </w:tr>
      <w:tr>
        <w:tc>
          <w:tcPr>
            <w:tcW w:type="dxa" w:w="1758"/>
          </w:tcPr>
          <w:p>
            <w:pPr>
              <w:spacing w:after="20" w:before="0"/>
            </w:pPr>
            <w:r/>
            <w:r>
              <w:rPr>
                <w:rFonts w:ascii="Lato" w:hAnsi="Lato" w:cs="Lato"/>
                <w:b/>
                <w:i w:val="0"/>
                <w:color w:val="00648B"/>
                <w:sz w:val="16"/>
              </w:rPr>
              <w:t>Asbestos (PI)</w:t>
            </w:r>
          </w:p>
        </w:tc>
        <w:tc>
          <w:tcPr>
            <w:tcW w:type="dxa" w:w="1247"/>
          </w:tcPr>
          <w:p>
            <w:pPr>
              <w:spacing w:after="20" w:before="0"/>
            </w:pPr>
            <w:r/>
            <w:r>
              <w:rPr>
                <w:rFonts w:ascii="Lato" w:hAnsi="Lato" w:cs="Lato"/>
                <w:b w:val="0"/>
                <w:i w:val="0"/>
                <w:color w:val="2B2F33"/>
                <w:sz w:val="15"/>
              </w:rPr>
              <w:t>Tysers</w:t>
            </w:r>
          </w:p>
        </w:tc>
        <w:tc>
          <w:tcPr>
            <w:tcW w:type="dxa" w:w="1871"/>
          </w:tcPr>
          <w:p>
            <w:pPr>
              <w:spacing w:after="20" w:before="0"/>
            </w:pPr>
            <w:r/>
            <w:r>
              <w:rPr>
                <w:rFonts w:ascii="Lato" w:hAnsi="Lato" w:cs="Lato"/>
                <w:b w:val="0"/>
                <w:i w:val="0"/>
                <w:color w:val="2B2F33"/>
                <w:sz w:val="15"/>
              </w:rPr>
              <w:t>Professional-duty write-back (GBP 1m, ex-BI)</w:t>
            </w:r>
          </w:p>
        </w:tc>
        <w:tc>
          <w:tcPr>
            <w:tcW w:type="dxa" w:w="1814"/>
          </w:tcPr>
          <w:p>
            <w:pPr>
              <w:spacing w:after="20" w:before="0"/>
            </w:pPr>
            <w:r/>
            <w:r>
              <w:rPr>
                <w:rFonts w:ascii="Lato" w:hAnsi="Lato" w:cs="Lato"/>
                <w:b w:val="0"/>
                <w:i w:val="0"/>
                <w:color w:val="2B2F33"/>
                <w:sz w:val="15"/>
              </w:rPr>
              <w:t>TMHCC excludes asbestos in PI</w:t>
            </w:r>
          </w:p>
        </w:tc>
        <w:tc>
          <w:tcPr>
            <w:tcW w:type="dxa" w:w="2268"/>
          </w:tcPr>
          <w:p>
            <w:pPr>
              <w:spacing w:after="20" w:before="0"/>
            </w:pPr>
            <w:r/>
            <w:r>
              <w:rPr>
                <w:rFonts w:ascii="Lato" w:hAnsi="Lato" w:cs="Lato"/>
                <w:b w:val="0"/>
                <w:i w:val="0"/>
                <w:color w:val="2B2F33"/>
                <w:sz w:val="15"/>
              </w:rPr>
              <w:t>Consider narrow negligent-advice write-back (ex-BI, ex-contamination)</w:t>
            </w:r>
          </w:p>
        </w:tc>
        <w:tc>
          <w:tcPr>
            <w:tcW w:type="dxa" w:w="1134"/>
            <w:shd w:val="clear" w:color="auto" w:fill="FBF1DA"/>
          </w:tcPr>
          <w:p>
            <w:pPr>
              <w:spacing w:after="20" w:before="0"/>
              <w:jc w:val="center"/>
            </w:pPr>
            <w:r/>
            <w:r>
              <w:rPr>
                <w:rFonts w:ascii="Lato" w:hAnsi="Lato" w:cs="Lato"/>
                <w:b/>
                <w:i w:val="0"/>
                <w:color w:val="8A6A1E"/>
                <w:sz w:val="15"/>
              </w:rPr>
              <w:t>Medium</w:t>
            </w:r>
          </w:p>
        </w:tc>
      </w:tr>
      <w:tr>
        <w:tc>
          <w:tcPr>
            <w:tcW w:type="dxa" w:w="1758"/>
            <w:shd w:val="clear" w:color="auto" w:fill="F4F7F9"/>
          </w:tcPr>
          <w:p>
            <w:pPr>
              <w:spacing w:after="20" w:before="0"/>
            </w:pPr>
            <w:r/>
            <w:r>
              <w:rPr>
                <w:rFonts w:ascii="Lato" w:hAnsi="Lato" w:cs="Lato"/>
                <w:b/>
                <w:i w:val="0"/>
                <w:color w:val="00648B"/>
                <w:sz w:val="16"/>
              </w:rPr>
              <w:t>Pollution (PI)</w:t>
            </w:r>
          </w:p>
        </w:tc>
        <w:tc>
          <w:tcPr>
            <w:tcW w:type="dxa" w:w="1247"/>
            <w:shd w:val="clear" w:color="auto" w:fill="F4F7F9"/>
          </w:tcPr>
          <w:p>
            <w:pPr>
              <w:spacing w:after="20" w:before="0"/>
            </w:pPr>
            <w:r/>
            <w:r>
              <w:rPr>
                <w:rFonts w:ascii="Lato" w:hAnsi="Lato" w:cs="Lato"/>
                <w:b w:val="0"/>
                <w:i w:val="0"/>
                <w:color w:val="2B2F33"/>
                <w:sz w:val="15"/>
              </w:rPr>
              <w:t>Yutree</w:t>
            </w:r>
          </w:p>
        </w:tc>
        <w:tc>
          <w:tcPr>
            <w:tcW w:type="dxa" w:w="1871"/>
            <w:shd w:val="clear" w:color="auto" w:fill="F4F7F9"/>
          </w:tcPr>
          <w:p>
            <w:pPr>
              <w:spacing w:after="20" w:before="0"/>
            </w:pPr>
            <w:r/>
            <w:r>
              <w:rPr>
                <w:rFonts w:ascii="Lato" w:hAnsi="Lato" w:cs="Lato"/>
                <w:b w:val="0"/>
                <w:i w:val="0"/>
                <w:color w:val="2B2F33"/>
                <w:sz w:val="15"/>
              </w:rPr>
              <w:t>Write-back for insured’s own negligent act/error/omission</w:t>
            </w:r>
          </w:p>
        </w:tc>
        <w:tc>
          <w:tcPr>
            <w:tcW w:type="dxa" w:w="1814"/>
            <w:shd w:val="clear" w:color="auto" w:fill="F4F7F9"/>
          </w:tcPr>
          <w:p>
            <w:pPr>
              <w:spacing w:after="20" w:before="0"/>
            </w:pPr>
            <w:r/>
            <w:r>
              <w:rPr>
                <w:rFonts w:ascii="Lato" w:hAnsi="Lato" w:cs="Lato"/>
                <w:b w:val="0"/>
                <w:i w:val="0"/>
                <w:color w:val="2B2F33"/>
                <w:sz w:val="15"/>
              </w:rPr>
              <w:t>TMHCC excludes pollution in PI</w:t>
            </w:r>
          </w:p>
        </w:tc>
        <w:tc>
          <w:tcPr>
            <w:tcW w:type="dxa" w:w="2268"/>
            <w:shd w:val="clear" w:color="auto" w:fill="F4F7F9"/>
          </w:tcPr>
          <w:p>
            <w:pPr>
              <w:spacing w:after="20" w:before="0"/>
            </w:pPr>
            <w:r/>
            <w:r>
              <w:rPr>
                <w:rFonts w:ascii="Lato" w:hAnsi="Lato" w:cs="Lato"/>
                <w:b w:val="0"/>
                <w:i w:val="0"/>
                <w:color w:val="2B2F33"/>
                <w:sz w:val="15"/>
              </w:rPr>
              <w:t>Consider narrow negligent-advice write-back</w:t>
            </w:r>
          </w:p>
        </w:tc>
        <w:tc>
          <w:tcPr>
            <w:tcW w:type="dxa" w:w="1134"/>
            <w:shd w:val="clear" w:color="auto" w:fill="FBF1DA"/>
          </w:tcPr>
          <w:p>
            <w:pPr>
              <w:spacing w:after="20" w:before="0"/>
              <w:jc w:val="center"/>
            </w:pPr>
            <w:r/>
            <w:r>
              <w:rPr>
                <w:rFonts w:ascii="Lato" w:hAnsi="Lato" w:cs="Lato"/>
                <w:b/>
                <w:i w:val="0"/>
                <w:color w:val="8A6A1E"/>
                <w:sz w:val="15"/>
              </w:rPr>
              <w:t>Medium</w:t>
            </w:r>
          </w:p>
        </w:tc>
      </w:tr>
      <w:tr>
        <w:tc>
          <w:tcPr>
            <w:tcW w:type="dxa" w:w="1758"/>
          </w:tcPr>
          <w:p>
            <w:pPr>
              <w:spacing w:after="20" w:before="0"/>
            </w:pPr>
            <w:r/>
            <w:r>
              <w:rPr>
                <w:rFonts w:ascii="Lato" w:hAnsi="Lato" w:cs="Lato"/>
                <w:b/>
                <w:i w:val="0"/>
                <w:color w:val="00648B"/>
                <w:sz w:val="16"/>
              </w:rPr>
              <w:t>USA/Canada jurisdiction (PI)</w:t>
            </w:r>
          </w:p>
        </w:tc>
        <w:tc>
          <w:tcPr>
            <w:tcW w:type="dxa" w:w="1247"/>
          </w:tcPr>
          <w:p>
            <w:pPr>
              <w:spacing w:after="20" w:before="0"/>
            </w:pPr>
            <w:r/>
            <w:r>
              <w:rPr>
                <w:rFonts w:ascii="Lato" w:hAnsi="Lato" w:cs="Lato"/>
                <w:b w:val="0"/>
                <w:i w:val="0"/>
                <w:color w:val="2B2F33"/>
                <w:sz w:val="15"/>
              </w:rPr>
              <w:t>Tysers</w:t>
            </w:r>
          </w:p>
        </w:tc>
        <w:tc>
          <w:tcPr>
            <w:tcW w:type="dxa" w:w="1871"/>
          </w:tcPr>
          <w:p>
            <w:pPr>
              <w:spacing w:after="20" w:before="0"/>
            </w:pPr>
            <w:r/>
            <w:r>
              <w:rPr>
                <w:rFonts w:ascii="Lato" w:hAnsi="Lato" w:cs="Lato"/>
                <w:b w:val="0"/>
                <w:i w:val="0"/>
                <w:color w:val="2B2F33"/>
                <w:sz w:val="15"/>
              </w:rPr>
              <w:t>No jurisdiction exclusion (worldwide)</w:t>
            </w:r>
          </w:p>
        </w:tc>
        <w:tc>
          <w:tcPr>
            <w:tcW w:type="dxa" w:w="1814"/>
          </w:tcPr>
          <w:p>
            <w:pPr>
              <w:spacing w:after="20" w:before="0"/>
            </w:pPr>
            <w:r/>
            <w:r>
              <w:rPr>
                <w:rFonts w:ascii="Lato" w:hAnsi="Lato" w:cs="Lato"/>
                <w:b w:val="0"/>
                <w:i w:val="0"/>
                <w:color w:val="2B2F33"/>
                <w:sz w:val="15"/>
              </w:rPr>
              <w:t>TMHCC excludes actions outside Jurisdiction (default ex-US/Canada)</w:t>
            </w:r>
          </w:p>
        </w:tc>
        <w:tc>
          <w:tcPr>
            <w:tcW w:type="dxa" w:w="2268"/>
          </w:tcPr>
          <w:p>
            <w:pPr>
              <w:spacing w:after="20" w:before="0"/>
            </w:pPr>
            <w:r/>
            <w:r>
              <w:rPr>
                <w:rFonts w:ascii="Lato" w:hAnsi="Lato" w:cs="Lato"/>
                <w:b w:val="0"/>
                <w:i w:val="0"/>
                <w:color w:val="2B2F33"/>
                <w:sz w:val="15"/>
              </w:rPr>
              <w:t>Offer rated worldwide/US-Canada option; keep default</w:t>
            </w:r>
          </w:p>
        </w:tc>
        <w:tc>
          <w:tcPr>
            <w:tcW w:type="dxa" w:w="1134"/>
            <w:shd w:val="clear" w:color="auto" w:fill="FBE6EA"/>
          </w:tcPr>
          <w:p>
            <w:pPr>
              <w:spacing w:after="20" w:before="0"/>
              <w:jc w:val="center"/>
            </w:pPr>
            <w:r/>
            <w:r>
              <w:rPr>
                <w:rFonts w:ascii="Lato" w:hAnsi="Lato" w:cs="Lato"/>
                <w:b/>
                <w:i w:val="0"/>
                <w:color w:val="A4233B"/>
                <w:sz w:val="15"/>
              </w:rPr>
              <w:t>High</w:t>
            </w:r>
          </w:p>
        </w:tc>
      </w:tr>
      <w:tr>
        <w:tc>
          <w:tcPr>
            <w:tcW w:type="dxa" w:w="1758"/>
            <w:shd w:val="clear" w:color="auto" w:fill="F4F7F9"/>
          </w:tcPr>
          <w:p>
            <w:pPr>
              <w:spacing w:after="20" w:before="0"/>
            </w:pPr>
            <w:r/>
            <w:r>
              <w:rPr>
                <w:rFonts w:ascii="Lato" w:hAnsi="Lato" w:cs="Lato"/>
                <w:b/>
                <w:i w:val="0"/>
                <w:color w:val="00648B"/>
                <w:sz w:val="16"/>
              </w:rPr>
              <w:t>Patent infringement (PI)</w:t>
            </w:r>
          </w:p>
        </w:tc>
        <w:tc>
          <w:tcPr>
            <w:tcW w:type="dxa" w:w="1247"/>
            <w:shd w:val="clear" w:color="auto" w:fill="F4F7F9"/>
          </w:tcPr>
          <w:p>
            <w:pPr>
              <w:spacing w:after="20" w:before="0"/>
            </w:pPr>
            <w:r/>
            <w:r>
              <w:rPr>
                <w:rFonts w:ascii="Lato" w:hAnsi="Lato" w:cs="Lato"/>
                <w:b w:val="0"/>
                <w:i w:val="0"/>
                <w:color w:val="2B2F33"/>
                <w:sz w:val="15"/>
              </w:rPr>
              <w:t>Tysers</w:t>
            </w:r>
          </w:p>
        </w:tc>
        <w:tc>
          <w:tcPr>
            <w:tcW w:type="dxa" w:w="1871"/>
            <w:shd w:val="clear" w:color="auto" w:fill="F4F7F9"/>
          </w:tcPr>
          <w:p>
            <w:pPr>
              <w:spacing w:after="20" w:before="0"/>
            </w:pPr>
            <w:r/>
            <w:r>
              <w:rPr>
                <w:rFonts w:ascii="Lato" w:hAnsi="Lato" w:cs="Lato"/>
                <w:b w:val="0"/>
                <w:i w:val="0"/>
                <w:color w:val="2B2F33"/>
                <w:sz w:val="15"/>
              </w:rPr>
              <w:t>Patents covered within IP</w:t>
            </w:r>
          </w:p>
        </w:tc>
        <w:tc>
          <w:tcPr>
            <w:tcW w:type="dxa" w:w="1814"/>
            <w:shd w:val="clear" w:color="auto" w:fill="F4F7F9"/>
          </w:tcPr>
          <w:p>
            <w:pPr>
              <w:spacing w:after="20" w:before="0"/>
            </w:pPr>
            <w:r/>
            <w:r>
              <w:rPr>
                <w:rFonts w:ascii="Lato" w:hAnsi="Lato" w:cs="Lato"/>
                <w:b w:val="0"/>
                <w:i w:val="0"/>
                <w:color w:val="2B2F33"/>
                <w:sz w:val="15"/>
              </w:rPr>
              <w:t>TMHCC excludes patents</w:t>
            </w:r>
          </w:p>
        </w:tc>
        <w:tc>
          <w:tcPr>
            <w:tcW w:type="dxa" w:w="2268"/>
            <w:shd w:val="clear" w:color="auto" w:fill="F4F7F9"/>
          </w:tcPr>
          <w:p>
            <w:pPr>
              <w:spacing w:after="20" w:before="0"/>
            </w:pPr>
            <w:r/>
            <w:r>
              <w:rPr>
                <w:rFonts w:ascii="Lato" w:hAnsi="Lato" w:cs="Lato"/>
                <w:b w:val="0"/>
                <w:i w:val="0"/>
                <w:color w:val="2B2F33"/>
                <w:sz w:val="15"/>
              </w:rPr>
              <w:t>At most a limited defence-costs write-back; otherwise leave excluded</w:t>
            </w:r>
          </w:p>
        </w:tc>
        <w:tc>
          <w:tcPr>
            <w:tcW w:type="dxa" w:w="1134"/>
            <w:shd w:val="clear" w:color="auto" w:fill="EEF1F3"/>
          </w:tcPr>
          <w:p>
            <w:pPr>
              <w:spacing w:after="20" w:before="0"/>
              <w:jc w:val="center"/>
            </w:pPr>
            <w:r/>
            <w:r>
              <w:rPr>
                <w:rFonts w:ascii="Lato" w:hAnsi="Lato" w:cs="Lato"/>
                <w:b/>
                <w:i w:val="0"/>
                <w:color w:val="5B6166"/>
                <w:sz w:val="15"/>
              </w:rPr>
              <w:t>Low</w:t>
            </w:r>
          </w:p>
        </w:tc>
      </w:tr>
      <w:tr>
        <w:tc>
          <w:tcPr>
            <w:tcW w:type="dxa" w:w="1758"/>
          </w:tcPr>
          <w:p>
            <w:pPr>
              <w:spacing w:after="20" w:before="0"/>
            </w:pPr>
            <w:r/>
            <w:r>
              <w:rPr>
                <w:rFonts w:ascii="Lato" w:hAnsi="Lato" w:cs="Lato"/>
                <w:b/>
                <w:i w:val="0"/>
                <w:color w:val="00648B"/>
                <w:sz w:val="16"/>
              </w:rPr>
              <w:t>Cyber/data exclusion vs PI</w:t>
            </w:r>
          </w:p>
        </w:tc>
        <w:tc>
          <w:tcPr>
            <w:tcW w:type="dxa" w:w="1247"/>
          </w:tcPr>
          <w:p>
            <w:pPr>
              <w:spacing w:after="20" w:before="0"/>
            </w:pPr>
            <w:r/>
            <w:r>
              <w:rPr>
                <w:rFonts w:ascii="Lato" w:hAnsi="Lato" w:cs="Lato"/>
                <w:b w:val="0"/>
                <w:i w:val="0"/>
                <w:color w:val="2B2F33"/>
                <w:sz w:val="15"/>
              </w:rPr>
              <w:t>(TMHCC favourable)</w:t>
            </w:r>
          </w:p>
        </w:tc>
        <w:tc>
          <w:tcPr>
            <w:tcW w:type="dxa" w:w="1871"/>
          </w:tcPr>
          <w:p>
            <w:pPr>
              <w:spacing w:after="20" w:before="0"/>
            </w:pPr>
            <w:r/>
            <w:r>
              <w:rPr>
                <w:rFonts w:ascii="Lato" w:hAnsi="Lato" w:cs="Lato"/>
                <w:b w:val="0"/>
                <w:i w:val="0"/>
                <w:color w:val="2B2F33"/>
                <w:sz w:val="15"/>
              </w:rPr>
              <w:t>Yutree strips cyber-related PI; AXA XL blanket cyber exclusion</w:t>
            </w:r>
          </w:p>
        </w:tc>
        <w:tc>
          <w:tcPr>
            <w:tcW w:type="dxa" w:w="1814"/>
          </w:tcPr>
          <w:p>
            <w:pPr>
              <w:spacing w:after="20" w:before="0"/>
            </w:pPr>
            <w:r/>
            <w:r>
              <w:rPr>
                <w:rFonts w:ascii="Lato" w:hAnsi="Lato" w:cs="Lato"/>
                <w:b w:val="0"/>
                <w:i w:val="0"/>
                <w:color w:val="2B2F33"/>
                <w:sz w:val="15"/>
              </w:rPr>
              <w:t>TMHCC dis-applies cyber/date exclusion to S12–15</w:t>
            </w:r>
          </w:p>
        </w:tc>
        <w:tc>
          <w:tcPr>
            <w:tcW w:type="dxa" w:w="2268"/>
          </w:tcPr>
          <w:p>
            <w:pPr>
              <w:spacing w:after="20" w:before="0"/>
            </w:pPr>
            <w:r/>
            <w:r>
              <w:rPr>
                <w:rFonts w:ascii="Lato" w:hAnsi="Lato" w:cs="Lato"/>
                <w:b w:val="0"/>
                <w:i w:val="0"/>
                <w:color w:val="2B2F33"/>
                <w:sz w:val="15"/>
              </w:rPr>
              <w:t>No change — retain as a TMHCC strength</w:t>
            </w:r>
          </w:p>
        </w:tc>
        <w:tc>
          <w:tcPr>
            <w:tcW w:type="dxa" w:w="1134"/>
            <w:shd w:val="clear" w:color="auto" w:fill="EEF1F3"/>
          </w:tcPr>
          <w:p>
            <w:pPr>
              <w:spacing w:after="20" w:before="0"/>
              <w:jc w:val="center"/>
            </w:pPr>
            <w:r/>
            <w:r>
              <w:rPr>
                <w:rFonts w:ascii="Lato" w:hAnsi="Lato" w:cs="Lato"/>
                <w:b/>
                <w:i w:val="0"/>
                <w:color w:val="5B6166"/>
                <w:sz w:val="15"/>
              </w:rPr>
              <w:t>n/a</w:t>
            </w:r>
          </w:p>
        </w:tc>
      </w:tr>
      <w:tr>
        <w:tc>
          <w:tcPr>
            <w:tcW w:type="dxa" w:w="1758"/>
            <w:shd w:val="clear" w:color="auto" w:fill="F4F7F9"/>
          </w:tcPr>
          <w:p>
            <w:pPr>
              <w:spacing w:after="20" w:before="0"/>
            </w:pPr>
            <w:r/>
            <w:r>
              <w:rPr>
                <w:rFonts w:ascii="Lato" w:hAnsi="Lato" w:cs="Lato"/>
                <w:b/>
                <w:i w:val="0"/>
                <w:color w:val="00648B"/>
                <w:sz w:val="16"/>
              </w:rPr>
              <w:t>Fines/penalties (PI)</w:t>
            </w:r>
          </w:p>
        </w:tc>
        <w:tc>
          <w:tcPr>
            <w:tcW w:type="dxa" w:w="1247"/>
            <w:shd w:val="clear" w:color="auto" w:fill="F4F7F9"/>
          </w:tcPr>
          <w:p>
            <w:pPr>
              <w:spacing w:after="20" w:before="0"/>
            </w:pPr>
            <w:r/>
            <w:r>
              <w:rPr>
                <w:rFonts w:ascii="Lato" w:hAnsi="Lato" w:cs="Lato"/>
                <w:b w:val="0"/>
                <w:i w:val="0"/>
                <w:color w:val="2B2F33"/>
                <w:sz w:val="15"/>
              </w:rPr>
              <w:t>(TMHCC favourable)</w:t>
            </w:r>
          </w:p>
        </w:tc>
        <w:tc>
          <w:tcPr>
            <w:tcW w:type="dxa" w:w="1871"/>
            <w:shd w:val="clear" w:color="auto" w:fill="F4F7F9"/>
          </w:tcPr>
          <w:p>
            <w:pPr>
              <w:spacing w:after="20" w:before="0"/>
            </w:pPr>
            <w:r/>
            <w:r>
              <w:rPr>
                <w:rFonts w:ascii="Lato" w:hAnsi="Lato" w:cs="Lato"/>
                <w:b w:val="0"/>
                <w:i w:val="0"/>
                <w:color w:val="2B2F33"/>
                <w:sz w:val="15"/>
              </w:rPr>
              <w:t>TMHCC writes back defamation awards &amp; permitted punitive; AXA XL excludes absolutely</w:t>
            </w:r>
          </w:p>
        </w:tc>
        <w:tc>
          <w:tcPr>
            <w:tcW w:type="dxa" w:w="1814"/>
            <w:shd w:val="clear" w:color="auto" w:fill="F4F7F9"/>
          </w:tcPr>
          <w:p>
            <w:pPr>
              <w:spacing w:after="20" w:before="0"/>
            </w:pPr>
            <w:r/>
            <w:r>
              <w:rPr>
                <w:rFonts w:ascii="Lato" w:hAnsi="Lato" w:cs="Lato"/>
                <w:b w:val="0"/>
                <w:i w:val="0"/>
                <w:color w:val="2B2F33"/>
                <w:sz w:val="15"/>
              </w:rPr>
              <w:t>TMHCC already favourable</w:t>
            </w:r>
          </w:p>
        </w:tc>
        <w:tc>
          <w:tcPr>
            <w:tcW w:type="dxa" w:w="2268"/>
            <w:shd w:val="clear" w:color="auto" w:fill="F4F7F9"/>
          </w:tcPr>
          <w:p>
            <w:pPr>
              <w:spacing w:after="20" w:before="0"/>
            </w:pPr>
            <w:r/>
            <w:r>
              <w:rPr>
                <w:rFonts w:ascii="Lato" w:hAnsi="Lato" w:cs="Lato"/>
                <w:b w:val="0"/>
                <w:i w:val="0"/>
                <w:color w:val="2B2F33"/>
                <w:sz w:val="15"/>
              </w:rPr>
              <w:t>No change — retain</w:t>
            </w:r>
          </w:p>
        </w:tc>
        <w:tc>
          <w:tcPr>
            <w:tcW w:type="dxa" w:w="1134"/>
            <w:shd w:val="clear" w:color="auto" w:fill="EEF1F3"/>
          </w:tcPr>
          <w:p>
            <w:pPr>
              <w:spacing w:after="20" w:before="0"/>
              <w:jc w:val="center"/>
            </w:pPr>
            <w:r/>
            <w:r>
              <w:rPr>
                <w:rFonts w:ascii="Lato" w:hAnsi="Lato" w:cs="Lato"/>
                <w:b/>
                <w:i w:val="0"/>
                <w:color w:val="5B6166"/>
                <w:sz w:val="15"/>
              </w:rPr>
              <w:t>n/a</w:t>
            </w:r>
          </w:p>
        </w:tc>
      </w:tr>
    </w:tbl>
    <w:tbl>
      <w:tblPr>
        <w:tblW w:type="pct" w:w="5000"/>
        <w:tblLayout w:type="fixed"/>
        <w:tblLook w:firstColumn="1" w:firstRow="1" w:lastColumn="0" w:lastRow="0" w:noHBand="0" w:noVBand="1" w:val="04A0"/>
      </w:tblPr>
      <w:tblGrid>
        <w:gridCol w:w="9978"/>
      </w:tblGrid>
      <w:tr>
        <w:tc>
          <w:tcPr>
            <w:tcW w:type="dxa" w:w="9978"/>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Underwriting stance:  </w:t>
            </w:r>
            <w:r>
              <w:rPr>
                <w:rFonts w:ascii="Lato" w:hAnsi="Lato" w:cs="Lato"/>
                <w:b w:val="0"/>
                <w:i w:val="0"/>
                <w:color w:val="2B2F33"/>
                <w:sz w:val="19"/>
              </w:rPr>
              <w:t>Adopt the asbestos and pollution write-backs ONLY in a narrow, sub-limited, negligent-advice form that keeps bodily injury and the contamination/clean-up itself excluded. Offer worldwide/US-Canada as a rated option. Do NOT write patents back beyond, at most, limited defence costs.</w:t>
            </w:r>
          </w:p>
        </w:tc>
      </w:tr>
    </w:tbl>
    <w:p>
      <w:pPr>
        <w:spacing w:after="80"/>
      </w:pPr>
    </w:p>
    <w:p>
      <w:r>
        <w:br w:type="page"/>
      </w:r>
    </w:p>
    <w:p>
      <w:pPr>
        <w:keepNext/>
        <w:spacing w:before="280" w:after="40"/>
        <w:pBdr>
          <w:bottom w:val="single" w:sz="8" w:space="2" w:color="B88A3C"/>
        </w:pBdr>
      </w:pPr>
      <w:r>
        <w:rPr>
          <w:rFonts w:ascii="Lato" w:hAnsi="Lato" w:cs="Lato"/>
          <w:b/>
          <w:i w:val="0"/>
          <w:color w:val="B88A3C"/>
          <w:sz w:val="30"/>
        </w:rPr>
        <w:t xml:space="preserve">6  </w:t>
      </w:r>
      <w:r>
        <w:rPr>
          <w:rFonts w:ascii="Lato" w:hAnsi="Lato" w:cs="Lato"/>
          <w:b/>
          <w:i w:val="0"/>
          <w:color w:val="00648B"/>
          <w:sz w:val="30"/>
        </w:rPr>
        <w:t>Definitions to consider expanding or clarifying</w:t>
      </w:r>
    </w:p>
    <w:tbl>
      <w:tblPr>
        <w:tblW w:type="dxa" w:w="10093"/>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1928"/>
        <w:gridCol w:w="1814"/>
        <w:gridCol w:w="2155"/>
        <w:gridCol w:w="2835"/>
        <w:gridCol w:w="1361"/>
      </w:tblGrid>
      <w:tr>
        <w:tc>
          <w:tcPr>
            <w:tcW w:type="dxa" w:w="1928"/>
            <w:shd w:val="clear" w:color="auto" w:fill="00648B"/>
          </w:tcPr>
          <w:p>
            <w:pPr>
              <w:spacing w:after="20" w:before="0"/>
              <w:jc w:val="center"/>
            </w:pPr>
            <w:r/>
            <w:r>
              <w:rPr>
                <w:rFonts w:ascii="Lato" w:hAnsi="Lato" w:cs="Lato"/>
                <w:b/>
                <w:i w:val="0"/>
                <w:color w:val="FFFFFF"/>
                <w:sz w:val="17"/>
              </w:rPr>
              <w:t>Definition</w:t>
            </w:r>
          </w:p>
        </w:tc>
        <w:tc>
          <w:tcPr>
            <w:tcW w:type="dxa" w:w="1814"/>
            <w:shd w:val="clear" w:color="auto" w:fill="00648B"/>
          </w:tcPr>
          <w:p>
            <w:pPr>
              <w:spacing w:after="20" w:before="0"/>
              <w:jc w:val="center"/>
            </w:pPr>
            <w:r/>
            <w:r>
              <w:rPr>
                <w:rFonts w:ascii="Lato" w:hAnsi="Lato" w:cs="Lato"/>
                <w:b/>
                <w:i w:val="0"/>
                <w:color w:val="FFFFFF"/>
                <w:sz w:val="17"/>
              </w:rPr>
              <w:t>Competitor benchmark</w:t>
            </w:r>
          </w:p>
        </w:tc>
        <w:tc>
          <w:tcPr>
            <w:tcW w:type="dxa" w:w="2154"/>
            <w:shd w:val="clear" w:color="auto" w:fill="00648B"/>
          </w:tcPr>
          <w:p>
            <w:pPr>
              <w:spacing w:after="20" w:before="0"/>
              <w:jc w:val="center"/>
            </w:pPr>
            <w:r/>
            <w:r>
              <w:rPr>
                <w:rFonts w:ascii="Lato" w:hAnsi="Lato" w:cs="Lato"/>
                <w:b/>
                <w:i w:val="0"/>
                <w:color w:val="FFFFFF"/>
                <w:sz w:val="17"/>
              </w:rPr>
              <w:t>Current TMHCC</w:t>
            </w:r>
          </w:p>
        </w:tc>
        <w:tc>
          <w:tcPr>
            <w:tcW w:type="dxa" w:w="2835"/>
            <w:shd w:val="clear" w:color="auto" w:fill="00648B"/>
          </w:tcPr>
          <w:p>
            <w:pPr>
              <w:spacing w:after="20" w:before="0"/>
              <w:jc w:val="center"/>
            </w:pPr>
            <w:r/>
            <w:r>
              <w:rPr>
                <w:rFonts w:ascii="Lato" w:hAnsi="Lato" w:cs="Lato"/>
                <w:b/>
                <w:i w:val="0"/>
                <w:color w:val="FFFFFF"/>
                <w:sz w:val="17"/>
              </w:rPr>
              <w:t>Proposed clarification</w:t>
            </w:r>
          </w:p>
        </w:tc>
        <w:tc>
          <w:tcPr>
            <w:tcW w:type="dxa" w:w="1361"/>
            <w:shd w:val="clear" w:color="auto" w:fill="00648B"/>
          </w:tcPr>
          <w:p>
            <w:pPr>
              <w:spacing w:after="20" w:before="0"/>
              <w:jc w:val="center"/>
            </w:pPr>
            <w:r/>
            <w:r>
              <w:rPr>
                <w:rFonts w:ascii="Lato" w:hAnsi="Lato" w:cs="Lato"/>
                <w:b/>
                <w:i w:val="0"/>
                <w:color w:val="FFFFFF"/>
                <w:sz w:val="17"/>
              </w:rPr>
              <w:t>Priority</w:t>
            </w:r>
          </w:p>
        </w:tc>
      </w:tr>
      <w:tr>
        <w:tc>
          <w:tcPr>
            <w:tcW w:type="dxa" w:w="1928"/>
          </w:tcPr>
          <w:p>
            <w:pPr>
              <w:spacing w:after="20" w:before="0"/>
            </w:pPr>
            <w:r/>
            <w:r>
              <w:rPr>
                <w:rFonts w:ascii="Lato" w:hAnsi="Lato" w:cs="Lato"/>
                <w:b/>
                <w:i w:val="0"/>
                <w:color w:val="00648B"/>
                <w:sz w:val="16"/>
              </w:rPr>
              <w:t>‘Media Material’ / ‘Content’</w:t>
            </w:r>
          </w:p>
        </w:tc>
        <w:tc>
          <w:tcPr>
            <w:tcW w:type="dxa" w:w="1814"/>
          </w:tcPr>
          <w:p>
            <w:pPr>
              <w:spacing w:after="20" w:before="0"/>
            </w:pPr>
            <w:r/>
            <w:r>
              <w:rPr>
                <w:rFonts w:ascii="Lato" w:hAnsi="Lato" w:cs="Lato"/>
                <w:b w:val="0"/>
                <w:i w:val="0"/>
                <w:color w:val="2B2F33"/>
                <w:sz w:val="15"/>
              </w:rPr>
              <w:t>Tysers defines ‘Media Material’</w:t>
            </w:r>
          </w:p>
        </w:tc>
        <w:tc>
          <w:tcPr>
            <w:tcW w:type="dxa" w:w="2155"/>
          </w:tcPr>
          <w:p>
            <w:pPr>
              <w:spacing w:after="20" w:before="0"/>
            </w:pPr>
            <w:r/>
            <w:r>
              <w:rPr>
                <w:rFonts w:ascii="Lato" w:hAnsi="Lato" w:cs="Lato"/>
                <w:b w:val="0"/>
                <w:i w:val="0"/>
                <w:color w:val="2B2F33"/>
                <w:sz w:val="15"/>
              </w:rPr>
              <w:t>TMHCC uses ‘data, text, sounds, images or similar content’ descriptively.</w:t>
            </w:r>
          </w:p>
        </w:tc>
        <w:tc>
          <w:tcPr>
            <w:tcW w:type="dxa" w:w="2835"/>
          </w:tcPr>
          <w:p>
            <w:pPr>
              <w:spacing w:after="20" w:before="0"/>
            </w:pPr>
            <w:r/>
            <w:r>
              <w:rPr>
                <w:rFonts w:ascii="Lato" w:hAnsi="Lato" w:cs="Lato"/>
                <w:b w:val="0"/>
                <w:i w:val="0"/>
                <w:color w:val="2B2F33"/>
                <w:sz w:val="15"/>
              </w:rPr>
              <w:t>Add a defined term to sharpen the subject-matter of S12 cover.</w:t>
            </w:r>
          </w:p>
        </w:tc>
        <w:tc>
          <w:tcPr>
            <w:tcW w:type="dxa" w:w="1361"/>
            <w:shd w:val="clear" w:color="auto" w:fill="EEF1F3"/>
          </w:tcPr>
          <w:p>
            <w:pPr>
              <w:spacing w:after="20" w:before="0"/>
              <w:jc w:val="center"/>
            </w:pPr>
            <w:r/>
            <w:r>
              <w:rPr>
                <w:rFonts w:ascii="Lato" w:hAnsi="Lato" w:cs="Lato"/>
                <w:b/>
                <w:i w:val="0"/>
                <w:color w:val="5B6166"/>
                <w:sz w:val="15"/>
              </w:rPr>
              <w:t>Low</w:t>
            </w:r>
          </w:p>
        </w:tc>
      </w:tr>
      <w:tr>
        <w:tc>
          <w:tcPr>
            <w:tcW w:type="dxa" w:w="1928"/>
            <w:shd w:val="clear" w:color="auto" w:fill="F4F7F9"/>
          </w:tcPr>
          <w:p>
            <w:pPr>
              <w:spacing w:after="20" w:before="0"/>
            </w:pPr>
            <w:r/>
            <w:r>
              <w:rPr>
                <w:rFonts w:ascii="Lato" w:hAnsi="Lato" w:cs="Lato"/>
                <w:b/>
                <w:i w:val="0"/>
                <w:color w:val="00648B"/>
                <w:sz w:val="16"/>
              </w:rPr>
              <w:t>Territory — ‘Geographical Limits’ / ‘Jurisdiction’</w:t>
            </w:r>
          </w:p>
        </w:tc>
        <w:tc>
          <w:tcPr>
            <w:tcW w:type="dxa" w:w="1814"/>
            <w:shd w:val="clear" w:color="auto" w:fill="F4F7F9"/>
          </w:tcPr>
          <w:p>
            <w:pPr>
              <w:spacing w:after="20" w:before="0"/>
            </w:pPr>
            <w:r/>
            <w:r>
              <w:rPr>
                <w:rFonts w:ascii="Lato" w:hAnsi="Lato" w:cs="Lato"/>
                <w:b w:val="0"/>
                <w:i w:val="0"/>
                <w:color w:val="2B2F33"/>
                <w:sz w:val="15"/>
              </w:rPr>
              <w:t>Tysers (worldwide)</w:t>
            </w:r>
          </w:p>
        </w:tc>
        <w:tc>
          <w:tcPr>
            <w:tcW w:type="dxa" w:w="2155"/>
            <w:shd w:val="clear" w:color="auto" w:fill="F4F7F9"/>
          </w:tcPr>
          <w:p>
            <w:pPr>
              <w:spacing w:after="20" w:before="0"/>
            </w:pPr>
            <w:r/>
            <w:r>
              <w:rPr>
                <w:rFonts w:ascii="Lato" w:hAnsi="Lato" w:cs="Lato"/>
                <w:b w:val="0"/>
                <w:i w:val="0"/>
                <w:color w:val="2B2F33"/>
                <w:sz w:val="15"/>
              </w:rPr>
              <w:t>Default worldwide ex-US/Canada; Legal Action exclusion bars actions outside Jurisdiction.</w:t>
            </w:r>
          </w:p>
        </w:tc>
        <w:tc>
          <w:tcPr>
            <w:tcW w:type="dxa" w:w="2835"/>
            <w:shd w:val="clear" w:color="auto" w:fill="F4F7F9"/>
          </w:tcPr>
          <w:p>
            <w:pPr>
              <w:spacing w:after="20" w:before="0"/>
            </w:pPr>
            <w:r/>
            <w:r>
              <w:rPr>
                <w:rFonts w:ascii="Lato" w:hAnsi="Lato" w:cs="Lato"/>
                <w:b w:val="0"/>
                <w:i w:val="0"/>
                <w:color w:val="2B2F33"/>
                <w:sz w:val="15"/>
              </w:rPr>
              <w:t>Define a clear optional worldwide / incl.-US-Canada basis selectable in the Schedule.</w:t>
            </w:r>
          </w:p>
        </w:tc>
        <w:tc>
          <w:tcPr>
            <w:tcW w:type="dxa" w:w="1361"/>
            <w:shd w:val="clear" w:color="auto" w:fill="FBE6EA"/>
          </w:tcPr>
          <w:p>
            <w:pPr>
              <w:spacing w:after="20" w:before="0"/>
              <w:jc w:val="center"/>
            </w:pPr>
            <w:r/>
            <w:r>
              <w:rPr>
                <w:rFonts w:ascii="Lato" w:hAnsi="Lato" w:cs="Lato"/>
                <w:b/>
                <w:i w:val="0"/>
                <w:color w:val="A4233B"/>
                <w:sz w:val="15"/>
              </w:rPr>
              <w:t>High</w:t>
            </w:r>
          </w:p>
        </w:tc>
      </w:tr>
      <w:tr>
        <w:tc>
          <w:tcPr>
            <w:tcW w:type="dxa" w:w="1928"/>
          </w:tcPr>
          <w:p>
            <w:pPr>
              <w:spacing w:after="20" w:before="0"/>
            </w:pPr>
            <w:r/>
            <w:r>
              <w:rPr>
                <w:rFonts w:ascii="Lato" w:hAnsi="Lato" w:cs="Lato"/>
                <w:b/>
                <w:i w:val="0"/>
                <w:color w:val="00648B"/>
                <w:sz w:val="16"/>
              </w:rPr>
              <w:t>‘Cyber act’ / ‘Computer System’ / ‘Virus’</w:t>
            </w:r>
          </w:p>
        </w:tc>
        <w:tc>
          <w:tcPr>
            <w:tcW w:type="dxa" w:w="1814"/>
          </w:tcPr>
          <w:p>
            <w:pPr>
              <w:spacing w:after="20" w:before="0"/>
            </w:pPr>
            <w:r/>
            <w:r>
              <w:rPr>
                <w:rFonts w:ascii="Lato" w:hAnsi="Lato" w:cs="Lato"/>
                <w:b w:val="0"/>
                <w:i w:val="0"/>
                <w:color w:val="2B2F33"/>
                <w:sz w:val="15"/>
              </w:rPr>
              <w:t>Yutree defines ‘Cyber act’</w:t>
            </w:r>
          </w:p>
        </w:tc>
        <w:tc>
          <w:tcPr>
            <w:tcW w:type="dxa" w:w="2155"/>
          </w:tcPr>
          <w:p>
            <w:pPr>
              <w:spacing w:after="20" w:before="0"/>
            </w:pPr>
            <w:r/>
            <w:r>
              <w:rPr>
                <w:rFonts w:ascii="Lato" w:hAnsi="Lato" w:cs="Lato"/>
                <w:b w:val="0"/>
                <w:i w:val="0"/>
                <w:color w:val="2B2F33"/>
                <w:sz w:val="15"/>
              </w:rPr>
              <w:t>TMHCC defines ‘Computer System’ and ‘Virus’ within S12 and operates a separate CyberGuard section.</w:t>
            </w:r>
          </w:p>
        </w:tc>
        <w:tc>
          <w:tcPr>
            <w:tcW w:type="dxa" w:w="2835"/>
          </w:tcPr>
          <w:p>
            <w:pPr>
              <w:spacing w:after="20" w:before="0"/>
            </w:pPr>
            <w:r/>
            <w:r>
              <w:rPr>
                <w:rFonts w:ascii="Lato" w:hAnsi="Lato" w:cs="Lato"/>
                <w:b w:val="0"/>
                <w:i w:val="0"/>
                <w:color w:val="2B2F33"/>
                <w:sz w:val="15"/>
              </w:rPr>
              <w:t>Align S12 cyber definitions with the CyberGuard section to avoid overlap/ambiguity.</w:t>
            </w:r>
          </w:p>
        </w:tc>
        <w:tc>
          <w:tcPr>
            <w:tcW w:type="dxa" w:w="1361"/>
            <w:shd w:val="clear" w:color="auto" w:fill="FBF1DA"/>
          </w:tcPr>
          <w:p>
            <w:pPr>
              <w:spacing w:after="20" w:before="0"/>
              <w:jc w:val="center"/>
            </w:pPr>
            <w:r/>
            <w:r>
              <w:rPr>
                <w:rFonts w:ascii="Lato" w:hAnsi="Lato" w:cs="Lato"/>
                <w:b/>
                <w:i w:val="0"/>
                <w:color w:val="8A6A1E"/>
                <w:sz w:val="15"/>
              </w:rPr>
              <w:t>Medium</w:t>
            </w:r>
          </w:p>
        </w:tc>
      </w:tr>
      <w:tr>
        <w:tc>
          <w:tcPr>
            <w:tcW w:type="dxa" w:w="1928"/>
            <w:shd w:val="clear" w:color="auto" w:fill="F4F7F9"/>
          </w:tcPr>
          <w:p>
            <w:pPr>
              <w:spacing w:after="20" w:before="0"/>
            </w:pPr>
            <w:r/>
            <w:r>
              <w:rPr>
                <w:rFonts w:ascii="Lato" w:hAnsi="Lato" w:cs="Lato"/>
                <w:b/>
                <w:i w:val="0"/>
                <w:color w:val="00648B"/>
                <w:sz w:val="16"/>
              </w:rPr>
              <w:t>‘Employee’ / freelancers &amp; contractors</w:t>
            </w:r>
          </w:p>
        </w:tc>
        <w:tc>
          <w:tcPr>
            <w:tcW w:type="dxa" w:w="1814"/>
            <w:shd w:val="clear" w:color="auto" w:fill="F4F7F9"/>
          </w:tcPr>
          <w:p>
            <w:pPr>
              <w:spacing w:after="20" w:before="0"/>
            </w:pPr>
            <w:r/>
            <w:r>
              <w:rPr>
                <w:rFonts w:ascii="Lato" w:hAnsi="Lato" w:cs="Lato"/>
                <w:b w:val="0"/>
                <w:i w:val="0"/>
                <w:color w:val="2B2F33"/>
                <w:sz w:val="15"/>
              </w:rPr>
              <w:t>Tysers; Yutree (broad employee defs)</w:t>
            </w:r>
          </w:p>
        </w:tc>
        <w:tc>
          <w:tcPr>
            <w:tcW w:type="dxa" w:w="2155"/>
            <w:shd w:val="clear" w:color="auto" w:fill="F4F7F9"/>
          </w:tcPr>
          <w:p>
            <w:pPr>
              <w:spacing w:after="20" w:before="0"/>
            </w:pPr>
            <w:r/>
            <w:r>
              <w:rPr>
                <w:rFonts w:ascii="Lato" w:hAnsi="Lato" w:cs="Lato"/>
                <w:b w:val="0"/>
                <w:i w:val="0"/>
                <w:color w:val="2B2F33"/>
                <w:sz w:val="15"/>
              </w:rPr>
              <w:t>TMHCC S12 includes self-employed/freelance under direction &amp; control — already broad.</w:t>
            </w:r>
          </w:p>
        </w:tc>
        <w:tc>
          <w:tcPr>
            <w:tcW w:type="dxa" w:w="2835"/>
            <w:shd w:val="clear" w:color="auto" w:fill="F4F7F9"/>
          </w:tcPr>
          <w:p>
            <w:pPr>
              <w:spacing w:after="20" w:before="0"/>
            </w:pPr>
            <w:r/>
            <w:r>
              <w:rPr>
                <w:rFonts w:ascii="Lato" w:hAnsi="Lato" w:cs="Lato"/>
                <w:b w:val="0"/>
                <w:i w:val="0"/>
                <w:color w:val="2B2F33"/>
                <w:sz w:val="15"/>
              </w:rPr>
              <w:t>Confirm freelancers/loaned staff captured consistently across sections.</w:t>
            </w:r>
          </w:p>
        </w:tc>
        <w:tc>
          <w:tcPr>
            <w:tcW w:type="dxa" w:w="1361"/>
            <w:shd w:val="clear" w:color="auto" w:fill="EEF1F3"/>
          </w:tcPr>
          <w:p>
            <w:pPr>
              <w:spacing w:after="20" w:before="0"/>
              <w:jc w:val="center"/>
            </w:pPr>
            <w:r/>
            <w:r>
              <w:rPr>
                <w:rFonts w:ascii="Lato" w:hAnsi="Lato" w:cs="Lato"/>
                <w:b/>
                <w:i w:val="0"/>
                <w:color w:val="5B6166"/>
                <w:sz w:val="15"/>
              </w:rPr>
              <w:t>Low</w:t>
            </w:r>
          </w:p>
        </w:tc>
      </w:tr>
    </w:tbl>
    <w:p>
      <w:r>
        <w:br w:type="page"/>
      </w:r>
    </w:p>
    <w:p>
      <w:pPr>
        <w:keepNext/>
        <w:spacing w:before="280" w:after="40"/>
        <w:pBdr>
          <w:bottom w:val="single" w:sz="8" w:space="2" w:color="B88A3C"/>
        </w:pBdr>
      </w:pPr>
      <w:r>
        <w:rPr>
          <w:rFonts w:ascii="Lato" w:hAnsi="Lato" w:cs="Lato"/>
          <w:b/>
          <w:i w:val="0"/>
          <w:color w:val="B88A3C"/>
          <w:sz w:val="30"/>
        </w:rPr>
        <w:t xml:space="preserve">7  </w:t>
      </w:r>
      <w:r>
        <w:rPr>
          <w:rFonts w:ascii="Lato" w:hAnsi="Lato" w:cs="Lato"/>
          <w:b/>
          <w:i w:val="0"/>
          <w:color w:val="00648B"/>
          <w:sz w:val="30"/>
        </w:rPr>
        <w:t>Conditions / claims obligations to consider improving</w:t>
      </w:r>
    </w:p>
    <w:p>
      <w:pPr>
        <w:pStyle w:val="ListBullet"/>
        <w:spacing w:after="40"/>
        <w:ind w:left="340"/>
      </w:pPr>
      <w:r>
        <w:rPr>
          <w:rFonts w:ascii="Lato" w:hAnsi="Lato" w:cs="Lato"/>
          <w:b/>
          <w:i w:val="0"/>
          <w:color w:val="00648B"/>
          <w:sz w:val="19"/>
        </w:rPr>
        <w:t xml:space="preserve">Adopt:  </w:t>
      </w:r>
      <w:r>
        <w:rPr>
          <w:rFonts w:ascii="Lato" w:hAnsi="Lato" w:cs="Lato"/>
          <w:b w:val="0"/>
          <w:i w:val="0"/>
          <w:color w:val="2B2F33"/>
          <w:sz w:val="19"/>
        </w:rPr>
        <w:t>Adopt a King’s Counsel dispute-resolution clause in S12 (as Yutree) to give clients certainty on defence/settlement disputes — procedural, low risk.</w:t>
      </w:r>
    </w:p>
    <w:p>
      <w:pPr>
        <w:pStyle w:val="ListBullet"/>
        <w:spacing w:after="40"/>
        <w:ind w:left="340"/>
      </w:pPr>
      <w:r>
        <w:rPr>
          <w:rFonts w:ascii="Lato" w:hAnsi="Lato" w:cs="Lato"/>
          <w:b/>
          <w:i w:val="0"/>
          <w:color w:val="00648B"/>
          <w:sz w:val="19"/>
        </w:rPr>
        <w:t xml:space="preserve">Clarify:  </w:t>
      </w:r>
      <w:r>
        <w:rPr>
          <w:rFonts w:ascii="Lato" w:hAnsi="Lato" w:cs="Lato"/>
          <w:b w:val="0"/>
          <w:i w:val="0"/>
          <w:color w:val="2B2F33"/>
          <w:sz w:val="19"/>
        </w:rPr>
        <w:t>Add an express cross-reference in S12 confirming that statutory / criminal-defence cover is provided under S13 (Legal Expenses) and S14 (Management Liability).</w:t>
      </w:r>
    </w:p>
    <w:p>
      <w:pPr>
        <w:pStyle w:val="ListBullet"/>
        <w:spacing w:after="40"/>
        <w:ind w:left="340"/>
      </w:pPr>
      <w:r>
        <w:rPr>
          <w:rFonts w:ascii="Lato" w:hAnsi="Lato" w:cs="Lato"/>
          <w:b/>
          <w:i w:val="0"/>
          <w:color w:val="00648B"/>
          <w:sz w:val="19"/>
        </w:rPr>
        <w:t xml:space="preserve">Clarify:  </w:t>
      </w:r>
      <w:r>
        <w:rPr>
          <w:rFonts w:ascii="Lato" w:hAnsi="Lato" w:cs="Lato"/>
          <w:b w:val="0"/>
          <w:i w:val="0"/>
          <w:color w:val="2B2F33"/>
          <w:sz w:val="19"/>
        </w:rPr>
        <w:t>Add a signpost in S1/S2 confirming computer / IT breakdown is included (Yutree shows a named Computer Breakdown section).</w:t>
      </w:r>
    </w:p>
    <w:p>
      <w:pPr>
        <w:pStyle w:val="ListBullet"/>
        <w:spacing w:after="40"/>
        <w:ind w:left="340"/>
      </w:pPr>
      <w:r>
        <w:rPr>
          <w:rFonts w:ascii="Lato" w:hAnsi="Lato" w:cs="Lato"/>
          <w:b/>
          <w:i w:val="0"/>
          <w:color w:val="00648B"/>
          <w:sz w:val="19"/>
        </w:rPr>
        <w:t xml:space="preserve">Done:  </w:t>
      </w:r>
      <w:r>
        <w:rPr>
          <w:rFonts w:ascii="Lato" w:hAnsi="Lato" w:cs="Lato"/>
          <w:b w:val="0"/>
          <w:i w:val="0"/>
          <w:color w:val="2B2F33"/>
          <w:sz w:val="19"/>
        </w:rPr>
        <w:t>Round 7 — the blanket Admission-of-Liability CONDITION PRECEDENT has been replaced with an ordinary condition + prejudice qualifier (aligns with the competitor market). The Sections 1–11 claims-notification clause is NOT a condition precedent (it reads 'will notify… as soon as practicable') and was left as-is.</w:t>
      </w:r>
    </w:p>
    <w:p>
      <w:pPr>
        <w:pStyle w:val="ListBullet"/>
        <w:spacing w:after="40"/>
        <w:ind w:left="340"/>
      </w:pPr>
      <w:r>
        <w:rPr>
          <w:rFonts w:ascii="Lato" w:hAnsi="Lato" w:cs="Lato"/>
          <w:b/>
          <w:i w:val="0"/>
          <w:color w:val="00648B"/>
          <w:sz w:val="19"/>
        </w:rPr>
        <w:t xml:space="preserve">Retain:  </w:t>
      </w:r>
      <w:r>
        <w:rPr>
          <w:rFonts w:ascii="Lato" w:hAnsi="Lato" w:cs="Lato"/>
          <w:b w:val="0"/>
          <w:i w:val="0"/>
          <w:color w:val="2B2F33"/>
          <w:sz w:val="19"/>
        </w:rPr>
        <w:t>RETAIN the section-level claims-notification CPs (S12/S13/S14/S15), the police/theft-reporting CP, the unattended-vehicle / premises-security CPs, the rushes/originals/negatives storage CPs and the risk-improvement/maintenance CPs — these are normal and protective.</w:t>
      </w:r>
    </w:p>
    <w:p>
      <w:pPr>
        <w:pStyle w:val="ListBullet"/>
        <w:spacing w:after="40"/>
        <w:ind w:left="340"/>
      </w:pPr>
      <w:r>
        <w:rPr>
          <w:rFonts w:ascii="Lato" w:hAnsi="Lato" w:cs="Lato"/>
          <w:b/>
          <w:i w:val="0"/>
          <w:color w:val="00648B"/>
          <w:sz w:val="19"/>
        </w:rPr>
        <w:t xml:space="preserve">Done:  </w:t>
      </w:r>
      <w:r>
        <w:rPr>
          <w:rFonts w:ascii="Lato" w:hAnsi="Lato" w:cs="Lato"/>
          <w:b w:val="0"/>
          <w:i w:val="0"/>
          <w:color w:val="2B2F33"/>
          <w:sz w:val="19"/>
        </w:rPr>
        <w:t>Round 7 — a new 'Proof of Ownership and Value' claims condition was added (item-level, reasonable, not a blanket forfeiture or condition precedent).</w:t>
      </w:r>
    </w:p>
    <w:p>
      <w:pPr>
        <w:pStyle w:val="ListBullet"/>
        <w:spacing w:after="40"/>
        <w:ind w:left="340"/>
      </w:pPr>
      <w:r>
        <w:rPr>
          <w:rFonts w:ascii="Lato" w:hAnsi="Lato" w:cs="Lato"/>
          <w:b/>
          <w:i w:val="0"/>
          <w:color w:val="00648B"/>
          <w:sz w:val="19"/>
        </w:rPr>
        <w:t xml:space="preserve">Retain:  </w:t>
      </w:r>
      <w:r>
        <w:rPr>
          <w:rFonts w:ascii="Lato" w:hAnsi="Lato" w:cs="Lato"/>
          <w:b w:val="0"/>
          <w:i w:val="0"/>
          <w:color w:val="2B2F33"/>
          <w:sz w:val="19"/>
        </w:rPr>
        <w:t>RETAIN the detailed S12 computer-security conditions — strong risk control; ensure they are workable for SME media clients.</w:t>
      </w:r>
    </w:p>
    <w:p>
      <w:r>
        <w:br w:type="page"/>
      </w:r>
    </w:p>
    <w:p>
      <w:pPr>
        <w:keepNext/>
        <w:spacing w:before="280" w:after="40"/>
        <w:pBdr>
          <w:bottom w:val="single" w:sz="8" w:space="2" w:color="B88A3C"/>
        </w:pBdr>
      </w:pPr>
      <w:r>
        <w:rPr>
          <w:rFonts w:ascii="Lato" w:hAnsi="Lato" w:cs="Lato"/>
          <w:b/>
          <w:i w:val="0"/>
          <w:color w:val="B88A3C"/>
          <w:sz w:val="30"/>
        </w:rPr>
        <w:t xml:space="preserve">8  </w:t>
      </w:r>
      <w:r>
        <w:rPr>
          <w:rFonts w:ascii="Lato" w:hAnsi="Lato" w:cs="Lato"/>
          <w:b/>
          <w:i w:val="0"/>
          <w:color w:val="00648B"/>
          <w:sz w:val="30"/>
        </w:rPr>
        <w:t>Limits and sub-limits to consider reviewing</w:t>
      </w:r>
    </w:p>
    <w:tbl>
      <w:tblPr>
        <w:tblW w:type="dxa" w:w="10093"/>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2041"/>
        <w:gridCol w:w="2495"/>
        <w:gridCol w:w="3289"/>
      </w:tblGrid>
      <w:tr>
        <w:tc>
          <w:tcPr>
            <w:tcW w:type="dxa" w:w="2268"/>
            <w:shd w:val="clear" w:color="auto" w:fill="00648B"/>
          </w:tcPr>
          <w:p>
            <w:pPr>
              <w:spacing w:after="20" w:before="0"/>
              <w:jc w:val="center"/>
            </w:pPr>
            <w:r/>
            <w:r>
              <w:rPr>
                <w:rFonts w:ascii="Lato" w:hAnsi="Lato" w:cs="Lato"/>
                <w:b/>
                <w:i w:val="0"/>
                <w:color w:val="FFFFFF"/>
                <w:sz w:val="17"/>
              </w:rPr>
              <w:t>Sub-limit</w:t>
            </w:r>
          </w:p>
        </w:tc>
        <w:tc>
          <w:tcPr>
            <w:tcW w:type="dxa" w:w="2041"/>
            <w:shd w:val="clear" w:color="auto" w:fill="00648B"/>
          </w:tcPr>
          <w:p>
            <w:pPr>
              <w:spacing w:after="20" w:before="0"/>
              <w:jc w:val="center"/>
            </w:pPr>
            <w:r/>
            <w:r>
              <w:rPr>
                <w:rFonts w:ascii="Lato" w:hAnsi="Lato" w:cs="Lato"/>
                <w:b/>
                <w:i w:val="0"/>
                <w:color w:val="FFFFFF"/>
                <w:sz w:val="17"/>
              </w:rPr>
              <w:t>TMHCC today</w:t>
            </w:r>
          </w:p>
        </w:tc>
        <w:tc>
          <w:tcPr>
            <w:tcW w:type="dxa" w:w="2494"/>
            <w:shd w:val="clear" w:color="auto" w:fill="00648B"/>
          </w:tcPr>
          <w:p>
            <w:pPr>
              <w:spacing w:after="20" w:before="0"/>
              <w:jc w:val="center"/>
            </w:pPr>
            <w:r/>
            <w:r>
              <w:rPr>
                <w:rFonts w:ascii="Lato" w:hAnsi="Lato" w:cs="Lato"/>
                <w:b/>
                <w:i w:val="0"/>
                <w:color w:val="FFFFFF"/>
                <w:sz w:val="17"/>
              </w:rPr>
              <w:t>Competitor benchmark</w:t>
            </w:r>
          </w:p>
        </w:tc>
        <w:tc>
          <w:tcPr>
            <w:tcW w:type="dxa" w:w="3288"/>
            <w:shd w:val="clear" w:color="auto" w:fill="00648B"/>
          </w:tcPr>
          <w:p>
            <w:pPr>
              <w:spacing w:after="20" w:before="0"/>
              <w:jc w:val="center"/>
            </w:pPr>
            <w:r/>
            <w:r>
              <w:rPr>
                <w:rFonts w:ascii="Lato" w:hAnsi="Lato" w:cs="Lato"/>
                <w:b/>
                <w:i w:val="0"/>
                <w:color w:val="FFFFFF"/>
                <w:sz w:val="17"/>
              </w:rPr>
              <w:t>Recommendation</w:t>
            </w:r>
          </w:p>
        </w:tc>
      </w:tr>
      <w:tr>
        <w:tc>
          <w:tcPr>
            <w:tcW w:type="dxa" w:w="2268"/>
          </w:tcPr>
          <w:p>
            <w:pPr>
              <w:spacing w:after="20" w:before="0"/>
            </w:pPr>
            <w:r/>
            <w:r>
              <w:rPr>
                <w:rFonts w:ascii="Lato" w:hAnsi="Lato" w:cs="Lato"/>
                <w:b/>
                <w:i w:val="0"/>
                <w:color w:val="00648B"/>
                <w:sz w:val="16"/>
              </w:rPr>
              <w:t>Criminal / statutory defence (S12)</w:t>
            </w:r>
          </w:p>
        </w:tc>
        <w:tc>
          <w:tcPr>
            <w:tcW w:type="dxa" w:w="2041"/>
          </w:tcPr>
          <w:p>
            <w:pPr>
              <w:spacing w:after="20" w:before="0"/>
            </w:pPr>
            <w:r/>
            <w:r>
              <w:rPr>
                <w:rFonts w:ascii="Lato" w:hAnsi="Lato" w:cs="Lato"/>
                <w:b w:val="0"/>
                <w:i w:val="0"/>
                <w:color w:val="2B2F33"/>
                <w:sz w:val="16"/>
              </w:rPr>
              <w:t>DP defence only (GBP 250k)</w:t>
            </w:r>
          </w:p>
        </w:tc>
        <w:tc>
          <w:tcPr>
            <w:tcW w:type="dxa" w:w="2495"/>
          </w:tcPr>
          <w:p>
            <w:pPr>
              <w:spacing w:after="20" w:before="0"/>
            </w:pPr>
            <w:r/>
            <w:r>
              <w:rPr>
                <w:rFonts w:ascii="Lato" w:hAnsi="Lato" w:cs="Lato"/>
                <w:b w:val="0"/>
                <w:i w:val="0"/>
                <w:color w:val="2B2F33"/>
                <w:sz w:val="16"/>
              </w:rPr>
              <w:t>Tysers GBP 1m; Yutree GBP 250k</w:t>
            </w:r>
          </w:p>
        </w:tc>
        <w:tc>
          <w:tcPr>
            <w:tcW w:type="dxa" w:w="3289"/>
          </w:tcPr>
          <w:p>
            <w:pPr>
              <w:spacing w:after="20" w:before="0"/>
            </w:pPr>
            <w:r/>
            <w:r>
              <w:rPr>
                <w:rFonts w:ascii="Lato" w:hAnsi="Lato" w:cs="Lato"/>
                <w:b w:val="0"/>
                <w:i w:val="0"/>
                <w:color w:val="2B2F33"/>
                <w:sz w:val="16"/>
              </w:rPr>
              <w:t>Add a modest S12 criminal/regulatory defence sub-limit OR cross-refer to S13/S14.</w:t>
            </w:r>
          </w:p>
        </w:tc>
      </w:tr>
      <w:tr>
        <w:tc>
          <w:tcPr>
            <w:tcW w:type="dxa" w:w="2268"/>
            <w:shd w:val="clear" w:color="auto" w:fill="F4F7F9"/>
          </w:tcPr>
          <w:p>
            <w:pPr>
              <w:spacing w:after="20" w:before="0"/>
            </w:pPr>
            <w:r/>
            <w:r>
              <w:rPr>
                <w:rFonts w:ascii="Lato" w:hAnsi="Lato" w:cs="Lato"/>
                <w:b/>
                <w:i w:val="0"/>
                <w:color w:val="00648B"/>
                <w:sz w:val="16"/>
              </w:rPr>
              <w:t>Representation costs (S12)</w:t>
            </w:r>
          </w:p>
        </w:tc>
        <w:tc>
          <w:tcPr>
            <w:tcW w:type="dxa" w:w="2041"/>
            <w:shd w:val="clear" w:color="auto" w:fill="F4F7F9"/>
          </w:tcPr>
          <w:p>
            <w:pPr>
              <w:spacing w:after="20" w:before="0"/>
            </w:pPr>
            <w:r/>
            <w:r>
              <w:rPr>
                <w:rFonts w:ascii="Lato" w:hAnsi="Lato" w:cs="Lato"/>
                <w:b w:val="0"/>
                <w:i w:val="0"/>
                <w:color w:val="2B2F33"/>
                <w:sz w:val="16"/>
              </w:rPr>
              <w:t>Via DP defence only</w:t>
            </w:r>
          </w:p>
        </w:tc>
        <w:tc>
          <w:tcPr>
            <w:tcW w:type="dxa" w:w="2495"/>
            <w:shd w:val="clear" w:color="auto" w:fill="F4F7F9"/>
          </w:tcPr>
          <w:p>
            <w:pPr>
              <w:spacing w:after="20" w:before="0"/>
            </w:pPr>
            <w:r/>
            <w:r>
              <w:rPr>
                <w:rFonts w:ascii="Lato" w:hAnsi="Lato" w:cs="Lato"/>
                <w:b w:val="0"/>
                <w:i w:val="0"/>
                <w:color w:val="2B2F33"/>
                <w:sz w:val="16"/>
              </w:rPr>
              <w:t>Tysers GBP 25k</w:t>
            </w:r>
          </w:p>
        </w:tc>
        <w:tc>
          <w:tcPr>
            <w:tcW w:type="dxa" w:w="3289"/>
            <w:shd w:val="clear" w:color="auto" w:fill="F4F7F9"/>
          </w:tcPr>
          <w:p>
            <w:pPr>
              <w:spacing w:after="20" w:before="0"/>
            </w:pPr>
            <w:r/>
            <w:r>
              <w:rPr>
                <w:rFonts w:ascii="Lato" w:hAnsi="Lato" w:cs="Lato"/>
                <w:b w:val="0"/>
                <w:i w:val="0"/>
                <w:color w:val="2B2F33"/>
                <w:sz w:val="16"/>
              </w:rPr>
              <w:t>Introduce a GBP 25k representation-costs sub-limit.</w:t>
            </w:r>
          </w:p>
        </w:tc>
      </w:tr>
      <w:tr>
        <w:tc>
          <w:tcPr>
            <w:tcW w:type="dxa" w:w="2268"/>
          </w:tcPr>
          <w:p>
            <w:pPr>
              <w:spacing w:after="20" w:before="0"/>
            </w:pPr>
            <w:r/>
            <w:r>
              <w:rPr>
                <w:rFonts w:ascii="Lato" w:hAnsi="Lato" w:cs="Lato"/>
                <w:b/>
                <w:i w:val="0"/>
                <w:color w:val="00648B"/>
                <w:sz w:val="16"/>
              </w:rPr>
              <w:t>Distributors &amp; purchasers (S12)</w:t>
            </w:r>
          </w:p>
        </w:tc>
        <w:tc>
          <w:tcPr>
            <w:tcW w:type="dxa" w:w="2041"/>
          </w:tcPr>
          <w:p>
            <w:pPr>
              <w:spacing w:after="20" w:before="0"/>
            </w:pPr>
            <w:r/>
            <w:r>
              <w:rPr>
                <w:rFonts w:ascii="Lato" w:hAnsi="Lato" w:cs="Lato"/>
                <w:b w:val="0"/>
                <w:i w:val="0"/>
                <w:color w:val="2B2F33"/>
                <w:sz w:val="16"/>
              </w:rPr>
              <w:t>Not offered</w:t>
            </w:r>
          </w:p>
        </w:tc>
        <w:tc>
          <w:tcPr>
            <w:tcW w:type="dxa" w:w="2495"/>
          </w:tcPr>
          <w:p>
            <w:pPr>
              <w:spacing w:after="20" w:before="0"/>
            </w:pPr>
            <w:r/>
            <w:r>
              <w:rPr>
                <w:rFonts w:ascii="Lato" w:hAnsi="Lato" w:cs="Lato"/>
                <w:b w:val="0"/>
                <w:i w:val="0"/>
                <w:color w:val="2B2F33"/>
                <w:sz w:val="16"/>
              </w:rPr>
              <w:t>Tysers up to 5x limit</w:t>
            </w:r>
          </w:p>
        </w:tc>
        <w:tc>
          <w:tcPr>
            <w:tcW w:type="dxa" w:w="3289"/>
          </w:tcPr>
          <w:p>
            <w:pPr>
              <w:spacing w:after="20" w:before="0"/>
            </w:pPr>
            <w:r/>
            <w:r>
              <w:rPr>
                <w:rFonts w:ascii="Lato" w:hAnsi="Lato" w:cs="Lato"/>
                <w:b w:val="0"/>
                <w:i w:val="0"/>
                <w:color w:val="2B2F33"/>
                <w:sz w:val="16"/>
              </w:rPr>
              <w:t>If adopted, cap the aggregate (e.g. a defined multiple of the limit).</w:t>
            </w:r>
          </w:p>
        </w:tc>
      </w:tr>
      <w:tr>
        <w:tc>
          <w:tcPr>
            <w:tcW w:type="dxa" w:w="2268"/>
            <w:shd w:val="clear" w:color="auto" w:fill="F4F7F9"/>
          </w:tcPr>
          <w:p>
            <w:pPr>
              <w:spacing w:after="20" w:before="0"/>
            </w:pPr>
            <w:r/>
            <w:r>
              <w:rPr>
                <w:rFonts w:ascii="Lato" w:hAnsi="Lato" w:cs="Lato"/>
                <w:b/>
                <w:i w:val="0"/>
                <w:color w:val="00648B"/>
                <w:sz w:val="16"/>
              </w:rPr>
              <w:t>Loss of documents (S12)</w:t>
            </w:r>
          </w:p>
        </w:tc>
        <w:tc>
          <w:tcPr>
            <w:tcW w:type="dxa" w:w="2041"/>
            <w:shd w:val="clear" w:color="auto" w:fill="F4F7F9"/>
          </w:tcPr>
          <w:p>
            <w:pPr>
              <w:spacing w:after="20" w:before="0"/>
            </w:pPr>
            <w:r/>
            <w:r>
              <w:rPr>
                <w:rFonts w:ascii="Lato" w:hAnsi="Lato" w:cs="Lato"/>
                <w:b w:val="0"/>
                <w:i w:val="0"/>
                <w:color w:val="2B2F33"/>
                <w:sz w:val="16"/>
              </w:rPr>
              <w:t>Per Schedule</w:t>
            </w:r>
          </w:p>
        </w:tc>
        <w:tc>
          <w:tcPr>
            <w:tcW w:type="dxa" w:w="2495"/>
            <w:shd w:val="clear" w:color="auto" w:fill="F4F7F9"/>
          </w:tcPr>
          <w:p>
            <w:pPr>
              <w:spacing w:after="20" w:before="0"/>
            </w:pPr>
            <w:r/>
            <w:r>
              <w:rPr>
                <w:rFonts w:ascii="Lato" w:hAnsi="Lato" w:cs="Lato"/>
                <w:b w:val="0"/>
                <w:i w:val="0"/>
                <w:color w:val="2B2F33"/>
                <w:sz w:val="16"/>
              </w:rPr>
              <w:t>Tysers GBP 1m</w:t>
            </w:r>
          </w:p>
        </w:tc>
        <w:tc>
          <w:tcPr>
            <w:tcW w:type="dxa" w:w="3289"/>
            <w:shd w:val="clear" w:color="auto" w:fill="F4F7F9"/>
          </w:tcPr>
          <w:p>
            <w:pPr>
              <w:spacing w:after="20" w:before="0"/>
            </w:pPr>
            <w:r/>
            <w:r>
              <w:rPr>
                <w:rFonts w:ascii="Lato" w:hAnsi="Lato" w:cs="Lato"/>
                <w:b w:val="0"/>
                <w:i w:val="0"/>
                <w:color w:val="2B2F33"/>
                <w:sz w:val="16"/>
              </w:rPr>
              <w:t>Confirm an explicit sub-limit for parity of presentation.</w:t>
            </w:r>
          </w:p>
        </w:tc>
      </w:tr>
      <w:tr>
        <w:tc>
          <w:tcPr>
            <w:tcW w:type="dxa" w:w="2268"/>
          </w:tcPr>
          <w:p>
            <w:pPr>
              <w:spacing w:after="20" w:before="0"/>
            </w:pPr>
            <w:r/>
            <w:r>
              <w:rPr>
                <w:rFonts w:ascii="Lato" w:hAnsi="Lato" w:cs="Lato"/>
                <w:b/>
                <w:i w:val="0"/>
                <w:color w:val="00648B"/>
                <w:sz w:val="16"/>
              </w:rPr>
              <w:t>Virus transmission (S12)</w:t>
            </w:r>
          </w:p>
        </w:tc>
        <w:tc>
          <w:tcPr>
            <w:tcW w:type="dxa" w:w="2041"/>
          </w:tcPr>
          <w:p>
            <w:pPr>
              <w:spacing w:after="20" w:before="0"/>
            </w:pPr>
            <w:r/>
            <w:r>
              <w:rPr>
                <w:rFonts w:ascii="Lato" w:hAnsi="Lato" w:cs="Lato"/>
                <w:b w:val="0"/>
                <w:i w:val="0"/>
                <w:color w:val="2B2F33"/>
                <w:sz w:val="16"/>
              </w:rPr>
              <w:t>GBP 500k</w:t>
            </w:r>
          </w:p>
        </w:tc>
        <w:tc>
          <w:tcPr>
            <w:tcW w:type="dxa" w:w="2495"/>
          </w:tcPr>
          <w:p>
            <w:pPr>
              <w:spacing w:after="20" w:before="0"/>
            </w:pPr>
            <w:r/>
            <w:r>
              <w:rPr>
                <w:rFonts w:ascii="Lato" w:hAnsi="Lato" w:cs="Lato"/>
                <w:b w:val="0"/>
                <w:i w:val="0"/>
                <w:color w:val="2B2F33"/>
                <w:sz w:val="16"/>
              </w:rPr>
              <w:t>Tysers GBP 250k</w:t>
            </w:r>
          </w:p>
        </w:tc>
        <w:tc>
          <w:tcPr>
            <w:tcW w:type="dxa" w:w="3289"/>
          </w:tcPr>
          <w:p>
            <w:pPr>
              <w:spacing w:after="20" w:before="0"/>
            </w:pPr>
            <w:r/>
            <w:r>
              <w:rPr>
                <w:rFonts w:ascii="Lato" w:hAnsi="Lato" w:cs="Lato"/>
                <w:b w:val="0"/>
                <w:i w:val="0"/>
                <w:color w:val="2B2F33"/>
                <w:sz w:val="16"/>
              </w:rPr>
              <w:t>TMHCC already higher — retain as a strength.</w:t>
            </w:r>
          </w:p>
        </w:tc>
      </w:tr>
    </w:tbl>
    <w:p>
      <w:r>
        <w:br w:type="page"/>
      </w:r>
    </w:p>
    <w:p>
      <w:pPr>
        <w:keepNext/>
        <w:spacing w:before="280" w:after="40"/>
        <w:pBdr>
          <w:bottom w:val="single" w:sz="8" w:space="2" w:color="B88A3C"/>
        </w:pBdr>
      </w:pPr>
      <w:r>
        <w:rPr>
          <w:rFonts w:ascii="Lato" w:hAnsi="Lato" w:cs="Lato"/>
          <w:b/>
          <w:i w:val="0"/>
          <w:color w:val="B88A3C"/>
          <w:sz w:val="30"/>
        </w:rPr>
        <w:t xml:space="preserve">9  </w:t>
      </w:r>
      <w:r>
        <w:rPr>
          <w:rFonts w:ascii="Lato" w:hAnsi="Lato" w:cs="Lato"/>
          <w:b/>
          <w:i w:val="0"/>
          <w:color w:val="00648B"/>
          <w:sz w:val="30"/>
        </w:rPr>
        <w:t>Market-leading wording opportunities</w:t>
      </w:r>
    </w:p>
    <w:p>
      <w:pPr>
        <w:spacing w:after="80" w:before="0"/>
        <w:jc w:val="both"/>
      </w:pPr>
      <w:r>
        <w:rPr>
          <w:rFonts w:ascii="Lato" w:hAnsi="Lato" w:cs="Lato"/>
          <w:b w:val="0"/>
          <w:i w:val="0"/>
          <w:color w:val="2B2F33"/>
          <w:sz w:val="19"/>
        </w:rPr>
        <w:t>Evidence-based positioning supported by the comparison and the source wordings. Personal Accident is NOT included (see distinction below).</w:t>
      </w:r>
    </w:p>
    <w:p>
      <w:pPr>
        <w:keepNext/>
        <w:spacing w:before="120" w:after="20"/>
      </w:pPr>
      <w:r>
        <w:rPr>
          <w:rFonts w:ascii="Lato" w:hAnsi="Lato" w:cs="Lato"/>
          <w:b/>
          <w:i w:val="0"/>
          <w:color w:val="B88A3C"/>
          <w:sz w:val="20"/>
        </w:rPr>
        <w:t>Standalone, built-in specialist cover (not bolt-ons)</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Current TMHCC position</w:t>
            </w:r>
          </w:p>
        </w:tc>
        <w:tc>
          <w:tcPr>
            <w:tcW w:type="dxa" w:w="7484"/>
          </w:tcPr>
          <w:p>
            <w:pPr>
              <w:spacing w:after="20" w:before="0"/>
            </w:pPr>
            <w:r/>
            <w:r>
              <w:rPr>
                <w:rFonts w:ascii="Lato" w:hAnsi="Lato" w:cs="Lato"/>
                <w:b w:val="0"/>
                <w:i w:val="0"/>
                <w:color w:val="2B2F33"/>
                <w:sz w:val="17"/>
              </w:rPr>
              <w:t>TMHCC is the only wording in the peer group that carries genuine, free-standing specialist sections: Cyber (Section 15 — CyberGuard™ (Cyber Liability)), Commercial Legal Expenses (Section 13), Management Liability (Section 14), Loss of Licence (Section 10) and Production Indemnity ‘All Risks’ (Section 11).</w:t>
            </w:r>
          </w:p>
        </w:tc>
      </w:tr>
      <w:tr>
        <w:tc>
          <w:tcPr>
            <w:tcW w:type="dxa" w:w="2381"/>
            <w:shd w:val="clear" w:color="auto" w:fill="EAF1F5"/>
          </w:tcPr>
          <w:p>
            <w:pPr>
              <w:spacing w:after="20" w:before="0"/>
            </w:pPr>
            <w:r/>
            <w:r>
              <w:rPr>
                <w:rFonts w:ascii="Lato" w:hAnsi="Lato" w:cs="Lato"/>
                <w:b/>
                <w:i w:val="0"/>
                <w:color w:val="00648B"/>
                <w:sz w:val="17"/>
              </w:rPr>
              <w:t>Competitor support</w:t>
            </w:r>
          </w:p>
        </w:tc>
        <w:tc>
          <w:tcPr>
            <w:tcW w:type="dxa" w:w="7484"/>
          </w:tcPr>
          <w:p>
            <w:pPr>
              <w:spacing w:after="20" w:before="0"/>
            </w:pPr>
            <w:r/>
            <w:r>
              <w:rPr>
                <w:rFonts w:ascii="Lato" w:hAnsi="Lato" w:cs="Lato"/>
                <w:b w:val="0"/>
                <w:i w:val="0"/>
                <w:color w:val="2B2F33"/>
                <w:sz w:val="17"/>
              </w:rPr>
              <w:t>Liberty, Allianz and AXA XL carry NONE of these specialist sections; Tysers and Yutree carry only some. No competitor wording reviewed offers all of them.</w:t>
            </w:r>
          </w:p>
        </w:tc>
      </w:tr>
      <w:tr>
        <w:tc>
          <w:tcPr>
            <w:tcW w:type="dxa" w:w="2381"/>
            <w:shd w:val="clear" w:color="auto" w:fill="EAF1F5"/>
          </w:tcPr>
          <w:p>
            <w:pPr>
              <w:spacing w:after="20" w:before="0"/>
            </w:pPr>
            <w:r/>
            <w:r>
              <w:rPr>
                <w:rFonts w:ascii="Lato" w:hAnsi="Lato" w:cs="Lato"/>
                <w:b/>
                <w:i w:val="0"/>
                <w:color w:val="00648B"/>
                <w:sz w:val="17"/>
              </w:rPr>
              <w:t>Clause / location</w:t>
            </w:r>
          </w:p>
        </w:tc>
        <w:tc>
          <w:tcPr>
            <w:tcW w:type="dxa" w:w="7484"/>
          </w:tcPr>
          <w:p>
            <w:pPr>
              <w:spacing w:after="20" w:before="0"/>
            </w:pPr>
            <w:r/>
            <w:r>
              <w:rPr>
                <w:rFonts w:ascii="Lato" w:hAnsi="Lato" w:cs="Lato"/>
                <w:b w:val="0"/>
                <w:i w:val="0"/>
                <w:color w:val="2B2F33"/>
                <w:sz w:val="17"/>
              </w:rPr>
              <w:t>Sections 10, 11, 13, 14, 15 (contents p.67–103).</w:t>
            </w:r>
          </w:p>
        </w:tc>
      </w:tr>
      <w:tr>
        <w:tc>
          <w:tcPr>
            <w:tcW w:type="dxa" w:w="2381"/>
            <w:shd w:val="clear" w:color="auto" w:fill="EAF1F5"/>
          </w:tcPr>
          <w:p>
            <w:pPr>
              <w:spacing w:after="20" w:before="0"/>
            </w:pPr>
            <w:r/>
            <w:r>
              <w:rPr>
                <w:rFonts w:ascii="Lato" w:hAnsi="Lato" w:cs="Lato"/>
                <w:b/>
                <w:i w:val="0"/>
                <w:color w:val="00648B"/>
                <w:sz w:val="17"/>
              </w:rPr>
              <w:t>Recommended action / wording</w:t>
            </w:r>
          </w:p>
        </w:tc>
        <w:tc>
          <w:tcPr>
            <w:tcW w:type="dxa" w:w="7484"/>
          </w:tcPr>
          <w:p>
            <w:pPr>
              <w:spacing w:after="20" w:before="0"/>
            </w:pPr>
            <w:r/>
            <w:r>
              <w:rPr>
                <w:rFonts w:ascii="Lato" w:hAnsi="Lato" w:cs="Lato"/>
                <w:b w:val="0"/>
                <w:i w:val="0"/>
                <w:color w:val="2B2F33"/>
                <w:sz w:val="17"/>
              </w:rPr>
              <w:t>Position the wording as ‘standalone cyber, legal expenses, management liability, loss of licence and production indemnity built in — not bolt-ons.’</w:t>
            </w:r>
          </w:p>
        </w:tc>
      </w:tr>
      <w:tr>
        <w:tc>
          <w:tcPr>
            <w:tcW w:type="dxa" w:w="2381"/>
            <w:shd w:val="clear" w:color="auto" w:fill="EAF1F5"/>
          </w:tcPr>
          <w:p>
            <w:pPr>
              <w:spacing w:after="20" w:before="0"/>
            </w:pPr>
            <w:r/>
            <w:r>
              <w:rPr>
                <w:rFonts w:ascii="Lato" w:hAnsi="Lato" w:cs="Lato"/>
                <w:b/>
                <w:i w:val="0"/>
                <w:color w:val="00648B"/>
                <w:sz w:val="17"/>
              </w:rPr>
              <w:t>Underwriting risk</w:t>
            </w:r>
          </w:p>
        </w:tc>
        <w:tc>
          <w:tcPr>
            <w:tcW w:type="dxa" w:w="7484"/>
          </w:tcPr>
          <w:p>
            <w:pPr>
              <w:spacing w:after="20" w:before="0"/>
            </w:pPr>
            <w:r/>
            <w:r>
              <w:rPr>
                <w:rFonts w:ascii="Lato" w:hAnsi="Lato" w:cs="Lato"/>
                <w:b w:val="0"/>
                <w:i w:val="0"/>
                <w:color w:val="2B2F33"/>
                <w:sz w:val="17"/>
              </w:rPr>
              <w:t>Nil — positioning of cover that already exists.</w:t>
            </w:r>
          </w:p>
        </w:tc>
      </w:tr>
      <w:tr>
        <w:tc>
          <w:tcPr>
            <w:tcW w:type="dxa" w:w="2381"/>
            <w:shd w:val="clear" w:color="auto" w:fill="EAF1F5"/>
          </w:tcPr>
          <w:p>
            <w:pPr>
              <w:spacing w:after="20" w:before="0"/>
            </w:pPr>
            <w:r/>
            <w:r>
              <w:rPr>
                <w:rFonts w:ascii="Lato" w:hAnsi="Lato" w:cs="Lato"/>
                <w:b/>
                <w:i w:val="0"/>
                <w:color w:val="00648B"/>
                <w:sz w:val="17"/>
              </w:rPr>
              <w:t>Legal sign-off required</w:t>
            </w:r>
          </w:p>
        </w:tc>
        <w:tc>
          <w:tcPr>
            <w:tcW w:type="dxa" w:w="7484"/>
          </w:tcPr>
          <w:p>
            <w:pPr>
              <w:spacing w:after="20" w:before="0"/>
            </w:pPr>
            <w:r/>
            <w:r>
              <w:rPr>
                <w:rFonts w:ascii="Lato" w:hAnsi="Lato" w:cs="Lato"/>
                <w:b w:val="0"/>
                <w:i w:val="0"/>
                <w:color w:val="2B2F33"/>
                <w:sz w:val="17"/>
              </w:rPr>
              <w:t>No (positioning only).</w:t>
            </w:r>
          </w:p>
        </w:tc>
      </w:tr>
    </w:tbl>
    <w:p>
      <w:pPr>
        <w:spacing w:after="160"/>
      </w:pPr>
    </w:p>
    <w:p>
      <w:pPr>
        <w:keepNext/>
        <w:spacing w:before="120" w:after="20"/>
      </w:pPr>
      <w:r>
        <w:rPr>
          <w:rFonts w:ascii="Lato" w:hAnsi="Lato" w:cs="Lato"/>
          <w:b/>
          <w:i w:val="0"/>
          <w:color w:val="B88A3C"/>
          <w:sz w:val="20"/>
        </w:rPr>
        <w:t>Reputation management &amp; reputational-harm support</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Current TMHCC position</w:t>
            </w:r>
          </w:p>
        </w:tc>
        <w:tc>
          <w:tcPr>
            <w:tcW w:type="dxa" w:w="7484"/>
          </w:tcPr>
          <w:p>
            <w:pPr>
              <w:spacing w:after="20" w:before="0"/>
            </w:pPr>
            <w:r/>
            <w:r>
              <w:rPr>
                <w:rFonts w:ascii="Lato" w:hAnsi="Lato" w:cs="Lato"/>
                <w:b w:val="0"/>
                <w:i w:val="0"/>
                <w:color w:val="2B2F33"/>
                <w:sz w:val="17"/>
              </w:rPr>
              <w:t>Section 12 (Media Liability) ALREADY provides Reputation Management (up to GBP 250,000) and Withdrawal of Content (up to GBP 250,000) as standard, plus the general duty-to-mitigate provisions.</w:t>
            </w:r>
          </w:p>
        </w:tc>
      </w:tr>
      <w:tr>
        <w:tc>
          <w:tcPr>
            <w:tcW w:type="dxa" w:w="2381"/>
            <w:shd w:val="clear" w:color="auto" w:fill="EAF1F5"/>
          </w:tcPr>
          <w:p>
            <w:pPr>
              <w:spacing w:after="20" w:before="0"/>
            </w:pPr>
            <w:r/>
            <w:r>
              <w:rPr>
                <w:rFonts w:ascii="Lato" w:hAnsi="Lato" w:cs="Lato"/>
                <w:b/>
                <w:i w:val="0"/>
                <w:color w:val="00648B"/>
                <w:sz w:val="17"/>
              </w:rPr>
              <w:t>Competitor support</w:t>
            </w:r>
          </w:p>
        </w:tc>
        <w:tc>
          <w:tcPr>
            <w:tcW w:type="dxa" w:w="7484"/>
          </w:tcPr>
          <w:p>
            <w:pPr>
              <w:spacing w:after="20" w:before="0"/>
            </w:pPr>
            <w:r/>
            <w:r>
              <w:rPr>
                <w:rFonts w:ascii="Lato" w:hAnsi="Lato" w:cs="Lato"/>
                <w:b w:val="0"/>
                <w:i w:val="0"/>
                <w:color w:val="2B2F33"/>
                <w:sz w:val="17"/>
              </w:rPr>
              <w:t>Yutree offers Reputation management costs cover (PR consultant / crisis) and Withdrawal of consent cover. TMHCC therefore MATCHES Yutree on reputation support; Liberty, Allianz and AXA XL offer none.</w:t>
            </w:r>
          </w:p>
        </w:tc>
      </w:tr>
      <w:tr>
        <w:tc>
          <w:tcPr>
            <w:tcW w:type="dxa" w:w="2381"/>
            <w:shd w:val="clear" w:color="auto" w:fill="EAF1F5"/>
          </w:tcPr>
          <w:p>
            <w:pPr>
              <w:spacing w:after="20" w:before="0"/>
            </w:pPr>
            <w:r/>
            <w:r>
              <w:rPr>
                <w:rFonts w:ascii="Lato" w:hAnsi="Lato" w:cs="Lato"/>
                <w:b/>
                <w:i w:val="0"/>
                <w:color w:val="00648B"/>
                <w:sz w:val="17"/>
              </w:rPr>
              <w:t>Clause / location</w:t>
            </w:r>
          </w:p>
        </w:tc>
        <w:tc>
          <w:tcPr>
            <w:tcW w:type="dxa" w:w="7484"/>
          </w:tcPr>
          <w:p>
            <w:pPr>
              <w:spacing w:after="20" w:before="0"/>
            </w:pPr>
            <w:r/>
            <w:r>
              <w:rPr>
                <w:rFonts w:ascii="Lato" w:hAnsi="Lato" w:cs="Lato"/>
                <w:b w:val="0"/>
                <w:i w:val="0"/>
                <w:color w:val="2B2F33"/>
                <w:sz w:val="17"/>
              </w:rPr>
              <w:t>Section 12 — 'Reputation Management' and 'Withdrawal of Content' clauses (contents p.73+).</w:t>
            </w:r>
          </w:p>
        </w:tc>
      </w:tr>
      <w:tr>
        <w:tc>
          <w:tcPr>
            <w:tcW w:type="dxa" w:w="2381"/>
            <w:shd w:val="clear" w:color="auto" w:fill="EAF1F5"/>
          </w:tcPr>
          <w:p>
            <w:pPr>
              <w:spacing w:after="20" w:before="0"/>
            </w:pPr>
            <w:r/>
            <w:r>
              <w:rPr>
                <w:rFonts w:ascii="Lato" w:hAnsi="Lato" w:cs="Lato"/>
                <w:b/>
                <w:i w:val="0"/>
                <w:color w:val="00648B"/>
                <w:sz w:val="17"/>
              </w:rPr>
              <w:t>Recommended action / wording</w:t>
            </w:r>
          </w:p>
        </w:tc>
        <w:tc>
          <w:tcPr>
            <w:tcW w:type="dxa" w:w="7484"/>
          </w:tcPr>
          <w:p>
            <w:pPr>
              <w:spacing w:after="20" w:before="0"/>
            </w:pPr>
            <w:r/>
            <w:r>
              <w:rPr>
                <w:rFonts w:ascii="Lato" w:hAnsi="Lato" w:cs="Lato"/>
                <w:b w:val="0"/>
                <w:i w:val="0"/>
                <w:color w:val="2B2F33"/>
                <w:sz w:val="17"/>
              </w:rPr>
              <w:t>Highlight reputation management + withdrawal-of-content as STANDARD. OPTIONAL uplift (sign-off): increase the GBP 250k sub-limits and/or add a first-party reputational-harm trigger so costs are available before a third-party claim is made.</w:t>
            </w:r>
          </w:p>
        </w:tc>
      </w:tr>
      <w:tr>
        <w:tc>
          <w:tcPr>
            <w:tcW w:type="dxa" w:w="2381"/>
            <w:shd w:val="clear" w:color="auto" w:fill="EAF1F5"/>
          </w:tcPr>
          <w:p>
            <w:pPr>
              <w:spacing w:after="20" w:before="0"/>
            </w:pPr>
            <w:r/>
            <w:r>
              <w:rPr>
                <w:rFonts w:ascii="Lato" w:hAnsi="Lato" w:cs="Lato"/>
                <w:b/>
                <w:i w:val="0"/>
                <w:color w:val="00648B"/>
                <w:sz w:val="17"/>
              </w:rPr>
              <w:t>Underwriting risk</w:t>
            </w:r>
          </w:p>
        </w:tc>
        <w:tc>
          <w:tcPr>
            <w:tcW w:type="dxa" w:w="7484"/>
          </w:tcPr>
          <w:p>
            <w:pPr>
              <w:spacing w:after="20" w:before="0"/>
            </w:pPr>
            <w:r/>
            <w:r>
              <w:rPr>
                <w:rFonts w:ascii="Lato" w:hAnsi="Lato" w:cs="Lato"/>
                <w:b w:val="0"/>
                <w:i w:val="0"/>
                <w:color w:val="2B2F33"/>
                <w:sz w:val="17"/>
              </w:rPr>
              <w:t>Nil for the standard cover; Medium for any first-party trigger / limit uplift.</w:t>
            </w:r>
          </w:p>
        </w:tc>
      </w:tr>
      <w:tr>
        <w:tc>
          <w:tcPr>
            <w:tcW w:type="dxa" w:w="2381"/>
            <w:shd w:val="clear" w:color="auto" w:fill="EAF1F5"/>
          </w:tcPr>
          <w:p>
            <w:pPr>
              <w:spacing w:after="20" w:before="0"/>
            </w:pPr>
            <w:r/>
            <w:r>
              <w:rPr>
                <w:rFonts w:ascii="Lato" w:hAnsi="Lato" w:cs="Lato"/>
                <w:b/>
                <w:i w:val="0"/>
                <w:color w:val="00648B"/>
                <w:sz w:val="17"/>
              </w:rPr>
              <w:t>Legal sign-off required</w:t>
            </w:r>
          </w:p>
        </w:tc>
        <w:tc>
          <w:tcPr>
            <w:tcW w:type="dxa" w:w="7484"/>
          </w:tcPr>
          <w:p>
            <w:pPr>
              <w:spacing w:after="20" w:before="0"/>
            </w:pPr>
            <w:r/>
            <w:r>
              <w:rPr>
                <w:rFonts w:ascii="Lato" w:hAnsi="Lato" w:cs="Lato"/>
                <w:b w:val="0"/>
                <w:i w:val="0"/>
                <w:color w:val="2B2F33"/>
                <w:sz w:val="17"/>
              </w:rPr>
              <w:t>No for positioning; Yes for any uplift.</w:t>
            </w:r>
          </w:p>
        </w:tc>
      </w:tr>
    </w:tbl>
    <w:p>
      <w:pPr>
        <w:spacing w:after="160"/>
      </w:pPr>
    </w:p>
    <w:tbl>
      <w:tblPr>
        <w:tblW w:type="pct" w:w="5000"/>
        <w:tblLayout w:type="fixed"/>
        <w:tblLook w:firstColumn="1" w:firstRow="1" w:lastColumn="0" w:lastRow="0" w:noHBand="0" w:noVBand="1" w:val="04A0"/>
      </w:tblPr>
      <w:tblGrid>
        <w:gridCol w:w="9978"/>
      </w:tblGrid>
      <w:tr>
        <w:tc>
          <w:tcPr>
            <w:tcW w:type="dxa" w:w="9978"/>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Personal Accident vs Personal Assault — explicit distinction:  </w:t>
            </w:r>
            <w:r>
              <w:rPr>
                <w:rFonts w:ascii="Lato" w:hAnsi="Lato" w:cs="Lato"/>
                <w:b w:val="0"/>
                <w:i w:val="0"/>
                <w:color w:val="2B2F33"/>
                <w:sz w:val="19"/>
              </w:rPr>
              <w:t>Personal Accident — NOT being added (no standalone PA / business-travel section is introduced in this round).  Personal Assault — EXISTING and RETAINED. Section 8 (Money), Sub-Section 2 provides Personal Assault benefits (death / permanent total disablement / temporary disablement / medical expenses) to an Insured Person assaulted in connection with an insured Money event. This is a distinct, narrower, benefit-based cover and is NOT the same as a Personal Accident section.</w:t>
            </w:r>
          </w:p>
        </w:tc>
      </w:tr>
    </w:tbl>
    <w:p>
      <w:pPr>
        <w:spacing w:after="80"/>
      </w:pPr>
    </w:p>
    <w:p>
      <w:pPr>
        <w:keepNext/>
        <w:spacing w:before="120" w:after="20"/>
      </w:pPr>
      <w:r>
        <w:rPr>
          <w:rFonts w:ascii="Lato" w:hAnsi="Lato" w:cs="Lato"/>
          <w:b/>
          <w:i w:val="0"/>
          <w:color w:val="B88A3C"/>
          <w:sz w:val="20"/>
        </w:rPr>
        <w:t>Positioning statements (subject to sign-off)</w:t>
      </w:r>
    </w:p>
    <w:p>
      <w:pPr>
        <w:pStyle w:val="ListBullet"/>
        <w:spacing w:after="40"/>
        <w:ind w:left="340"/>
      </w:pPr>
      <w:r>
        <w:rPr>
          <w:rFonts w:ascii="Lato" w:hAnsi="Lato" w:cs="Lato"/>
          <w:b w:val="0"/>
          <w:i w:val="0"/>
          <w:color w:val="2B2F33"/>
          <w:sz w:val="19"/>
        </w:rPr>
        <w:t>‘The only media &amp; entertainment wording in the peer group with all fifteen sections.’</w:t>
      </w:r>
    </w:p>
    <w:p>
      <w:pPr>
        <w:pStyle w:val="ListBullet"/>
        <w:spacing w:after="40"/>
        <w:ind w:left="340"/>
      </w:pPr>
      <w:r>
        <w:rPr>
          <w:rFonts w:ascii="Lato" w:hAnsi="Lato" w:cs="Lato"/>
          <w:b w:val="0"/>
          <w:i w:val="0"/>
          <w:color w:val="2B2F33"/>
          <w:sz w:val="19"/>
        </w:rPr>
        <w:t>‘Standalone cyber, legal expenses, management liability, loss of licence and production indemnity — built in, not bolt-ons.’</w:t>
      </w:r>
    </w:p>
    <w:p>
      <w:pPr>
        <w:pStyle w:val="ListBullet"/>
        <w:spacing w:after="40"/>
        <w:ind w:left="340"/>
      </w:pPr>
      <w:r>
        <w:rPr>
          <w:rFonts w:ascii="Lato" w:hAnsi="Lato" w:cs="Lato"/>
          <w:b w:val="0"/>
          <w:i w:val="0"/>
          <w:color w:val="2B2F33"/>
          <w:sz w:val="19"/>
        </w:rPr>
        <w:t>‘Reputation management and withdrawal-of-content cover as standard in media liability.’</w:t>
      </w:r>
    </w:p>
    <w:p>
      <w:pPr>
        <w:pStyle w:val="ListBullet"/>
        <w:spacing w:after="40"/>
        <w:ind w:left="340"/>
      </w:pPr>
      <w:r>
        <w:rPr>
          <w:rFonts w:ascii="Lato" w:hAnsi="Lato" w:cs="Lato"/>
          <w:b w:val="0"/>
          <w:i w:val="0"/>
          <w:color w:val="2B2F33"/>
          <w:sz w:val="19"/>
        </w:rPr>
        <w:t>‘Flexible first-loss business-interruption limit — one Schedule limit across multiple loss heads.’</w:t>
      </w:r>
    </w:p>
    <w:p>
      <w:pPr>
        <w:pStyle w:val="ListBullet"/>
        <w:spacing w:after="40"/>
        <w:ind w:left="340"/>
      </w:pPr>
      <w:r>
        <w:rPr>
          <w:rFonts w:ascii="Lato" w:hAnsi="Lato" w:cs="Lato"/>
          <w:b w:val="0"/>
          <w:i w:val="0"/>
          <w:color w:val="2B2F33"/>
          <w:sz w:val="19"/>
        </w:rPr>
        <w:t>‘Worldwide property &amp; equipment and worldwide transit as standard; worldwide media-liability available as a rated option.’</w:t>
      </w:r>
    </w:p>
    <w:tbl>
      <w:tblPr>
        <w:tblW w:type="pct" w:w="5000"/>
        <w:tblLayout w:type="fixed"/>
        <w:tblLook w:firstColumn="1" w:firstRow="1" w:lastColumn="0" w:lastRow="0" w:noHBand="0" w:noVBand="1" w:val="04A0"/>
      </w:tblPr>
      <w:tblGrid>
        <w:gridCol w:w="9978"/>
      </w:tblGrid>
      <w:tr>
        <w:tc>
          <w:tcPr>
            <w:tcW w:type="dxa" w:w="9978"/>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Positioning:  </w:t>
            </w:r>
            <w:r>
              <w:rPr>
                <w:rFonts w:ascii="Lato" w:hAnsi="Lato" w:cs="Lato"/>
                <w:b w:val="0"/>
                <w:i w:val="0"/>
                <w:color w:val="2B2F33"/>
                <w:sz w:val="19"/>
              </w:rPr>
              <w:t>Where competitor wordings are attached (Tysers, Yutree, Liberty, Allianz, AXA XL), these statements are evidenced by the comparison. Any statement that depends on a competitor wording NOT in file is labelled UNCONFIRMED in the Full Coverage Comparison.</w:t>
            </w:r>
          </w:p>
        </w:tc>
      </w:tr>
    </w:tbl>
    <w:p>
      <w:pPr>
        <w:spacing w:after="80"/>
      </w:pPr>
    </w:p>
    <w:p>
      <w:r>
        <w:br w:type="page"/>
      </w:r>
    </w:p>
    <w:p>
      <w:pPr>
        <w:keepNext/>
        <w:spacing w:before="280" w:after="40"/>
        <w:pBdr>
          <w:bottom w:val="single" w:sz="8" w:space="2" w:color="B88A3C"/>
        </w:pBdr>
      </w:pPr>
      <w:r>
        <w:rPr>
          <w:rFonts w:ascii="Lato" w:hAnsi="Lato" w:cs="Lato"/>
          <w:b/>
          <w:i w:val="0"/>
          <w:color w:val="00648B"/>
          <w:sz w:val="30"/>
        </w:rPr>
        <w:t>Section 12 (Media Liability) — Suggested Upgrades (for sign-off)</w:t>
      </w:r>
    </w:p>
    <w:p>
      <w:pPr>
        <w:spacing w:after="80" w:before="0"/>
        <w:jc w:val="both"/>
      </w:pPr>
      <w:r>
        <w:rPr>
          <w:rFonts w:ascii="Lato" w:hAnsi="Lato" w:cs="Lato"/>
          <w:b w:val="0"/>
          <w:i w:val="0"/>
          <w:color w:val="2B2F33"/>
          <w:sz w:val="19"/>
        </w:rPr>
        <w:t>These are NOT applied to the wording — not even as tracked changes. Each is presented as a suggested upgrade requiring TMHCC legal/underwriting sign-off. None is final.</w:t>
      </w:r>
    </w:p>
    <w:p>
      <w:pPr>
        <w:keepNext/>
        <w:spacing w:before="120" w:after="20"/>
      </w:pPr>
      <w:r>
        <w:rPr>
          <w:rFonts w:ascii="Lato" w:hAnsi="Lato" w:cs="Lato"/>
          <w:b/>
          <w:i w:val="0"/>
          <w:color w:val="B88A3C"/>
          <w:sz w:val="20"/>
        </w:rPr>
        <w:t>Worldwide Territory &amp; Jurisdiction (Optional) — incl. separate USA/Canada selectable</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Amendment type</w:t>
            </w:r>
          </w:p>
        </w:tc>
        <w:tc>
          <w:tcPr>
            <w:tcW w:type="dxa" w:w="7484"/>
          </w:tcPr>
          <w:p>
            <w:pPr>
              <w:spacing w:after="20" w:before="0"/>
            </w:pPr>
            <w:r/>
            <w:r>
              <w:rPr>
                <w:rFonts w:ascii="Lato" w:hAnsi="Lato" w:cs="Lato"/>
                <w:b w:val="0"/>
                <w:i w:val="0"/>
                <w:color w:val="2B2F33"/>
                <w:sz w:val="17"/>
              </w:rPr>
              <w:t>Schedule-selectable option (territory/jurisdiction)</w:t>
            </w:r>
          </w:p>
        </w:tc>
      </w:tr>
      <w:tr>
        <w:tc>
          <w:tcPr>
            <w:tcW w:type="dxa" w:w="2381"/>
            <w:shd w:val="clear" w:color="auto" w:fill="EAF1F5"/>
          </w:tcPr>
          <w:p>
            <w:pPr>
              <w:spacing w:after="20" w:before="0"/>
            </w:pPr>
            <w:r/>
            <w:r>
              <w:rPr>
                <w:rFonts w:ascii="Lato" w:hAnsi="Lato" w:cs="Lato"/>
                <w:b/>
                <w:i w:val="0"/>
                <w:color w:val="00648B"/>
                <w:sz w:val="17"/>
              </w:rPr>
              <w:t>Exact location for insertion</w:t>
            </w:r>
          </w:p>
        </w:tc>
        <w:tc>
          <w:tcPr>
            <w:tcW w:type="dxa" w:w="7484"/>
          </w:tcPr>
          <w:p>
            <w:pPr>
              <w:spacing w:after="20" w:before="0"/>
            </w:pPr>
            <w:r/>
            <w:r>
              <w:rPr>
                <w:rFonts w:ascii="Lato" w:hAnsi="Lato" w:cs="Lato"/>
                <w:b w:val="0"/>
                <w:i w:val="0"/>
                <w:color w:val="2B2F33"/>
                <w:sz w:val="17"/>
              </w:rPr>
              <w:t>Section 12 (Media Liability), as an Optional Extension following the 'Legal Action' / 'Geographical Limits' exclusions (p.73+).</w:t>
            </w:r>
          </w:p>
        </w:tc>
      </w:tr>
      <w:tr>
        <w:tc>
          <w:tcPr>
            <w:tcW w:type="dxa" w:w="2381"/>
            <w:shd w:val="clear" w:color="auto" w:fill="EAF1F5"/>
          </w:tcPr>
          <w:p>
            <w:pPr>
              <w:spacing w:after="20" w:before="0"/>
            </w:pPr>
            <w:r/>
            <w:r>
              <w:rPr>
                <w:rFonts w:ascii="Lato" w:hAnsi="Lato" w:cs="Lato"/>
                <w:b/>
                <w:i w:val="0"/>
                <w:color w:val="00648B"/>
                <w:sz w:val="17"/>
              </w:rPr>
              <w:t>Copy-paste-ready upgrade wording</w:t>
            </w:r>
          </w:p>
        </w:tc>
        <w:tc>
          <w:tcPr>
            <w:tcW w:type="dxa" w:w="7484"/>
          </w:tcPr>
          <w:p>
            <w:pPr>
              <w:spacing w:after="20" w:before="0"/>
            </w:pPr>
            <w:r/>
            <w:r>
              <w:rPr>
                <w:rFonts w:ascii="Lato" w:hAnsi="Lato" w:cs="Lato"/>
                <w:b w:val="0"/>
                <w:i w:val="0"/>
                <w:color w:val="2B2F33"/>
                <w:sz w:val="17"/>
              </w:rPr>
              <w:t>Worldwide Territory and Jurisdiction (Optional)</w:t>
            </w:r>
          </w:p>
          <w:p>
            <w:pPr>
              <w:spacing w:after="20" w:before="0"/>
            </w:pPr>
            <w:r>
              <w:rPr>
                <w:rFonts w:ascii="Lato" w:hAnsi="Lato" w:cs="Lato"/>
                <w:b w:val="0"/>
                <w:i w:val="0"/>
                <w:color w:val="2B2F33"/>
                <w:sz w:val="17"/>
              </w:rPr>
              <w:t>This Optional Extension applies only if stated as operative in the Schedule. Where stated as operative, the Geographical Limits applicable to this Section are amended to anywhere in the world and the Jurisdiction applicable to this Section is amended to worldwide, and the exclusions of claims brought, or in which the governing law is contended to be, outside the Jurisdiction shall not apply.</w:t>
            </w:r>
          </w:p>
          <w:p>
            <w:pPr>
              <w:spacing w:after="20" w:before="0"/>
            </w:pPr>
            <w:r>
              <w:rPr>
                <w:rFonts w:ascii="Lato" w:hAnsi="Lato" w:cs="Lato"/>
                <w:b w:val="0"/>
                <w:i w:val="0"/>
                <w:color w:val="2B2F33"/>
                <w:sz w:val="17"/>
              </w:rPr>
              <w:t>Cover in respect of claims brought in, or determined under the laws of, the United States of America or Canada (or any territory or protectorate thereof) applies only if “USA/Canada Jurisdiction” is additionally stated as operative in the Schedule.</w:t>
            </w:r>
          </w:p>
        </w:tc>
      </w:tr>
      <w:tr>
        <w:tc>
          <w:tcPr>
            <w:tcW w:type="dxa" w:w="2381"/>
            <w:shd w:val="clear" w:color="auto" w:fill="EAF1F5"/>
          </w:tcPr>
          <w:p>
            <w:pPr>
              <w:spacing w:after="20" w:before="0"/>
            </w:pPr>
            <w:r/>
            <w:r>
              <w:rPr>
                <w:rFonts w:ascii="Lato" w:hAnsi="Lato" w:cs="Lato"/>
                <w:b/>
                <w:i w:val="0"/>
                <w:color w:val="00648B"/>
                <w:sz w:val="17"/>
              </w:rPr>
              <w:t>Rationale &amp; competitor support</w:t>
            </w:r>
          </w:p>
        </w:tc>
        <w:tc>
          <w:tcPr>
            <w:tcW w:type="dxa" w:w="7484"/>
          </w:tcPr>
          <w:p>
            <w:pPr>
              <w:spacing w:after="20" w:before="0"/>
            </w:pPr>
            <w:r/>
            <w:r>
              <w:rPr>
                <w:rFonts w:ascii="Lato" w:hAnsi="Lato" w:cs="Lato"/>
                <w:b w:val="0"/>
                <w:i w:val="0"/>
                <w:color w:val="2B2F33"/>
                <w:sz w:val="17"/>
              </w:rPr>
              <w:t>Gap 2. Tysers PI is worldwide. Gives global-distribution media clients a clean Schedule switch to worldwide and a separate, rated USA/Canada option, without changing the default ex-US/Canada appetite.</w:t>
            </w:r>
          </w:p>
        </w:tc>
      </w:tr>
      <w:tr>
        <w:tc>
          <w:tcPr>
            <w:tcW w:type="dxa" w:w="2381"/>
            <w:shd w:val="clear" w:color="auto" w:fill="EAF1F5"/>
          </w:tcPr>
          <w:p>
            <w:pPr>
              <w:spacing w:after="20" w:before="0"/>
            </w:pPr>
            <w:r/>
            <w:r>
              <w:rPr>
                <w:rFonts w:ascii="Lato" w:hAnsi="Lato" w:cs="Lato"/>
                <w:b/>
                <w:i w:val="0"/>
                <w:color w:val="00648B"/>
                <w:sz w:val="17"/>
              </w:rPr>
              <w:t>Sign-off note</w:t>
            </w:r>
          </w:p>
        </w:tc>
        <w:tc>
          <w:tcPr>
            <w:tcW w:type="dxa" w:w="7484"/>
          </w:tcPr>
          <w:p>
            <w:pPr>
              <w:spacing w:after="20" w:before="0"/>
            </w:pPr>
            <w:r/>
            <w:r>
              <w:rPr>
                <w:rFonts w:ascii="Lato" w:hAnsi="Lato" w:cs="Lato"/>
                <w:b w:val="0"/>
                <w:i w:val="0"/>
                <w:color w:val="2B2F33"/>
                <w:sz w:val="17"/>
              </w:rPr>
              <w:t>Legal + underwriting (territory, reinsurance treaty, rating).  —  REQUIRED before adoption; do not treat as final.</w:t>
            </w:r>
          </w:p>
        </w:tc>
      </w:tr>
    </w:tbl>
    <w:p>
      <w:pPr>
        <w:spacing w:after="160"/>
      </w:pPr>
    </w:p>
    <w:p>
      <w:pPr>
        <w:keepNext/>
        <w:spacing w:before="120" w:after="20"/>
      </w:pPr>
      <w:r>
        <w:rPr>
          <w:rFonts w:ascii="Lato" w:hAnsi="Lato" w:cs="Lato"/>
          <w:b/>
          <w:i w:val="0"/>
          <w:color w:val="B88A3C"/>
          <w:sz w:val="20"/>
        </w:rPr>
        <w:t>Criminal &amp; Regulatory Defence Costs — clarification / optional sub-limit</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Amendment type</w:t>
            </w:r>
          </w:p>
        </w:tc>
        <w:tc>
          <w:tcPr>
            <w:tcW w:type="dxa" w:w="7484"/>
          </w:tcPr>
          <w:p>
            <w:pPr>
              <w:spacing w:after="20" w:before="0"/>
            </w:pPr>
            <w:r/>
            <w:r>
              <w:rPr>
                <w:rFonts w:ascii="Lato" w:hAnsi="Lato" w:cs="Lato"/>
                <w:b w:val="0"/>
                <w:i w:val="0"/>
                <w:color w:val="2B2F33"/>
                <w:sz w:val="17"/>
              </w:rPr>
              <w:t>Clarification (cross-reference) + optional new cover</w:t>
            </w:r>
          </w:p>
        </w:tc>
      </w:tr>
      <w:tr>
        <w:tc>
          <w:tcPr>
            <w:tcW w:type="dxa" w:w="2381"/>
            <w:shd w:val="clear" w:color="auto" w:fill="EAF1F5"/>
          </w:tcPr>
          <w:p>
            <w:pPr>
              <w:spacing w:after="20" w:before="0"/>
            </w:pPr>
            <w:r/>
            <w:r>
              <w:rPr>
                <w:rFonts w:ascii="Lato" w:hAnsi="Lato" w:cs="Lato"/>
                <w:b/>
                <w:i w:val="0"/>
                <w:color w:val="00648B"/>
                <w:sz w:val="17"/>
              </w:rPr>
              <w:t>Exact location for insertion</w:t>
            </w:r>
          </w:p>
        </w:tc>
        <w:tc>
          <w:tcPr>
            <w:tcW w:type="dxa" w:w="7484"/>
          </w:tcPr>
          <w:p>
            <w:pPr>
              <w:spacing w:after="20" w:before="0"/>
            </w:pPr>
            <w:r/>
            <w:r>
              <w:rPr>
                <w:rFonts w:ascii="Lato" w:hAnsi="Lato" w:cs="Lato"/>
                <w:b w:val="0"/>
                <w:i w:val="0"/>
                <w:color w:val="2B2F33"/>
                <w:sz w:val="17"/>
              </w:rPr>
              <w:t>Section 12 — either a new sub-limited extension, or a cross-reference note after the Defence Costs provisions (p.73+).</w:t>
            </w:r>
          </w:p>
        </w:tc>
      </w:tr>
      <w:tr>
        <w:tc>
          <w:tcPr>
            <w:tcW w:type="dxa" w:w="2381"/>
            <w:shd w:val="clear" w:color="auto" w:fill="EAF1F5"/>
          </w:tcPr>
          <w:p>
            <w:pPr>
              <w:spacing w:after="20" w:before="0"/>
            </w:pPr>
            <w:r/>
            <w:r>
              <w:rPr>
                <w:rFonts w:ascii="Lato" w:hAnsi="Lato" w:cs="Lato"/>
                <w:b/>
                <w:i w:val="0"/>
                <w:color w:val="00648B"/>
                <w:sz w:val="17"/>
              </w:rPr>
              <w:t>Copy-paste-ready upgrade wording</w:t>
            </w:r>
          </w:p>
        </w:tc>
        <w:tc>
          <w:tcPr>
            <w:tcW w:type="dxa" w:w="7484"/>
          </w:tcPr>
          <w:p>
            <w:pPr>
              <w:spacing w:after="20" w:before="0"/>
            </w:pPr>
            <w:r/>
            <w:r>
              <w:rPr>
                <w:rFonts w:ascii="Lato" w:hAnsi="Lato" w:cs="Lato"/>
                <w:b w:val="0"/>
                <w:i w:val="0"/>
                <w:color w:val="2B2F33"/>
                <w:sz w:val="17"/>
              </w:rPr>
              <w:t>Criminal and Regulatory Defence Costs (Clarification / Optional) — For the avoidance of doubt, the defence of statutory, regulatory or criminal proceedings arising from the Business (other than the Data Protection defence costs expressly provided in this Section) is addressed under Section 13 (Commercial Legal Expenses) and Section 14 (Management Liability). Where stated as operative in the Schedule, this Section will in addition indemnify the Insured for defence costs incurred with the Insurer’s prior written consent up to GBP [ ] in respect of such proceedings.</w:t>
            </w:r>
          </w:p>
        </w:tc>
      </w:tr>
      <w:tr>
        <w:tc>
          <w:tcPr>
            <w:tcW w:type="dxa" w:w="2381"/>
            <w:shd w:val="clear" w:color="auto" w:fill="EAF1F5"/>
          </w:tcPr>
          <w:p>
            <w:pPr>
              <w:spacing w:after="20" w:before="0"/>
            </w:pPr>
            <w:r/>
            <w:r>
              <w:rPr>
                <w:rFonts w:ascii="Lato" w:hAnsi="Lato" w:cs="Lato"/>
                <w:b/>
                <w:i w:val="0"/>
                <w:color w:val="00648B"/>
                <w:sz w:val="17"/>
              </w:rPr>
              <w:t>Rationale &amp; competitor support</w:t>
            </w:r>
          </w:p>
        </w:tc>
        <w:tc>
          <w:tcPr>
            <w:tcW w:type="dxa" w:w="7484"/>
          </w:tcPr>
          <w:p>
            <w:pPr>
              <w:spacing w:after="20" w:before="0"/>
            </w:pPr>
            <w:r/>
            <w:r>
              <w:rPr>
                <w:rFonts w:ascii="Lato" w:hAnsi="Lato" w:cs="Lato"/>
                <w:b w:val="0"/>
                <w:i w:val="0"/>
                <w:color w:val="2B2F33"/>
                <w:sz w:val="17"/>
              </w:rPr>
              <w:t>Tysers statutory defence GBP 1m; Yutree criminal-defence GBP 250k. On a Section-12-only read TMHCC looks narrower; the cross-reference to S13/S14 removes the apparent gap at nil cost.</w:t>
            </w:r>
          </w:p>
        </w:tc>
      </w:tr>
      <w:tr>
        <w:tc>
          <w:tcPr>
            <w:tcW w:type="dxa" w:w="2381"/>
            <w:shd w:val="clear" w:color="auto" w:fill="EAF1F5"/>
          </w:tcPr>
          <w:p>
            <w:pPr>
              <w:spacing w:after="20" w:before="0"/>
            </w:pPr>
            <w:r/>
            <w:r>
              <w:rPr>
                <w:rFonts w:ascii="Lato" w:hAnsi="Lato" w:cs="Lato"/>
                <w:b/>
                <w:i w:val="0"/>
                <w:color w:val="00648B"/>
                <w:sz w:val="17"/>
              </w:rPr>
              <w:t>Sign-off note</w:t>
            </w:r>
          </w:p>
        </w:tc>
        <w:tc>
          <w:tcPr>
            <w:tcW w:type="dxa" w:w="7484"/>
          </w:tcPr>
          <w:p>
            <w:pPr>
              <w:spacing w:after="20" w:before="0"/>
            </w:pPr>
            <w:r/>
            <w:r>
              <w:rPr>
                <w:rFonts w:ascii="Lato" w:hAnsi="Lato" w:cs="Lato"/>
                <w:b w:val="0"/>
                <w:i w:val="0"/>
                <w:color w:val="2B2F33"/>
                <w:sz w:val="17"/>
              </w:rPr>
              <w:t>Legal + underwriting (confirm S13/S14 triggers; any S12 sub-limit).  —  REQUIRED before adoption; do not treat as final.</w:t>
            </w:r>
          </w:p>
        </w:tc>
      </w:tr>
    </w:tbl>
    <w:p>
      <w:pPr>
        <w:spacing w:after="160"/>
      </w:pPr>
    </w:p>
    <w:p>
      <w:pPr>
        <w:keepNext/>
        <w:spacing w:before="120" w:after="20"/>
      </w:pPr>
      <w:r>
        <w:rPr>
          <w:rFonts w:ascii="Lato" w:hAnsi="Lato" w:cs="Lato"/>
          <w:b/>
          <w:i w:val="0"/>
          <w:color w:val="B88A3C"/>
          <w:sz w:val="20"/>
        </w:rPr>
        <w:t>Distributors &amp; Purchasers Extension</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Amendment type</w:t>
            </w:r>
          </w:p>
        </w:tc>
        <w:tc>
          <w:tcPr>
            <w:tcW w:type="dxa" w:w="7484"/>
          </w:tcPr>
          <w:p>
            <w:pPr>
              <w:spacing w:after="20" w:before="0"/>
            </w:pPr>
            <w:r/>
            <w:r>
              <w:rPr>
                <w:rFonts w:ascii="Lato" w:hAnsi="Lato" w:cs="Lato"/>
                <w:b w:val="0"/>
                <w:i w:val="0"/>
                <w:color w:val="2B2F33"/>
                <w:sz w:val="17"/>
              </w:rPr>
              <w:t>New optional cover (extension)</w:t>
            </w:r>
          </w:p>
        </w:tc>
      </w:tr>
      <w:tr>
        <w:tc>
          <w:tcPr>
            <w:tcW w:type="dxa" w:w="2381"/>
            <w:shd w:val="clear" w:color="auto" w:fill="EAF1F5"/>
          </w:tcPr>
          <w:p>
            <w:pPr>
              <w:spacing w:after="20" w:before="0"/>
            </w:pPr>
            <w:r/>
            <w:r>
              <w:rPr>
                <w:rFonts w:ascii="Lato" w:hAnsi="Lato" w:cs="Lato"/>
                <w:b/>
                <w:i w:val="0"/>
                <w:color w:val="00648B"/>
                <w:sz w:val="17"/>
              </w:rPr>
              <w:t>Exact location for insertion</w:t>
            </w:r>
          </w:p>
        </w:tc>
        <w:tc>
          <w:tcPr>
            <w:tcW w:type="dxa" w:w="7484"/>
          </w:tcPr>
          <w:p>
            <w:pPr>
              <w:spacing w:after="20" w:before="0"/>
            </w:pPr>
            <w:r/>
            <w:r>
              <w:rPr>
                <w:rFonts w:ascii="Lato" w:hAnsi="Lato" w:cs="Lato"/>
                <w:b w:val="0"/>
                <w:i w:val="0"/>
                <w:color w:val="2B2F33"/>
                <w:sz w:val="17"/>
              </w:rPr>
              <w:t>Section 12, new Optional Extension within the Extensions block (p.73+).</w:t>
            </w:r>
          </w:p>
        </w:tc>
      </w:tr>
      <w:tr>
        <w:tc>
          <w:tcPr>
            <w:tcW w:type="dxa" w:w="2381"/>
            <w:shd w:val="clear" w:color="auto" w:fill="EAF1F5"/>
          </w:tcPr>
          <w:p>
            <w:pPr>
              <w:spacing w:after="20" w:before="0"/>
            </w:pPr>
            <w:r/>
            <w:r>
              <w:rPr>
                <w:rFonts w:ascii="Lato" w:hAnsi="Lato" w:cs="Lato"/>
                <w:b/>
                <w:i w:val="0"/>
                <w:color w:val="00648B"/>
                <w:sz w:val="17"/>
              </w:rPr>
              <w:t>Copy-paste-ready upgrade wording</w:t>
            </w:r>
          </w:p>
        </w:tc>
        <w:tc>
          <w:tcPr>
            <w:tcW w:type="dxa" w:w="7484"/>
          </w:tcPr>
          <w:p>
            <w:pPr>
              <w:spacing w:after="20" w:before="0"/>
            </w:pPr>
            <w:r/>
            <w:r>
              <w:rPr>
                <w:rFonts w:ascii="Lato" w:hAnsi="Lato" w:cs="Lato"/>
                <w:b w:val="0"/>
                <w:i w:val="0"/>
                <w:color w:val="2B2F33"/>
                <w:sz w:val="17"/>
              </w:rPr>
              <w:t>Distributors and Purchasers (Optional) — The indemnity provided by this Section extends to any distributor, licensee, co-producer or purchaser of the Insured’s media material for their liability arising from that material, provided that: (a) the Insurer’s total liability for all such parties shall not exceed the multiple of the Limit of Liability stated in the Schedule; (b) the claim is first made within 36 months of the relevant supply; and (c) the Insurer retains control of the defence and settlement of any such claim.</w:t>
            </w:r>
          </w:p>
        </w:tc>
      </w:tr>
      <w:tr>
        <w:tc>
          <w:tcPr>
            <w:tcW w:type="dxa" w:w="2381"/>
            <w:shd w:val="clear" w:color="auto" w:fill="EAF1F5"/>
          </w:tcPr>
          <w:p>
            <w:pPr>
              <w:spacing w:after="20" w:before="0"/>
            </w:pPr>
            <w:r/>
            <w:r>
              <w:rPr>
                <w:rFonts w:ascii="Lato" w:hAnsi="Lato" w:cs="Lato"/>
                <w:b/>
                <w:i w:val="0"/>
                <w:color w:val="00648B"/>
                <w:sz w:val="17"/>
              </w:rPr>
              <w:t>Rationale &amp; competitor support</w:t>
            </w:r>
          </w:p>
        </w:tc>
        <w:tc>
          <w:tcPr>
            <w:tcW w:type="dxa" w:w="7484"/>
          </w:tcPr>
          <w:p>
            <w:pPr>
              <w:spacing w:after="20" w:before="0"/>
            </w:pPr>
            <w:r/>
            <w:r>
              <w:rPr>
                <w:rFonts w:ascii="Lato" w:hAnsi="Lato" w:cs="Lato"/>
                <w:b w:val="0"/>
                <w:i w:val="0"/>
                <w:color w:val="2B2F33"/>
                <w:sz w:val="17"/>
              </w:rPr>
              <w:t>Tysers cl. 8.7 (up to 5x limit). Protects the distribution chain of production/distribution clients.</w:t>
            </w:r>
          </w:p>
        </w:tc>
      </w:tr>
      <w:tr>
        <w:tc>
          <w:tcPr>
            <w:tcW w:type="dxa" w:w="2381"/>
            <w:shd w:val="clear" w:color="auto" w:fill="EAF1F5"/>
          </w:tcPr>
          <w:p>
            <w:pPr>
              <w:spacing w:after="20" w:before="0"/>
            </w:pPr>
            <w:r/>
            <w:r>
              <w:rPr>
                <w:rFonts w:ascii="Lato" w:hAnsi="Lato" w:cs="Lato"/>
                <w:b/>
                <w:i w:val="0"/>
                <w:color w:val="00648B"/>
                <w:sz w:val="17"/>
              </w:rPr>
              <w:t>Sign-off note</w:t>
            </w:r>
          </w:p>
        </w:tc>
        <w:tc>
          <w:tcPr>
            <w:tcW w:type="dxa" w:w="7484"/>
          </w:tcPr>
          <w:p>
            <w:pPr>
              <w:spacing w:after="20" w:before="0"/>
            </w:pPr>
            <w:r/>
            <w:r>
              <w:rPr>
                <w:rFonts w:ascii="Lato" w:hAnsi="Lato" w:cs="Lato"/>
                <w:b w:val="0"/>
                <w:i w:val="0"/>
                <w:color w:val="2B2F33"/>
                <w:sz w:val="17"/>
              </w:rPr>
              <w:t>Legal + underwriting (aggregate multiple; control of defence).  —  REQUIRED before adoption; do not treat as final.</w:t>
            </w:r>
          </w:p>
        </w:tc>
      </w:tr>
    </w:tbl>
    <w:p>
      <w:pPr>
        <w:spacing w:after="160"/>
      </w:pPr>
    </w:p>
    <w:p>
      <w:pPr>
        <w:keepNext/>
        <w:spacing w:before="120" w:after="20"/>
      </w:pPr>
      <w:r>
        <w:rPr>
          <w:rFonts w:ascii="Lato" w:hAnsi="Lato" w:cs="Lato"/>
          <w:b/>
          <w:i w:val="0"/>
          <w:color w:val="B88A3C"/>
          <w:sz w:val="20"/>
        </w:rPr>
        <w:t>Journalistic Source Protection Costs</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Amendment type</w:t>
            </w:r>
          </w:p>
        </w:tc>
        <w:tc>
          <w:tcPr>
            <w:tcW w:type="dxa" w:w="7484"/>
          </w:tcPr>
          <w:p>
            <w:pPr>
              <w:spacing w:after="20" w:before="0"/>
            </w:pPr>
            <w:r/>
            <w:r>
              <w:rPr>
                <w:rFonts w:ascii="Lato" w:hAnsi="Lato" w:cs="Lato"/>
                <w:b w:val="0"/>
                <w:i w:val="0"/>
                <w:color w:val="2B2F33"/>
                <w:sz w:val="17"/>
              </w:rPr>
              <w:t>New optional sub-limited cover</w:t>
            </w:r>
          </w:p>
        </w:tc>
      </w:tr>
      <w:tr>
        <w:tc>
          <w:tcPr>
            <w:tcW w:type="dxa" w:w="2381"/>
            <w:shd w:val="clear" w:color="auto" w:fill="EAF1F5"/>
          </w:tcPr>
          <w:p>
            <w:pPr>
              <w:spacing w:after="20" w:before="0"/>
            </w:pPr>
            <w:r/>
            <w:r>
              <w:rPr>
                <w:rFonts w:ascii="Lato" w:hAnsi="Lato" w:cs="Lato"/>
                <w:b/>
                <w:i w:val="0"/>
                <w:color w:val="00648B"/>
                <w:sz w:val="17"/>
              </w:rPr>
              <w:t>Exact location for insertion</w:t>
            </w:r>
          </w:p>
        </w:tc>
        <w:tc>
          <w:tcPr>
            <w:tcW w:type="dxa" w:w="7484"/>
          </w:tcPr>
          <w:p>
            <w:pPr>
              <w:spacing w:after="20" w:before="0"/>
            </w:pPr>
            <w:r/>
            <w:r>
              <w:rPr>
                <w:rFonts w:ascii="Lato" w:hAnsi="Lato" w:cs="Lato"/>
                <w:b w:val="0"/>
                <w:i w:val="0"/>
                <w:color w:val="2B2F33"/>
                <w:sz w:val="17"/>
              </w:rPr>
              <w:t>Section 12, new sub-limited Optional Extension (p.73+).</w:t>
            </w:r>
          </w:p>
        </w:tc>
      </w:tr>
      <w:tr>
        <w:tc>
          <w:tcPr>
            <w:tcW w:type="dxa" w:w="2381"/>
            <w:shd w:val="clear" w:color="auto" w:fill="EAF1F5"/>
          </w:tcPr>
          <w:p>
            <w:pPr>
              <w:spacing w:after="20" w:before="0"/>
            </w:pPr>
            <w:r/>
            <w:r>
              <w:rPr>
                <w:rFonts w:ascii="Lato" w:hAnsi="Lato" w:cs="Lato"/>
                <w:b/>
                <w:i w:val="0"/>
                <w:color w:val="00648B"/>
                <w:sz w:val="17"/>
              </w:rPr>
              <w:t>Copy-paste-ready upgrade wording</w:t>
            </w:r>
          </w:p>
        </w:tc>
        <w:tc>
          <w:tcPr>
            <w:tcW w:type="dxa" w:w="7484"/>
          </w:tcPr>
          <w:p>
            <w:pPr>
              <w:spacing w:after="20" w:before="0"/>
            </w:pPr>
            <w:r/>
            <w:r>
              <w:rPr>
                <w:rFonts w:ascii="Lato" w:hAnsi="Lato" w:cs="Lato"/>
                <w:b w:val="0"/>
                <w:i w:val="0"/>
                <w:color w:val="2B2F33"/>
                <w:sz w:val="17"/>
              </w:rPr>
              <w:t>Journalistic Source Protection Costs (Optional) — The Insurer will pay, up to the sub-limit stated in the Schedule, legal costs reasonably incurred with the Insurer’s prior written consent in resisting any subpoena, application or court order that would require the Insured to disclose a confidential journalistic source, provided there are reasonable prospects of successfully resisting such disclosure.</w:t>
            </w:r>
          </w:p>
        </w:tc>
      </w:tr>
      <w:tr>
        <w:tc>
          <w:tcPr>
            <w:tcW w:type="dxa" w:w="2381"/>
            <w:shd w:val="clear" w:color="auto" w:fill="EAF1F5"/>
          </w:tcPr>
          <w:p>
            <w:pPr>
              <w:spacing w:after="20" w:before="0"/>
            </w:pPr>
            <w:r/>
            <w:r>
              <w:rPr>
                <w:rFonts w:ascii="Lato" w:hAnsi="Lato" w:cs="Lato"/>
                <w:b/>
                <w:i w:val="0"/>
                <w:color w:val="00648B"/>
                <w:sz w:val="17"/>
              </w:rPr>
              <w:t>Rationale &amp; competitor support</w:t>
            </w:r>
          </w:p>
        </w:tc>
        <w:tc>
          <w:tcPr>
            <w:tcW w:type="dxa" w:w="7484"/>
          </w:tcPr>
          <w:p>
            <w:pPr>
              <w:spacing w:after="20" w:before="0"/>
            </w:pPr>
            <w:r/>
            <w:r>
              <w:rPr>
                <w:rFonts w:ascii="Lato" w:hAnsi="Lato" w:cs="Lato"/>
                <w:b w:val="0"/>
                <w:i w:val="0"/>
                <w:color w:val="2B2F33"/>
                <w:sz w:val="17"/>
              </w:rPr>
              <w:t>Tysers cl. 8.13. Broker-sensitive for editorial/news/publishing clients; low frequency.</w:t>
            </w:r>
          </w:p>
        </w:tc>
      </w:tr>
      <w:tr>
        <w:tc>
          <w:tcPr>
            <w:tcW w:type="dxa" w:w="2381"/>
            <w:shd w:val="clear" w:color="auto" w:fill="EAF1F5"/>
          </w:tcPr>
          <w:p>
            <w:pPr>
              <w:spacing w:after="20" w:before="0"/>
            </w:pPr>
            <w:r/>
            <w:r>
              <w:rPr>
                <w:rFonts w:ascii="Lato" w:hAnsi="Lato" w:cs="Lato"/>
                <w:b/>
                <w:i w:val="0"/>
                <w:color w:val="00648B"/>
                <w:sz w:val="17"/>
              </w:rPr>
              <w:t>Sign-off note</w:t>
            </w:r>
          </w:p>
        </w:tc>
        <w:tc>
          <w:tcPr>
            <w:tcW w:type="dxa" w:w="7484"/>
          </w:tcPr>
          <w:p>
            <w:pPr>
              <w:spacing w:after="20" w:before="0"/>
            </w:pPr>
            <w:r/>
            <w:r>
              <w:rPr>
                <w:rFonts w:ascii="Lato" w:hAnsi="Lato" w:cs="Lato"/>
                <w:b w:val="0"/>
                <w:i w:val="0"/>
                <w:color w:val="2B2F33"/>
                <w:sz w:val="17"/>
              </w:rPr>
              <w:t>Legal + underwriting (sub-limit; prospects test).  —  REQUIRED before adoption; do not treat as final.</w:t>
            </w:r>
          </w:p>
        </w:tc>
      </w:tr>
    </w:tbl>
    <w:p>
      <w:pPr>
        <w:spacing w:after="160"/>
      </w:pPr>
    </w:p>
    <w:p>
      <w:pPr>
        <w:keepNext/>
        <w:spacing w:before="120" w:after="20"/>
      </w:pPr>
      <w:r>
        <w:rPr>
          <w:rFonts w:ascii="Lato" w:hAnsi="Lato" w:cs="Lato"/>
          <w:b/>
          <w:i w:val="0"/>
          <w:color w:val="B88A3C"/>
          <w:sz w:val="20"/>
        </w:rPr>
        <w:t>Representation Costs at Investigations &amp; Inquiries (GBP 25k)</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Amendment type</w:t>
            </w:r>
          </w:p>
        </w:tc>
        <w:tc>
          <w:tcPr>
            <w:tcW w:type="dxa" w:w="7484"/>
          </w:tcPr>
          <w:p>
            <w:pPr>
              <w:spacing w:after="20" w:before="0"/>
            </w:pPr>
            <w:r/>
            <w:r>
              <w:rPr>
                <w:rFonts w:ascii="Lato" w:hAnsi="Lato" w:cs="Lato"/>
                <w:b w:val="0"/>
                <w:i w:val="0"/>
                <w:color w:val="2B2F33"/>
                <w:sz w:val="17"/>
              </w:rPr>
              <w:t>New optional sub-limited cover</w:t>
            </w:r>
          </w:p>
        </w:tc>
      </w:tr>
      <w:tr>
        <w:tc>
          <w:tcPr>
            <w:tcW w:type="dxa" w:w="2381"/>
            <w:shd w:val="clear" w:color="auto" w:fill="EAF1F5"/>
          </w:tcPr>
          <w:p>
            <w:pPr>
              <w:spacing w:after="20" w:before="0"/>
            </w:pPr>
            <w:r/>
            <w:r>
              <w:rPr>
                <w:rFonts w:ascii="Lato" w:hAnsi="Lato" w:cs="Lato"/>
                <w:b/>
                <w:i w:val="0"/>
                <w:color w:val="00648B"/>
                <w:sz w:val="17"/>
              </w:rPr>
              <w:t>Exact location for insertion</w:t>
            </w:r>
          </w:p>
        </w:tc>
        <w:tc>
          <w:tcPr>
            <w:tcW w:type="dxa" w:w="7484"/>
          </w:tcPr>
          <w:p>
            <w:pPr>
              <w:spacing w:after="20" w:before="0"/>
            </w:pPr>
            <w:r/>
            <w:r>
              <w:rPr>
                <w:rFonts w:ascii="Lato" w:hAnsi="Lato" w:cs="Lato"/>
                <w:b w:val="0"/>
                <w:i w:val="0"/>
                <w:color w:val="2B2F33"/>
                <w:sz w:val="17"/>
              </w:rPr>
              <w:t>Section 12, new sub-limited Optional Extension (p.73+).</w:t>
            </w:r>
          </w:p>
        </w:tc>
      </w:tr>
      <w:tr>
        <w:tc>
          <w:tcPr>
            <w:tcW w:type="dxa" w:w="2381"/>
            <w:shd w:val="clear" w:color="auto" w:fill="EAF1F5"/>
          </w:tcPr>
          <w:p>
            <w:pPr>
              <w:spacing w:after="20" w:before="0"/>
            </w:pPr>
            <w:r/>
            <w:r>
              <w:rPr>
                <w:rFonts w:ascii="Lato" w:hAnsi="Lato" w:cs="Lato"/>
                <w:b/>
                <w:i w:val="0"/>
                <w:color w:val="00648B"/>
                <w:sz w:val="17"/>
              </w:rPr>
              <w:t>Copy-paste-ready upgrade wording</w:t>
            </w:r>
          </w:p>
        </w:tc>
        <w:tc>
          <w:tcPr>
            <w:tcW w:type="dxa" w:w="7484"/>
          </w:tcPr>
          <w:p>
            <w:pPr>
              <w:spacing w:after="20" w:before="0"/>
            </w:pPr>
            <w:r/>
            <w:r>
              <w:rPr>
                <w:rFonts w:ascii="Lato" w:hAnsi="Lato" w:cs="Lato"/>
                <w:b w:val="0"/>
                <w:i w:val="0"/>
                <w:color w:val="2B2F33"/>
                <w:sz w:val="17"/>
              </w:rPr>
              <w:t>Representation Costs at Investigations and Inquiries (Optional) — The Insurer will pay, up to GBP 25,000 in the aggregate, the reasonable costs of legal representation incurred with the Insurer’s prior written consent at any official examination, investigation or inquiry into a matter that could give rise to a claim under this Section.</w:t>
            </w:r>
          </w:p>
        </w:tc>
      </w:tr>
      <w:tr>
        <w:tc>
          <w:tcPr>
            <w:tcW w:type="dxa" w:w="2381"/>
            <w:shd w:val="clear" w:color="auto" w:fill="EAF1F5"/>
          </w:tcPr>
          <w:p>
            <w:pPr>
              <w:spacing w:after="20" w:before="0"/>
            </w:pPr>
            <w:r/>
            <w:r>
              <w:rPr>
                <w:rFonts w:ascii="Lato" w:hAnsi="Lato" w:cs="Lato"/>
                <w:b/>
                <w:i w:val="0"/>
                <w:color w:val="00648B"/>
                <w:sz w:val="17"/>
              </w:rPr>
              <w:t>Rationale &amp; competitor support</w:t>
            </w:r>
          </w:p>
        </w:tc>
        <w:tc>
          <w:tcPr>
            <w:tcW w:type="dxa" w:w="7484"/>
          </w:tcPr>
          <w:p>
            <w:pPr>
              <w:spacing w:after="20" w:before="0"/>
            </w:pPr>
            <w:r/>
            <w:r>
              <w:rPr>
                <w:rFonts w:ascii="Lato" w:hAnsi="Lato" w:cs="Lato"/>
                <w:b w:val="0"/>
                <w:i w:val="0"/>
                <w:color w:val="2B2F33"/>
                <w:sz w:val="17"/>
              </w:rPr>
              <w:t>Tysers cl. 8.15 (GBP 25k). Useful for advertising/marketing clients (ASA/CMA investigations).</w:t>
            </w:r>
          </w:p>
        </w:tc>
      </w:tr>
      <w:tr>
        <w:tc>
          <w:tcPr>
            <w:tcW w:type="dxa" w:w="2381"/>
            <w:shd w:val="clear" w:color="auto" w:fill="EAF1F5"/>
          </w:tcPr>
          <w:p>
            <w:pPr>
              <w:spacing w:after="20" w:before="0"/>
            </w:pPr>
            <w:r/>
            <w:r>
              <w:rPr>
                <w:rFonts w:ascii="Lato" w:hAnsi="Lato" w:cs="Lato"/>
                <w:b/>
                <w:i w:val="0"/>
                <w:color w:val="00648B"/>
                <w:sz w:val="17"/>
              </w:rPr>
              <w:t>Sign-off note</w:t>
            </w:r>
          </w:p>
        </w:tc>
        <w:tc>
          <w:tcPr>
            <w:tcW w:type="dxa" w:w="7484"/>
          </w:tcPr>
          <w:p>
            <w:pPr>
              <w:spacing w:after="20" w:before="0"/>
            </w:pPr>
            <w:r/>
            <w:r>
              <w:rPr>
                <w:rFonts w:ascii="Lato" w:hAnsi="Lato" w:cs="Lato"/>
                <w:b w:val="0"/>
                <w:i w:val="0"/>
                <w:color w:val="2B2F33"/>
                <w:sz w:val="17"/>
              </w:rPr>
              <w:t>Legal + underwriting (sub-limit; align with S13/S14).  —  REQUIRED before adoption; do not treat as final.</w:t>
            </w:r>
          </w:p>
        </w:tc>
      </w:tr>
    </w:tbl>
    <w:p>
      <w:pPr>
        <w:spacing w:after="160"/>
      </w:pPr>
    </w:p>
    <w:p>
      <w:pPr>
        <w:keepNext/>
        <w:spacing w:before="120" w:after="20"/>
      </w:pPr>
      <w:r>
        <w:rPr>
          <w:rFonts w:ascii="Lato" w:hAnsi="Lato" w:cs="Lato"/>
          <w:b/>
          <w:i w:val="0"/>
          <w:color w:val="B88A3C"/>
          <w:sz w:val="20"/>
        </w:rPr>
        <w:t>Professional-Duty Write-back (Asbestos / Pollution) — negligent advice only</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Amendment type</w:t>
            </w:r>
          </w:p>
        </w:tc>
        <w:tc>
          <w:tcPr>
            <w:tcW w:type="dxa" w:w="7484"/>
          </w:tcPr>
          <w:p>
            <w:pPr>
              <w:spacing w:after="20" w:before="0"/>
            </w:pPr>
            <w:r/>
            <w:r>
              <w:rPr>
                <w:rFonts w:ascii="Lato" w:hAnsi="Lato" w:cs="Lato"/>
                <w:b w:val="0"/>
                <w:i w:val="0"/>
                <w:color w:val="2B2F33"/>
                <w:sz w:val="17"/>
              </w:rPr>
              <w:t>Exclusion write-back (narrow)</w:t>
            </w:r>
          </w:p>
        </w:tc>
      </w:tr>
      <w:tr>
        <w:tc>
          <w:tcPr>
            <w:tcW w:type="dxa" w:w="2381"/>
            <w:shd w:val="clear" w:color="auto" w:fill="EAF1F5"/>
          </w:tcPr>
          <w:p>
            <w:pPr>
              <w:spacing w:after="20" w:before="0"/>
            </w:pPr>
            <w:r/>
            <w:r>
              <w:rPr>
                <w:rFonts w:ascii="Lato" w:hAnsi="Lato" w:cs="Lato"/>
                <w:b/>
                <w:i w:val="0"/>
                <w:color w:val="00648B"/>
                <w:sz w:val="17"/>
              </w:rPr>
              <w:t>Exact location for insertion</w:t>
            </w:r>
          </w:p>
        </w:tc>
        <w:tc>
          <w:tcPr>
            <w:tcW w:type="dxa" w:w="7484"/>
          </w:tcPr>
          <w:p>
            <w:pPr>
              <w:spacing w:after="20" w:before="0"/>
            </w:pPr>
            <w:r/>
            <w:r>
              <w:rPr>
                <w:rFonts w:ascii="Lato" w:hAnsi="Lato" w:cs="Lato"/>
                <w:b w:val="0"/>
                <w:i w:val="0"/>
                <w:color w:val="2B2F33"/>
                <w:sz w:val="17"/>
              </w:rPr>
              <w:t>Section 12 — narrow write-back to the asbestos/pollution exclusions (p.73+).</w:t>
            </w:r>
          </w:p>
        </w:tc>
      </w:tr>
      <w:tr>
        <w:tc>
          <w:tcPr>
            <w:tcW w:type="dxa" w:w="2381"/>
            <w:shd w:val="clear" w:color="auto" w:fill="EAF1F5"/>
          </w:tcPr>
          <w:p>
            <w:pPr>
              <w:spacing w:after="20" w:before="0"/>
            </w:pPr>
            <w:r/>
            <w:r>
              <w:rPr>
                <w:rFonts w:ascii="Lato" w:hAnsi="Lato" w:cs="Lato"/>
                <w:b/>
                <w:i w:val="0"/>
                <w:color w:val="00648B"/>
                <w:sz w:val="17"/>
              </w:rPr>
              <w:t>Copy-paste-ready upgrade wording</w:t>
            </w:r>
          </w:p>
        </w:tc>
        <w:tc>
          <w:tcPr>
            <w:tcW w:type="dxa" w:w="7484"/>
          </w:tcPr>
          <w:p>
            <w:pPr>
              <w:spacing w:after="20" w:before="0"/>
            </w:pPr>
            <w:r/>
            <w:r>
              <w:rPr>
                <w:rFonts w:ascii="Lato" w:hAnsi="Lato" w:cs="Lato"/>
                <w:b w:val="0"/>
                <w:i w:val="0"/>
                <w:color w:val="2B2F33"/>
                <w:sz w:val="17"/>
              </w:rPr>
              <w:t>Professional Duty Write-back (Asbestos / Pollution) (Optional) — Notwithstanding the asbestos and pollution exclusions of this Section, the Insurer will indemnify the Insured, up to the sub-limit stated in the Schedule, for liability arising solely from negligent professional advice, design or specification in connection with asbestos or pollution, but excluding any liability for bodily injury and any liability for the cost of the contamination, remediation or clean-up itself.</w:t>
            </w:r>
          </w:p>
        </w:tc>
      </w:tr>
      <w:tr>
        <w:tc>
          <w:tcPr>
            <w:tcW w:type="dxa" w:w="2381"/>
            <w:shd w:val="clear" w:color="auto" w:fill="EAF1F5"/>
          </w:tcPr>
          <w:p>
            <w:pPr>
              <w:spacing w:after="20" w:before="0"/>
            </w:pPr>
            <w:r/>
            <w:r>
              <w:rPr>
                <w:rFonts w:ascii="Lato" w:hAnsi="Lato" w:cs="Lato"/>
                <w:b/>
                <w:i w:val="0"/>
                <w:color w:val="00648B"/>
                <w:sz w:val="17"/>
              </w:rPr>
              <w:t>Rationale &amp; competitor support</w:t>
            </w:r>
          </w:p>
        </w:tc>
        <w:tc>
          <w:tcPr>
            <w:tcW w:type="dxa" w:w="7484"/>
          </w:tcPr>
          <w:p>
            <w:pPr>
              <w:spacing w:after="20" w:before="0"/>
            </w:pPr>
            <w:r/>
            <w:r>
              <w:rPr>
                <w:rFonts w:ascii="Lato" w:hAnsi="Lato" w:cs="Lato"/>
                <w:b w:val="0"/>
                <w:i w:val="0"/>
                <w:color w:val="2B2F33"/>
                <w:sz w:val="17"/>
              </w:rPr>
              <w:t>Tysers asbestos professional-duty write-back (GBP 1m, ex-BI); Yutree pollution write-back for own negligence. Closes a genuine E&amp;O gap WITHOUT taking environmental/contamination risk.</w:t>
            </w:r>
          </w:p>
        </w:tc>
      </w:tr>
      <w:tr>
        <w:tc>
          <w:tcPr>
            <w:tcW w:type="dxa" w:w="2381"/>
            <w:shd w:val="clear" w:color="auto" w:fill="EAF1F5"/>
          </w:tcPr>
          <w:p>
            <w:pPr>
              <w:spacing w:after="20" w:before="0"/>
            </w:pPr>
            <w:r/>
            <w:r>
              <w:rPr>
                <w:rFonts w:ascii="Lato" w:hAnsi="Lato" w:cs="Lato"/>
                <w:b/>
                <w:i w:val="0"/>
                <w:color w:val="00648B"/>
                <w:sz w:val="17"/>
              </w:rPr>
              <w:t>Sign-off note</w:t>
            </w:r>
          </w:p>
        </w:tc>
        <w:tc>
          <w:tcPr>
            <w:tcW w:type="dxa" w:w="7484"/>
          </w:tcPr>
          <w:p>
            <w:pPr>
              <w:spacing w:after="20" w:before="0"/>
            </w:pPr>
            <w:r/>
            <w:r>
              <w:rPr>
                <w:rFonts w:ascii="Lato" w:hAnsi="Lato" w:cs="Lato"/>
                <w:b w:val="0"/>
                <w:i w:val="0"/>
                <w:color w:val="2B2F33"/>
                <w:sz w:val="17"/>
              </w:rPr>
              <w:t>Legal + underwriting (must keep BI and contamination/clean-up excluded; tight cap).  —  REQUIRED before adoption; do not treat as final.</w:t>
            </w:r>
          </w:p>
        </w:tc>
      </w:tr>
    </w:tbl>
    <w:p>
      <w:pPr>
        <w:spacing w:after="160"/>
      </w:pPr>
    </w:p>
    <w:p>
      <w:pPr>
        <w:keepNext/>
        <w:spacing w:before="120" w:after="20"/>
      </w:pPr>
      <w:r>
        <w:rPr>
          <w:rFonts w:ascii="Lato" w:hAnsi="Lato" w:cs="Lato"/>
          <w:b/>
          <w:i w:val="0"/>
          <w:color w:val="B88A3C"/>
          <w:sz w:val="20"/>
        </w:rPr>
        <w:t>King’s Counsel Determination clause</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Amendment type</w:t>
            </w:r>
          </w:p>
        </w:tc>
        <w:tc>
          <w:tcPr>
            <w:tcW w:type="dxa" w:w="7484"/>
          </w:tcPr>
          <w:p>
            <w:pPr>
              <w:spacing w:after="20" w:before="0"/>
            </w:pPr>
            <w:r/>
            <w:r>
              <w:rPr>
                <w:rFonts w:ascii="Lato" w:hAnsi="Lato" w:cs="Lato"/>
                <w:b w:val="0"/>
                <w:i w:val="0"/>
                <w:color w:val="2B2F33"/>
                <w:sz w:val="17"/>
              </w:rPr>
              <w:t>Condition amendment (dispute resolution)</w:t>
            </w:r>
          </w:p>
        </w:tc>
      </w:tr>
      <w:tr>
        <w:tc>
          <w:tcPr>
            <w:tcW w:type="dxa" w:w="2381"/>
            <w:shd w:val="clear" w:color="auto" w:fill="EAF1F5"/>
          </w:tcPr>
          <w:p>
            <w:pPr>
              <w:spacing w:after="20" w:before="0"/>
            </w:pPr>
            <w:r/>
            <w:r>
              <w:rPr>
                <w:rFonts w:ascii="Lato" w:hAnsi="Lato" w:cs="Lato"/>
                <w:b/>
                <w:i w:val="0"/>
                <w:color w:val="00648B"/>
                <w:sz w:val="17"/>
              </w:rPr>
              <w:t>Exact location for insertion</w:t>
            </w:r>
          </w:p>
        </w:tc>
        <w:tc>
          <w:tcPr>
            <w:tcW w:type="dxa" w:w="7484"/>
          </w:tcPr>
          <w:p>
            <w:pPr>
              <w:spacing w:after="20" w:before="0"/>
            </w:pPr>
            <w:r/>
            <w:r>
              <w:rPr>
                <w:rFonts w:ascii="Lato" w:hAnsi="Lato" w:cs="Lato"/>
                <w:b w:val="0"/>
                <w:i w:val="0"/>
                <w:color w:val="2B2F33"/>
                <w:sz w:val="17"/>
              </w:rPr>
              <w:t>Section 12 — within the Defence and Settlement / dispute provisions (p.73+).</w:t>
            </w:r>
          </w:p>
        </w:tc>
      </w:tr>
      <w:tr>
        <w:tc>
          <w:tcPr>
            <w:tcW w:type="dxa" w:w="2381"/>
            <w:shd w:val="clear" w:color="auto" w:fill="EAF1F5"/>
          </w:tcPr>
          <w:p>
            <w:pPr>
              <w:spacing w:after="20" w:before="0"/>
            </w:pPr>
            <w:r/>
            <w:r>
              <w:rPr>
                <w:rFonts w:ascii="Lato" w:hAnsi="Lato" w:cs="Lato"/>
                <w:b/>
                <w:i w:val="0"/>
                <w:color w:val="00648B"/>
                <w:sz w:val="17"/>
              </w:rPr>
              <w:t>Copy-paste-ready upgrade wording</w:t>
            </w:r>
          </w:p>
        </w:tc>
        <w:tc>
          <w:tcPr>
            <w:tcW w:type="dxa" w:w="7484"/>
          </w:tcPr>
          <w:p>
            <w:pPr>
              <w:spacing w:after="20" w:before="0"/>
            </w:pPr>
            <w:r/>
            <w:r>
              <w:rPr>
                <w:rFonts w:ascii="Lato" w:hAnsi="Lato" w:cs="Lato"/>
                <w:b w:val="0"/>
                <w:i w:val="0"/>
                <w:color w:val="2B2F33"/>
                <w:sz w:val="17"/>
              </w:rPr>
              <w:t>King’s Counsel Determination (Optional) — If the Insured and the Insurer disagree as to whether any claim should be contested, the dispute shall be referred to a King’s Counsel to be mutually agreed (or, failing agreement, nominated by the President of the Bar Council), whose determination shall be binding. The costs of the reference shall be at the discretion of the King’s Counsel.</w:t>
            </w:r>
          </w:p>
        </w:tc>
      </w:tr>
      <w:tr>
        <w:tc>
          <w:tcPr>
            <w:tcW w:type="dxa" w:w="2381"/>
            <w:shd w:val="clear" w:color="auto" w:fill="EAF1F5"/>
          </w:tcPr>
          <w:p>
            <w:pPr>
              <w:spacing w:after="20" w:before="0"/>
            </w:pPr>
            <w:r/>
            <w:r>
              <w:rPr>
                <w:rFonts w:ascii="Lato" w:hAnsi="Lato" w:cs="Lato"/>
                <w:b/>
                <w:i w:val="0"/>
                <w:color w:val="00648B"/>
                <w:sz w:val="17"/>
              </w:rPr>
              <w:t>Rationale &amp; competitor support</w:t>
            </w:r>
          </w:p>
        </w:tc>
        <w:tc>
          <w:tcPr>
            <w:tcW w:type="dxa" w:w="7484"/>
          </w:tcPr>
          <w:p>
            <w:pPr>
              <w:spacing w:after="20" w:before="0"/>
            </w:pPr>
            <w:r/>
            <w:r>
              <w:rPr>
                <w:rFonts w:ascii="Lato" w:hAnsi="Lato" w:cs="Lato"/>
                <w:b w:val="0"/>
                <w:i w:val="0"/>
                <w:color w:val="2B2F33"/>
                <w:sz w:val="17"/>
              </w:rPr>
              <w:t>Yutree KC clause. Gives clients certainty on defence/settlement disputes; procedural, low risk.</w:t>
            </w:r>
          </w:p>
        </w:tc>
      </w:tr>
      <w:tr>
        <w:tc>
          <w:tcPr>
            <w:tcW w:type="dxa" w:w="2381"/>
            <w:shd w:val="clear" w:color="auto" w:fill="EAF1F5"/>
          </w:tcPr>
          <w:p>
            <w:pPr>
              <w:spacing w:after="20" w:before="0"/>
            </w:pPr>
            <w:r/>
            <w:r>
              <w:rPr>
                <w:rFonts w:ascii="Lato" w:hAnsi="Lato" w:cs="Lato"/>
                <w:b/>
                <w:i w:val="0"/>
                <w:color w:val="00648B"/>
                <w:sz w:val="17"/>
              </w:rPr>
              <w:t>Sign-off note</w:t>
            </w:r>
          </w:p>
        </w:tc>
        <w:tc>
          <w:tcPr>
            <w:tcW w:type="dxa" w:w="7484"/>
          </w:tcPr>
          <w:p>
            <w:pPr>
              <w:spacing w:after="20" w:before="0"/>
            </w:pPr>
            <w:r/>
            <w:r>
              <w:rPr>
                <w:rFonts w:ascii="Lato" w:hAnsi="Lato" w:cs="Lato"/>
                <w:b w:val="0"/>
                <w:i w:val="0"/>
                <w:color w:val="2B2F33"/>
                <w:sz w:val="17"/>
              </w:rPr>
              <w:t>Legal (cost-allocation wording).  —  REQUIRED before adoption; do not treat as final.</w:t>
            </w:r>
          </w:p>
        </w:tc>
      </w:tr>
    </w:tbl>
    <w:p>
      <w:pPr>
        <w:spacing w:after="160"/>
      </w:pPr>
    </w:p>
    <w:p>
      <w:pPr>
        <w:keepNext/>
        <w:spacing w:before="120" w:after="20"/>
      </w:pPr>
      <w:r>
        <w:rPr>
          <w:rFonts w:ascii="Lato" w:hAnsi="Lato" w:cs="Lato"/>
          <w:b/>
          <w:i w:val="0"/>
          <w:color w:val="B88A3C"/>
          <w:sz w:val="20"/>
        </w:rPr>
        <w:t>'Media Material' definition</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Amendment type</w:t>
            </w:r>
          </w:p>
        </w:tc>
        <w:tc>
          <w:tcPr>
            <w:tcW w:type="dxa" w:w="7484"/>
          </w:tcPr>
          <w:p>
            <w:pPr>
              <w:spacing w:after="20" w:before="0"/>
            </w:pPr>
            <w:r/>
            <w:r>
              <w:rPr>
                <w:rFonts w:ascii="Lato" w:hAnsi="Lato" w:cs="Lato"/>
                <w:b w:val="0"/>
                <w:i w:val="0"/>
                <w:color w:val="2B2F33"/>
                <w:sz w:val="17"/>
              </w:rPr>
              <w:t>Definition amendment</w:t>
            </w:r>
          </w:p>
        </w:tc>
      </w:tr>
      <w:tr>
        <w:tc>
          <w:tcPr>
            <w:tcW w:type="dxa" w:w="2381"/>
            <w:shd w:val="clear" w:color="auto" w:fill="EAF1F5"/>
          </w:tcPr>
          <w:p>
            <w:pPr>
              <w:spacing w:after="20" w:before="0"/>
            </w:pPr>
            <w:r/>
            <w:r>
              <w:rPr>
                <w:rFonts w:ascii="Lato" w:hAnsi="Lato" w:cs="Lato"/>
                <w:b/>
                <w:i w:val="0"/>
                <w:color w:val="00648B"/>
                <w:sz w:val="17"/>
              </w:rPr>
              <w:t>Exact location for insertion</w:t>
            </w:r>
          </w:p>
        </w:tc>
        <w:tc>
          <w:tcPr>
            <w:tcW w:type="dxa" w:w="7484"/>
          </w:tcPr>
          <w:p>
            <w:pPr>
              <w:spacing w:after="20" w:before="0"/>
            </w:pPr>
            <w:r/>
            <w:r>
              <w:rPr>
                <w:rFonts w:ascii="Lato" w:hAnsi="Lato" w:cs="Lato"/>
                <w:b w:val="0"/>
                <w:i w:val="0"/>
                <w:color w:val="2B2F33"/>
                <w:sz w:val="17"/>
              </w:rPr>
              <w:t>General Definitions or Section 12 Definitions (p.73+).</w:t>
            </w:r>
          </w:p>
        </w:tc>
      </w:tr>
      <w:tr>
        <w:tc>
          <w:tcPr>
            <w:tcW w:type="dxa" w:w="2381"/>
            <w:shd w:val="clear" w:color="auto" w:fill="EAF1F5"/>
          </w:tcPr>
          <w:p>
            <w:pPr>
              <w:spacing w:after="20" w:before="0"/>
            </w:pPr>
            <w:r/>
            <w:r>
              <w:rPr>
                <w:rFonts w:ascii="Lato" w:hAnsi="Lato" w:cs="Lato"/>
                <w:b/>
                <w:i w:val="0"/>
                <w:color w:val="00648B"/>
                <w:sz w:val="17"/>
              </w:rPr>
              <w:t>Copy-paste-ready upgrade wording</w:t>
            </w:r>
          </w:p>
        </w:tc>
        <w:tc>
          <w:tcPr>
            <w:tcW w:type="dxa" w:w="7484"/>
          </w:tcPr>
          <w:p>
            <w:pPr>
              <w:spacing w:after="20" w:before="0"/>
            </w:pPr>
            <w:r/>
            <w:r>
              <w:rPr>
                <w:rFonts w:ascii="Lato" w:hAnsi="Lato" w:cs="Lato"/>
                <w:b w:val="0"/>
                <w:i w:val="0"/>
                <w:color w:val="2B2F33"/>
                <w:sz w:val="17"/>
              </w:rPr>
              <w:t>Media Material (Definition) — 'Media Material means any data, text, sounds, images, advertising, film, video, audio, broadcast, publication, website or other content created, produced, published, distributed, broadcast or disseminated by or on behalf of the Insured in the course of the Business.'</w:t>
            </w:r>
          </w:p>
        </w:tc>
      </w:tr>
      <w:tr>
        <w:tc>
          <w:tcPr>
            <w:tcW w:type="dxa" w:w="2381"/>
            <w:shd w:val="clear" w:color="auto" w:fill="EAF1F5"/>
          </w:tcPr>
          <w:p>
            <w:pPr>
              <w:spacing w:after="20" w:before="0"/>
            </w:pPr>
            <w:r/>
            <w:r>
              <w:rPr>
                <w:rFonts w:ascii="Lato" w:hAnsi="Lato" w:cs="Lato"/>
                <w:b/>
                <w:i w:val="0"/>
                <w:color w:val="00648B"/>
                <w:sz w:val="17"/>
              </w:rPr>
              <w:t>Rationale &amp; competitor support</w:t>
            </w:r>
          </w:p>
        </w:tc>
        <w:tc>
          <w:tcPr>
            <w:tcW w:type="dxa" w:w="7484"/>
          </w:tcPr>
          <w:p>
            <w:pPr>
              <w:spacing w:after="20" w:before="0"/>
            </w:pPr>
            <w:r/>
            <w:r>
              <w:rPr>
                <w:rFonts w:ascii="Lato" w:hAnsi="Lato" w:cs="Lato"/>
                <w:b w:val="0"/>
                <w:i w:val="0"/>
                <w:color w:val="2B2F33"/>
                <w:sz w:val="17"/>
              </w:rPr>
              <w:t>Tysers defines 'Media Material'. Sharpens the subject-matter of Section 12 cover; drafting clarity only.</w:t>
            </w:r>
          </w:p>
        </w:tc>
      </w:tr>
      <w:tr>
        <w:tc>
          <w:tcPr>
            <w:tcW w:type="dxa" w:w="2381"/>
            <w:shd w:val="clear" w:color="auto" w:fill="EAF1F5"/>
          </w:tcPr>
          <w:p>
            <w:pPr>
              <w:spacing w:after="20" w:before="0"/>
            </w:pPr>
            <w:r/>
            <w:r>
              <w:rPr>
                <w:rFonts w:ascii="Lato" w:hAnsi="Lato" w:cs="Lato"/>
                <w:b/>
                <w:i w:val="0"/>
                <w:color w:val="00648B"/>
                <w:sz w:val="17"/>
              </w:rPr>
              <w:t>Sign-off note</w:t>
            </w:r>
          </w:p>
        </w:tc>
        <w:tc>
          <w:tcPr>
            <w:tcW w:type="dxa" w:w="7484"/>
          </w:tcPr>
          <w:p>
            <w:pPr>
              <w:spacing w:after="20" w:before="0"/>
            </w:pPr>
            <w:r/>
            <w:r>
              <w:rPr>
                <w:rFonts w:ascii="Lato" w:hAnsi="Lato" w:cs="Lato"/>
                <w:b w:val="0"/>
                <w:i w:val="0"/>
                <w:color w:val="2B2F33"/>
                <w:sz w:val="17"/>
              </w:rPr>
              <w:t>Legal (drafting polish).  —  REQUIRED before adoption; do not treat as final.</w:t>
            </w:r>
          </w:p>
        </w:tc>
      </w:tr>
    </w:tbl>
    <w:p>
      <w:pPr>
        <w:spacing w:after="160"/>
      </w:pPr>
    </w:p>
    <w:p>
      <w:pPr>
        <w:keepNext/>
        <w:spacing w:before="120" w:after="20"/>
      </w:pPr>
      <w:r>
        <w:rPr>
          <w:rFonts w:ascii="Lato" w:hAnsi="Lato" w:cs="Lato"/>
          <w:b/>
          <w:i w:val="0"/>
          <w:color w:val="B88A3C"/>
          <w:sz w:val="20"/>
        </w:rPr>
        <w:t>Reputation Management / Withdrawal of Content — optional uplift</w:t>
      </w:r>
    </w:p>
    <w:tbl>
      <w:tblPr>
        <w:tblW w:type="dxa" w:w="9866"/>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7484"/>
      </w:tblGrid>
      <w:tr>
        <w:tc>
          <w:tcPr>
            <w:tcW w:type="dxa" w:w="2381"/>
            <w:shd w:val="clear" w:color="auto" w:fill="EAF1F5"/>
          </w:tcPr>
          <w:p>
            <w:pPr>
              <w:spacing w:after="20" w:before="0"/>
            </w:pPr>
            <w:r/>
            <w:r>
              <w:rPr>
                <w:rFonts w:ascii="Lato" w:hAnsi="Lato" w:cs="Lato"/>
                <w:b/>
                <w:i w:val="0"/>
                <w:color w:val="00648B"/>
                <w:sz w:val="17"/>
              </w:rPr>
              <w:t>Amendment type</w:t>
            </w:r>
          </w:p>
        </w:tc>
        <w:tc>
          <w:tcPr>
            <w:tcW w:type="dxa" w:w="7484"/>
          </w:tcPr>
          <w:p>
            <w:pPr>
              <w:spacing w:after="20" w:before="0"/>
            </w:pPr>
            <w:r/>
            <w:r>
              <w:rPr>
                <w:rFonts w:ascii="Lato" w:hAnsi="Lato" w:cs="Lato"/>
                <w:b w:val="0"/>
                <w:i w:val="0"/>
                <w:color w:val="2B2F33"/>
                <w:sz w:val="17"/>
              </w:rPr>
              <w:t>Limit uplift / optional trigger amendment</w:t>
            </w:r>
          </w:p>
        </w:tc>
      </w:tr>
      <w:tr>
        <w:tc>
          <w:tcPr>
            <w:tcW w:type="dxa" w:w="2381"/>
            <w:shd w:val="clear" w:color="auto" w:fill="EAF1F5"/>
          </w:tcPr>
          <w:p>
            <w:pPr>
              <w:spacing w:after="20" w:before="0"/>
            </w:pPr>
            <w:r/>
            <w:r>
              <w:rPr>
                <w:rFonts w:ascii="Lato" w:hAnsi="Lato" w:cs="Lato"/>
                <w:b/>
                <w:i w:val="0"/>
                <w:color w:val="00648B"/>
                <w:sz w:val="17"/>
              </w:rPr>
              <w:t>Exact location for insertion</w:t>
            </w:r>
          </w:p>
        </w:tc>
        <w:tc>
          <w:tcPr>
            <w:tcW w:type="dxa" w:w="7484"/>
          </w:tcPr>
          <w:p>
            <w:pPr>
              <w:spacing w:after="20" w:before="0"/>
            </w:pPr>
            <w:r/>
            <w:r>
              <w:rPr>
                <w:rFonts w:ascii="Lato" w:hAnsi="Lato" w:cs="Lato"/>
                <w:b w:val="0"/>
                <w:i w:val="0"/>
                <w:color w:val="2B2F33"/>
                <w:sz w:val="17"/>
              </w:rPr>
              <w:t>Section 12 — existing 'Reputation Management' and 'Withdrawal of Content' clauses (p.73+).</w:t>
            </w:r>
          </w:p>
        </w:tc>
      </w:tr>
      <w:tr>
        <w:tc>
          <w:tcPr>
            <w:tcW w:type="dxa" w:w="2381"/>
            <w:shd w:val="clear" w:color="auto" w:fill="EAF1F5"/>
          </w:tcPr>
          <w:p>
            <w:pPr>
              <w:spacing w:after="20" w:before="0"/>
            </w:pPr>
            <w:r/>
            <w:r>
              <w:rPr>
                <w:rFonts w:ascii="Lato" w:hAnsi="Lato" w:cs="Lato"/>
                <w:b/>
                <w:i w:val="0"/>
                <w:color w:val="00648B"/>
                <w:sz w:val="17"/>
              </w:rPr>
              <w:t>Copy-paste-ready upgrade wording</w:t>
            </w:r>
          </w:p>
        </w:tc>
        <w:tc>
          <w:tcPr>
            <w:tcW w:type="dxa" w:w="7484"/>
          </w:tcPr>
          <w:p>
            <w:pPr>
              <w:spacing w:after="20" w:before="0"/>
            </w:pPr>
            <w:r/>
            <w:r>
              <w:rPr>
                <w:rFonts w:ascii="Lato" w:hAnsi="Lato" w:cs="Lato"/>
                <w:b w:val="0"/>
                <w:i w:val="0"/>
                <w:color w:val="2B2F33"/>
                <w:sz w:val="17"/>
              </w:rPr>
              <w:t>(Optional uplift) — The Reputation Management and Withdrawal of Content sub-limits stated in this Section (each GBP 250,000) may, where stated in the Schedule, be increased; and/or a first-party reputational-harm trigger may be added so that reputation-management costs are available following an insured event even where no third-party claim has yet been made.</w:t>
            </w:r>
          </w:p>
        </w:tc>
      </w:tr>
      <w:tr>
        <w:tc>
          <w:tcPr>
            <w:tcW w:type="dxa" w:w="2381"/>
            <w:shd w:val="clear" w:color="auto" w:fill="EAF1F5"/>
          </w:tcPr>
          <w:p>
            <w:pPr>
              <w:spacing w:after="20" w:before="0"/>
            </w:pPr>
            <w:r/>
            <w:r>
              <w:rPr>
                <w:rFonts w:ascii="Lato" w:hAnsi="Lato" w:cs="Lato"/>
                <w:b/>
                <w:i w:val="0"/>
                <w:color w:val="00648B"/>
                <w:sz w:val="17"/>
              </w:rPr>
              <w:t>Rationale &amp; competitor support</w:t>
            </w:r>
          </w:p>
        </w:tc>
        <w:tc>
          <w:tcPr>
            <w:tcW w:type="dxa" w:w="7484"/>
          </w:tcPr>
          <w:p>
            <w:pPr>
              <w:spacing w:after="20" w:before="0"/>
            </w:pPr>
            <w:r/>
            <w:r>
              <w:rPr>
                <w:rFonts w:ascii="Lato" w:hAnsi="Lato" w:cs="Lato"/>
                <w:b w:val="0"/>
                <w:i w:val="0"/>
                <w:color w:val="2B2F33"/>
                <w:sz w:val="17"/>
              </w:rPr>
              <w:t>TMHCC ALREADY provides Reputation Management (GBP 250k) and Withdrawal of Content (GBP 250k) — matching Yutree’s reputation-management/withdrawal covers. This is an optional positioning uplift only, not new cover.</w:t>
            </w:r>
          </w:p>
        </w:tc>
      </w:tr>
      <w:tr>
        <w:tc>
          <w:tcPr>
            <w:tcW w:type="dxa" w:w="2381"/>
            <w:shd w:val="clear" w:color="auto" w:fill="EAF1F5"/>
          </w:tcPr>
          <w:p>
            <w:pPr>
              <w:spacing w:after="20" w:before="0"/>
            </w:pPr>
            <w:r/>
            <w:r>
              <w:rPr>
                <w:rFonts w:ascii="Lato" w:hAnsi="Lato" w:cs="Lato"/>
                <w:b/>
                <w:i w:val="0"/>
                <w:color w:val="00648B"/>
                <w:sz w:val="17"/>
              </w:rPr>
              <w:t>Sign-off note</w:t>
            </w:r>
          </w:p>
        </w:tc>
        <w:tc>
          <w:tcPr>
            <w:tcW w:type="dxa" w:w="7484"/>
          </w:tcPr>
          <w:p>
            <w:pPr>
              <w:spacing w:after="20" w:before="0"/>
            </w:pPr>
            <w:r/>
            <w:r>
              <w:rPr>
                <w:rFonts w:ascii="Lato" w:hAnsi="Lato" w:cs="Lato"/>
                <w:b w:val="0"/>
                <w:i w:val="0"/>
                <w:color w:val="2B2F33"/>
                <w:sz w:val="17"/>
              </w:rPr>
              <w:t>Legal + underwriting (limit/trigger change).  —  REQUIRED before adoption; do not treat as final.</w:t>
            </w:r>
          </w:p>
        </w:tc>
      </w:tr>
    </w:tbl>
    <w:p>
      <w:pPr>
        <w:spacing w:after="160"/>
      </w:pPr>
    </w:p>
    <w:tbl>
      <w:tblPr>
        <w:tblW w:type="pct" w:w="5000"/>
        <w:tblLayout w:type="fixed"/>
        <w:tblLook w:firstColumn="1" w:firstRow="1" w:lastColumn="0" w:lastRow="0" w:noHBand="0" w:noVBand="1" w:val="04A0"/>
      </w:tblPr>
      <w:tblGrid>
        <w:gridCol w:w="9978"/>
      </w:tblGrid>
      <w:tr>
        <w:tc>
          <w:tcPr>
            <w:tcW w:type="dxa" w:w="9978"/>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Section 12 control:  </w:t>
            </w:r>
            <w:r>
              <w:rPr>
                <w:rFonts w:ascii="Lato" w:hAnsi="Lato" w:cs="Lato"/>
                <w:b w:val="0"/>
                <w:i w:val="0"/>
                <w:color w:val="2B2F33"/>
                <w:sz w:val="19"/>
              </w:rPr>
              <w:t>All Section 12 Media Liability amendments require legal/underwriting sign-off and are held here only. They do not appear in the tracked-changes wording or the clean final wording.</w:t>
            </w:r>
          </w:p>
        </w:tc>
      </w:tr>
    </w:tbl>
    <w:p>
      <w:pPr>
        <w:spacing w:after="80"/>
      </w:pPr>
    </w:p>
    <w:p>
      <w:r>
        <w:br w:type="page"/>
      </w:r>
    </w:p>
    <w:p>
      <w:pPr>
        <w:keepNext/>
        <w:spacing w:before="280" w:after="40"/>
        <w:pBdr>
          <w:bottom w:val="single" w:sz="8" w:space="2" w:color="B88A3C"/>
        </w:pBdr>
      </w:pPr>
      <w:r>
        <w:rPr>
          <w:rFonts w:ascii="Lato" w:hAnsi="Lato" w:cs="Lato"/>
          <w:b/>
          <w:i w:val="0"/>
          <w:color w:val="B88A3C"/>
          <w:sz w:val="30"/>
        </w:rPr>
        <w:t xml:space="preserve">10  </w:t>
      </w:r>
      <w:r>
        <w:rPr>
          <w:rFonts w:ascii="Lato" w:hAnsi="Lato" w:cs="Lato"/>
          <w:b/>
          <w:i w:val="0"/>
          <w:color w:val="00648B"/>
          <w:sz w:val="30"/>
        </w:rPr>
        <w:t>Underwriting risk assessment</w:t>
      </w:r>
    </w:p>
    <w:tbl>
      <w:tblPr>
        <w:tblW w:type="dxa" w:w="10093"/>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3402"/>
        <w:gridCol w:w="1361"/>
        <w:gridCol w:w="3629"/>
        <w:gridCol w:w="1701"/>
      </w:tblGrid>
      <w:tr>
        <w:tc>
          <w:tcPr>
            <w:tcW w:type="dxa" w:w="3402"/>
            <w:shd w:val="clear" w:color="auto" w:fill="00648B"/>
          </w:tcPr>
          <w:p>
            <w:pPr>
              <w:spacing w:after="20" w:before="0"/>
              <w:jc w:val="center"/>
            </w:pPr>
            <w:r/>
            <w:r>
              <w:rPr>
                <w:rFonts w:ascii="Lato" w:hAnsi="Lato" w:cs="Lato"/>
                <w:b/>
                <w:i w:val="0"/>
                <w:color w:val="FFFFFF"/>
                <w:sz w:val="17"/>
              </w:rPr>
              <w:t>Recommendation</w:t>
            </w:r>
          </w:p>
        </w:tc>
        <w:tc>
          <w:tcPr>
            <w:tcW w:type="dxa" w:w="1361"/>
            <w:shd w:val="clear" w:color="auto" w:fill="00648B"/>
          </w:tcPr>
          <w:p>
            <w:pPr>
              <w:spacing w:after="20" w:before="0"/>
              <w:jc w:val="center"/>
            </w:pPr>
            <w:r/>
            <w:r>
              <w:rPr>
                <w:rFonts w:ascii="Lato" w:hAnsi="Lato" w:cs="Lato"/>
                <w:b/>
                <w:i w:val="0"/>
                <w:color w:val="FFFFFF"/>
                <w:sz w:val="17"/>
              </w:rPr>
              <w:t>UW risk</w:t>
            </w:r>
          </w:p>
        </w:tc>
        <w:tc>
          <w:tcPr>
            <w:tcW w:type="dxa" w:w="3628"/>
            <w:shd w:val="clear" w:color="auto" w:fill="00648B"/>
          </w:tcPr>
          <w:p>
            <w:pPr>
              <w:spacing w:after="20" w:before="0"/>
              <w:jc w:val="center"/>
            </w:pPr>
            <w:r/>
            <w:r>
              <w:rPr>
                <w:rFonts w:ascii="Lato" w:hAnsi="Lato" w:cs="Lato"/>
                <w:b/>
                <w:i w:val="0"/>
                <w:color w:val="FFFFFF"/>
                <w:sz w:val="17"/>
              </w:rPr>
              <w:t>Control / stance</w:t>
            </w:r>
          </w:p>
        </w:tc>
        <w:tc>
          <w:tcPr>
            <w:tcW w:type="dxa" w:w="1701"/>
            <w:shd w:val="clear" w:color="auto" w:fill="00648B"/>
          </w:tcPr>
          <w:p>
            <w:pPr>
              <w:spacing w:after="20" w:before="0"/>
              <w:jc w:val="center"/>
            </w:pPr>
            <w:r/>
            <w:r>
              <w:rPr>
                <w:rFonts w:ascii="Lato" w:hAnsi="Lato" w:cs="Lato"/>
                <w:b/>
                <w:i w:val="0"/>
                <w:color w:val="FFFFFF"/>
                <w:sz w:val="17"/>
              </w:rPr>
              <w:t>Verdict</w:t>
            </w:r>
          </w:p>
        </w:tc>
      </w:tr>
      <w:tr>
        <w:tc>
          <w:tcPr>
            <w:tcW w:type="dxa" w:w="3402"/>
          </w:tcPr>
          <w:p>
            <w:pPr>
              <w:spacing w:after="20" w:before="0"/>
            </w:pPr>
            <w:r/>
            <w:r>
              <w:rPr>
                <w:rFonts w:ascii="Lato" w:hAnsi="Lato" w:cs="Lato"/>
                <w:b/>
                <w:i w:val="0"/>
                <w:color w:val="00648B"/>
                <w:sz w:val="16"/>
              </w:rPr>
              <w:t>Personal Accident &amp; Business Travel</w:t>
            </w:r>
          </w:p>
        </w:tc>
        <w:tc>
          <w:tcPr>
            <w:tcW w:type="dxa" w:w="1361"/>
          </w:tcPr>
          <w:p>
            <w:pPr>
              <w:spacing w:after="20" w:before="0"/>
              <w:jc w:val="center"/>
            </w:pPr>
            <w:r/>
            <w:r>
              <w:rPr>
                <w:rFonts w:ascii="Lato" w:hAnsi="Lato" w:cs="Lato"/>
                <w:b w:val="0"/>
                <w:i w:val="0"/>
                <w:color w:val="2B2F33"/>
                <w:sz w:val="16"/>
              </w:rPr>
              <w:t>Medium</w:t>
            </w:r>
          </w:p>
        </w:tc>
        <w:tc>
          <w:tcPr>
            <w:tcW w:type="dxa" w:w="3629"/>
          </w:tcPr>
          <w:p>
            <w:pPr>
              <w:spacing w:after="20" w:before="0"/>
            </w:pPr>
            <w:r/>
            <w:r>
              <w:rPr>
                <w:rFonts w:ascii="Lato" w:hAnsi="Lato" w:cs="Lato"/>
                <w:b w:val="0"/>
                <w:i w:val="0"/>
                <w:color w:val="2B2F33"/>
                <w:sz w:val="16"/>
              </w:rPr>
              <w:t>Benefit schedule, age limits, hazardous-activity carve-outs</w:t>
            </w:r>
          </w:p>
        </w:tc>
        <w:tc>
          <w:tcPr>
            <w:tcW w:type="dxa" w:w="1701"/>
          </w:tcPr>
          <w:p>
            <w:pPr>
              <w:spacing w:after="20" w:before="0"/>
            </w:pPr>
            <w:r/>
            <w:r>
              <w:rPr>
                <w:rFonts w:ascii="Lato" w:hAnsi="Lato" w:cs="Lato"/>
                <w:b/>
                <w:i w:val="0"/>
                <w:color w:val="2B2F33"/>
                <w:sz w:val="16"/>
              </w:rPr>
              <w:t>Adopt (capacity-permitting)</w:t>
            </w:r>
          </w:p>
        </w:tc>
      </w:tr>
      <w:tr>
        <w:tc>
          <w:tcPr>
            <w:tcW w:type="dxa" w:w="3402"/>
            <w:shd w:val="clear" w:color="auto" w:fill="F4F7F9"/>
          </w:tcPr>
          <w:p>
            <w:pPr>
              <w:spacing w:after="20" w:before="0"/>
            </w:pPr>
            <w:r/>
            <w:r>
              <w:rPr>
                <w:rFonts w:ascii="Lato" w:hAnsi="Lato" w:cs="Lato"/>
                <w:b/>
                <w:i w:val="0"/>
                <w:color w:val="00648B"/>
                <w:sz w:val="16"/>
              </w:rPr>
              <w:t>Worldwide / US-Canada PI option</w:t>
            </w:r>
          </w:p>
        </w:tc>
        <w:tc>
          <w:tcPr>
            <w:tcW w:type="dxa" w:w="1361"/>
            <w:shd w:val="clear" w:color="auto" w:fill="F4F7F9"/>
          </w:tcPr>
          <w:p>
            <w:pPr>
              <w:spacing w:after="20" w:before="0"/>
              <w:jc w:val="center"/>
            </w:pPr>
            <w:r/>
            <w:r>
              <w:rPr>
                <w:rFonts w:ascii="Lato" w:hAnsi="Lato" w:cs="Lato"/>
                <w:b w:val="0"/>
                <w:i w:val="0"/>
                <w:color w:val="2B2F33"/>
                <w:sz w:val="16"/>
              </w:rPr>
              <w:t>High (if US/Canada)</w:t>
            </w:r>
          </w:p>
        </w:tc>
        <w:tc>
          <w:tcPr>
            <w:tcW w:type="dxa" w:w="3629"/>
            <w:shd w:val="clear" w:color="auto" w:fill="F4F7F9"/>
          </w:tcPr>
          <w:p>
            <w:pPr>
              <w:spacing w:after="20" w:before="0"/>
            </w:pPr>
            <w:r/>
            <w:r>
              <w:rPr>
                <w:rFonts w:ascii="Lato" w:hAnsi="Lato" w:cs="Lato"/>
                <w:b w:val="0"/>
                <w:i w:val="0"/>
                <w:color w:val="2B2F33"/>
                <w:sz w:val="16"/>
              </w:rPr>
              <w:t>Rated option, sub-limit, higher excess, defence caps; keep ex-US/Canada default</w:t>
            </w:r>
          </w:p>
        </w:tc>
        <w:tc>
          <w:tcPr>
            <w:tcW w:type="dxa" w:w="1701"/>
            <w:shd w:val="clear" w:color="auto" w:fill="F4F7F9"/>
          </w:tcPr>
          <w:p>
            <w:pPr>
              <w:spacing w:after="20" w:before="0"/>
            </w:pPr>
            <w:r/>
            <w:r>
              <w:rPr>
                <w:rFonts w:ascii="Lato" w:hAnsi="Lato" w:cs="Lato"/>
                <w:b/>
                <w:i w:val="0"/>
                <w:color w:val="2B2F33"/>
                <w:sz w:val="16"/>
              </w:rPr>
              <w:t>Adopt as option only</w:t>
            </w:r>
          </w:p>
        </w:tc>
      </w:tr>
      <w:tr>
        <w:tc>
          <w:tcPr>
            <w:tcW w:type="dxa" w:w="3402"/>
          </w:tcPr>
          <w:p>
            <w:pPr>
              <w:spacing w:after="20" w:before="0"/>
            </w:pPr>
            <w:r/>
            <w:r>
              <w:rPr>
                <w:rFonts w:ascii="Lato" w:hAnsi="Lato" w:cs="Lato"/>
                <w:b/>
                <w:i w:val="0"/>
                <w:color w:val="00648B"/>
                <w:sz w:val="16"/>
              </w:rPr>
              <w:t>Distributors &amp; purchasers</w:t>
            </w:r>
          </w:p>
        </w:tc>
        <w:tc>
          <w:tcPr>
            <w:tcW w:type="dxa" w:w="1361"/>
          </w:tcPr>
          <w:p>
            <w:pPr>
              <w:spacing w:after="20" w:before="0"/>
              <w:jc w:val="center"/>
            </w:pPr>
            <w:r/>
            <w:r>
              <w:rPr>
                <w:rFonts w:ascii="Lato" w:hAnsi="Lato" w:cs="Lato"/>
                <w:b w:val="0"/>
                <w:i w:val="0"/>
                <w:color w:val="2B2F33"/>
                <w:sz w:val="16"/>
              </w:rPr>
              <w:t>Medium</w:t>
            </w:r>
          </w:p>
        </w:tc>
        <w:tc>
          <w:tcPr>
            <w:tcW w:type="dxa" w:w="3629"/>
          </w:tcPr>
          <w:p>
            <w:pPr>
              <w:spacing w:after="20" w:before="0"/>
            </w:pPr>
            <w:r/>
            <w:r>
              <w:rPr>
                <w:rFonts w:ascii="Lato" w:hAnsi="Lato" w:cs="Lato"/>
                <w:b w:val="0"/>
                <w:i w:val="0"/>
                <w:color w:val="2B2F33"/>
                <w:sz w:val="16"/>
              </w:rPr>
              <w:t>36-month window, certificate, control of defence, capped aggregate</w:t>
            </w:r>
          </w:p>
        </w:tc>
        <w:tc>
          <w:tcPr>
            <w:tcW w:type="dxa" w:w="1701"/>
          </w:tcPr>
          <w:p>
            <w:pPr>
              <w:spacing w:after="20" w:before="0"/>
            </w:pPr>
            <w:r/>
            <w:r>
              <w:rPr>
                <w:rFonts w:ascii="Lato" w:hAnsi="Lato" w:cs="Lato"/>
                <w:b/>
                <w:i w:val="0"/>
                <w:color w:val="2B2F33"/>
                <w:sz w:val="16"/>
              </w:rPr>
              <w:t>Adopt with controls</w:t>
            </w:r>
          </w:p>
        </w:tc>
      </w:tr>
      <w:tr>
        <w:tc>
          <w:tcPr>
            <w:tcW w:type="dxa" w:w="3402"/>
            <w:shd w:val="clear" w:color="auto" w:fill="F4F7F9"/>
          </w:tcPr>
          <w:p>
            <w:pPr>
              <w:spacing w:after="20" w:before="0"/>
            </w:pPr>
            <w:r/>
            <w:r>
              <w:rPr>
                <w:rFonts w:ascii="Lato" w:hAnsi="Lato" w:cs="Lato"/>
                <w:b/>
                <w:i w:val="0"/>
                <w:color w:val="00648B"/>
                <w:sz w:val="16"/>
              </w:rPr>
              <w:t>Criminal-defence clarity / cross-ref</w:t>
            </w:r>
          </w:p>
        </w:tc>
        <w:tc>
          <w:tcPr>
            <w:tcW w:type="dxa" w:w="1361"/>
            <w:shd w:val="clear" w:color="auto" w:fill="F4F7F9"/>
          </w:tcPr>
          <w:p>
            <w:pPr>
              <w:spacing w:after="20" w:before="0"/>
              <w:jc w:val="center"/>
            </w:pPr>
            <w:r/>
            <w:r>
              <w:rPr>
                <w:rFonts w:ascii="Lato" w:hAnsi="Lato" w:cs="Lato"/>
                <w:b w:val="0"/>
                <w:i w:val="0"/>
                <w:color w:val="2B2F33"/>
                <w:sz w:val="16"/>
              </w:rPr>
              <w:t>Low</w:t>
            </w:r>
          </w:p>
        </w:tc>
        <w:tc>
          <w:tcPr>
            <w:tcW w:type="dxa" w:w="3629"/>
            <w:shd w:val="clear" w:color="auto" w:fill="F4F7F9"/>
          </w:tcPr>
          <w:p>
            <w:pPr>
              <w:spacing w:after="20" w:before="0"/>
            </w:pPr>
            <w:r/>
            <w:r>
              <w:rPr>
                <w:rFonts w:ascii="Lato" w:hAnsi="Lato" w:cs="Lato"/>
                <w:b w:val="0"/>
                <w:i w:val="0"/>
                <w:color w:val="2B2F33"/>
                <w:sz w:val="16"/>
              </w:rPr>
              <w:t>Cross-reference to S13/S14; small S12 sub-limit</w:t>
            </w:r>
          </w:p>
        </w:tc>
        <w:tc>
          <w:tcPr>
            <w:tcW w:type="dxa" w:w="1701"/>
            <w:shd w:val="clear" w:color="auto" w:fill="F4F7F9"/>
          </w:tcPr>
          <w:p>
            <w:pPr>
              <w:spacing w:after="20" w:before="0"/>
            </w:pPr>
            <w:r/>
            <w:r>
              <w:rPr>
                <w:rFonts w:ascii="Lato" w:hAnsi="Lato" w:cs="Lato"/>
                <w:b/>
                <w:i w:val="0"/>
                <w:color w:val="2B2F33"/>
                <w:sz w:val="16"/>
              </w:rPr>
              <w:t>Adopt</w:t>
            </w:r>
          </w:p>
        </w:tc>
      </w:tr>
      <w:tr>
        <w:tc>
          <w:tcPr>
            <w:tcW w:type="dxa" w:w="3402"/>
          </w:tcPr>
          <w:p>
            <w:pPr>
              <w:spacing w:after="20" w:before="0"/>
            </w:pPr>
            <w:r/>
            <w:r>
              <w:rPr>
                <w:rFonts w:ascii="Lato" w:hAnsi="Lato" w:cs="Lato"/>
                <w:b/>
                <w:i w:val="0"/>
                <w:color w:val="00648B"/>
                <w:sz w:val="16"/>
              </w:rPr>
              <w:t>Source-protection costs</w:t>
            </w:r>
          </w:p>
        </w:tc>
        <w:tc>
          <w:tcPr>
            <w:tcW w:type="dxa" w:w="1361"/>
          </w:tcPr>
          <w:p>
            <w:pPr>
              <w:spacing w:after="20" w:before="0"/>
              <w:jc w:val="center"/>
            </w:pPr>
            <w:r/>
            <w:r>
              <w:rPr>
                <w:rFonts w:ascii="Lato" w:hAnsi="Lato" w:cs="Lato"/>
                <w:b w:val="0"/>
                <w:i w:val="0"/>
                <w:color w:val="2B2F33"/>
                <w:sz w:val="16"/>
              </w:rPr>
              <w:t>Low</w:t>
            </w:r>
          </w:p>
        </w:tc>
        <w:tc>
          <w:tcPr>
            <w:tcW w:type="dxa" w:w="3629"/>
          </w:tcPr>
          <w:p>
            <w:pPr>
              <w:spacing w:after="20" w:before="0"/>
            </w:pPr>
            <w:r/>
            <w:r>
              <w:rPr>
                <w:rFonts w:ascii="Lato" w:hAnsi="Lato" w:cs="Lato"/>
                <w:b w:val="0"/>
                <w:i w:val="0"/>
                <w:color w:val="2B2F33"/>
                <w:sz w:val="16"/>
              </w:rPr>
              <w:t>Small sub-limit; prospects test; consent</w:t>
            </w:r>
          </w:p>
        </w:tc>
        <w:tc>
          <w:tcPr>
            <w:tcW w:type="dxa" w:w="1701"/>
          </w:tcPr>
          <w:p>
            <w:pPr>
              <w:spacing w:after="20" w:before="0"/>
            </w:pPr>
            <w:r/>
            <w:r>
              <w:rPr>
                <w:rFonts w:ascii="Lato" w:hAnsi="Lato" w:cs="Lato"/>
                <w:b/>
                <w:i w:val="0"/>
                <w:color w:val="2B2F33"/>
                <w:sz w:val="16"/>
              </w:rPr>
              <w:t>Adopt</w:t>
            </w:r>
          </w:p>
        </w:tc>
      </w:tr>
      <w:tr>
        <w:tc>
          <w:tcPr>
            <w:tcW w:type="dxa" w:w="3402"/>
            <w:shd w:val="clear" w:color="auto" w:fill="F4F7F9"/>
          </w:tcPr>
          <w:p>
            <w:pPr>
              <w:spacing w:after="20" w:before="0"/>
            </w:pPr>
            <w:r/>
            <w:r>
              <w:rPr>
                <w:rFonts w:ascii="Lato" w:hAnsi="Lato" w:cs="Lato"/>
                <w:b/>
                <w:i w:val="0"/>
                <w:color w:val="00648B"/>
                <w:sz w:val="16"/>
              </w:rPr>
              <w:t>Representation costs</w:t>
            </w:r>
          </w:p>
        </w:tc>
        <w:tc>
          <w:tcPr>
            <w:tcW w:type="dxa" w:w="1361"/>
            <w:shd w:val="clear" w:color="auto" w:fill="F4F7F9"/>
          </w:tcPr>
          <w:p>
            <w:pPr>
              <w:spacing w:after="20" w:before="0"/>
              <w:jc w:val="center"/>
            </w:pPr>
            <w:r/>
            <w:r>
              <w:rPr>
                <w:rFonts w:ascii="Lato" w:hAnsi="Lato" w:cs="Lato"/>
                <w:b w:val="0"/>
                <w:i w:val="0"/>
                <w:color w:val="2B2F33"/>
                <w:sz w:val="16"/>
              </w:rPr>
              <w:t>Low</w:t>
            </w:r>
          </w:p>
        </w:tc>
        <w:tc>
          <w:tcPr>
            <w:tcW w:type="dxa" w:w="3629"/>
            <w:shd w:val="clear" w:color="auto" w:fill="F4F7F9"/>
          </w:tcPr>
          <w:p>
            <w:pPr>
              <w:spacing w:after="20" w:before="0"/>
            </w:pPr>
            <w:r/>
            <w:r>
              <w:rPr>
                <w:rFonts w:ascii="Lato" w:hAnsi="Lato" w:cs="Lato"/>
                <w:b w:val="0"/>
                <w:i w:val="0"/>
                <w:color w:val="2B2F33"/>
                <w:sz w:val="16"/>
              </w:rPr>
              <w:t>GBP 25k sub-limit</w:t>
            </w:r>
          </w:p>
        </w:tc>
        <w:tc>
          <w:tcPr>
            <w:tcW w:type="dxa" w:w="1701"/>
            <w:shd w:val="clear" w:color="auto" w:fill="F4F7F9"/>
          </w:tcPr>
          <w:p>
            <w:pPr>
              <w:spacing w:after="20" w:before="0"/>
            </w:pPr>
            <w:r/>
            <w:r>
              <w:rPr>
                <w:rFonts w:ascii="Lato" w:hAnsi="Lato" w:cs="Lato"/>
                <w:b/>
                <w:i w:val="0"/>
                <w:color w:val="2B2F33"/>
                <w:sz w:val="16"/>
              </w:rPr>
              <w:t>Adopt</w:t>
            </w:r>
          </w:p>
        </w:tc>
      </w:tr>
      <w:tr>
        <w:tc>
          <w:tcPr>
            <w:tcW w:type="dxa" w:w="3402"/>
          </w:tcPr>
          <w:p>
            <w:pPr>
              <w:spacing w:after="20" w:before="0"/>
            </w:pPr>
            <w:r/>
            <w:r>
              <w:rPr>
                <w:rFonts w:ascii="Lato" w:hAnsi="Lato" w:cs="Lato"/>
                <w:b/>
                <w:i w:val="0"/>
                <w:color w:val="00648B"/>
                <w:sz w:val="16"/>
              </w:rPr>
              <w:t>Asbestos / pollution PI write-back</w:t>
            </w:r>
          </w:p>
        </w:tc>
        <w:tc>
          <w:tcPr>
            <w:tcW w:type="dxa" w:w="1361"/>
          </w:tcPr>
          <w:p>
            <w:pPr>
              <w:spacing w:after="20" w:before="0"/>
              <w:jc w:val="center"/>
            </w:pPr>
            <w:r/>
            <w:r>
              <w:rPr>
                <w:rFonts w:ascii="Lato" w:hAnsi="Lato" w:cs="Lato"/>
                <w:b w:val="0"/>
                <w:i w:val="0"/>
                <w:color w:val="2B2F33"/>
                <w:sz w:val="16"/>
              </w:rPr>
              <w:t>Medium</w:t>
            </w:r>
          </w:p>
        </w:tc>
        <w:tc>
          <w:tcPr>
            <w:tcW w:type="dxa" w:w="3629"/>
          </w:tcPr>
          <w:p>
            <w:pPr>
              <w:spacing w:after="20" w:before="0"/>
            </w:pPr>
            <w:r/>
            <w:r>
              <w:rPr>
                <w:rFonts w:ascii="Lato" w:hAnsi="Lato" w:cs="Lato"/>
                <w:b w:val="0"/>
                <w:i w:val="0"/>
                <w:color w:val="2B2F33"/>
                <w:sz w:val="16"/>
              </w:rPr>
              <w:t>Negligent-advice only; exclude BI &amp; contamination; tight cap</w:t>
            </w:r>
          </w:p>
        </w:tc>
        <w:tc>
          <w:tcPr>
            <w:tcW w:type="dxa" w:w="1701"/>
          </w:tcPr>
          <w:p>
            <w:pPr>
              <w:spacing w:after="20" w:before="0"/>
            </w:pPr>
            <w:r/>
            <w:r>
              <w:rPr>
                <w:rFonts w:ascii="Lato" w:hAnsi="Lato" w:cs="Lato"/>
                <w:b/>
                <w:i w:val="0"/>
                <w:color w:val="2B2F33"/>
                <w:sz w:val="16"/>
              </w:rPr>
              <w:t>Adopt narrowly</w:t>
            </w:r>
          </w:p>
        </w:tc>
      </w:tr>
      <w:tr>
        <w:tc>
          <w:tcPr>
            <w:tcW w:type="dxa" w:w="3402"/>
            <w:shd w:val="clear" w:color="auto" w:fill="F4F7F9"/>
          </w:tcPr>
          <w:p>
            <w:pPr>
              <w:spacing w:after="20" w:before="0"/>
            </w:pPr>
            <w:r/>
            <w:r>
              <w:rPr>
                <w:rFonts w:ascii="Lato" w:hAnsi="Lato" w:cs="Lato"/>
                <w:b/>
                <w:i w:val="0"/>
                <w:color w:val="00648B"/>
                <w:sz w:val="16"/>
              </w:rPr>
              <w:t>Patents</w:t>
            </w:r>
          </w:p>
        </w:tc>
        <w:tc>
          <w:tcPr>
            <w:tcW w:type="dxa" w:w="1361"/>
            <w:shd w:val="clear" w:color="auto" w:fill="F4F7F9"/>
          </w:tcPr>
          <w:p>
            <w:pPr>
              <w:spacing w:after="20" w:before="0"/>
              <w:jc w:val="center"/>
            </w:pPr>
            <w:r/>
            <w:r>
              <w:rPr>
                <w:rFonts w:ascii="Lato" w:hAnsi="Lato" w:cs="Lato"/>
                <w:b w:val="0"/>
                <w:i w:val="0"/>
                <w:color w:val="2B2F33"/>
                <w:sz w:val="16"/>
              </w:rPr>
              <w:t>High</w:t>
            </w:r>
          </w:p>
        </w:tc>
        <w:tc>
          <w:tcPr>
            <w:tcW w:type="dxa" w:w="3629"/>
            <w:shd w:val="clear" w:color="auto" w:fill="F4F7F9"/>
          </w:tcPr>
          <w:p>
            <w:pPr>
              <w:spacing w:after="20" w:before="0"/>
            </w:pPr>
            <w:r/>
            <w:r>
              <w:rPr>
                <w:rFonts w:ascii="Lato" w:hAnsi="Lato" w:cs="Lato"/>
                <w:b w:val="0"/>
                <w:i w:val="0"/>
                <w:color w:val="2B2F33"/>
                <w:sz w:val="16"/>
              </w:rPr>
              <w:t>Systemic severity</w:t>
            </w:r>
          </w:p>
        </w:tc>
        <w:tc>
          <w:tcPr>
            <w:tcW w:type="dxa" w:w="1701"/>
            <w:shd w:val="clear" w:color="auto" w:fill="F4F7F9"/>
          </w:tcPr>
          <w:p>
            <w:pPr>
              <w:spacing w:after="20" w:before="0"/>
            </w:pPr>
            <w:r/>
            <w:r>
              <w:rPr>
                <w:rFonts w:ascii="Lato" w:hAnsi="Lato" w:cs="Lato"/>
                <w:b/>
                <w:i w:val="0"/>
                <w:color w:val="2B2F33"/>
                <w:sz w:val="16"/>
              </w:rPr>
              <w:t>Leave excluded (defence-costs only at most)</w:t>
            </w:r>
          </w:p>
        </w:tc>
      </w:tr>
      <w:tr>
        <w:tc>
          <w:tcPr>
            <w:tcW w:type="dxa" w:w="3402"/>
          </w:tcPr>
          <w:p>
            <w:pPr>
              <w:spacing w:after="20" w:before="0"/>
            </w:pPr>
            <w:r/>
            <w:r>
              <w:rPr>
                <w:rFonts w:ascii="Lato" w:hAnsi="Lato" w:cs="Lato"/>
                <w:b/>
                <w:i w:val="0"/>
                <w:color w:val="00648B"/>
                <w:sz w:val="16"/>
              </w:rPr>
              <w:t>Communicable disease / US-Canada default</w:t>
            </w:r>
          </w:p>
        </w:tc>
        <w:tc>
          <w:tcPr>
            <w:tcW w:type="dxa" w:w="1361"/>
          </w:tcPr>
          <w:p>
            <w:pPr>
              <w:spacing w:after="20" w:before="0"/>
              <w:jc w:val="center"/>
            </w:pPr>
            <w:r/>
            <w:r>
              <w:rPr>
                <w:rFonts w:ascii="Lato" w:hAnsi="Lato" w:cs="Lato"/>
                <w:b w:val="0"/>
                <w:i w:val="0"/>
                <w:color w:val="2B2F33"/>
                <w:sz w:val="16"/>
              </w:rPr>
              <w:t>High</w:t>
            </w:r>
          </w:p>
        </w:tc>
        <w:tc>
          <w:tcPr>
            <w:tcW w:type="dxa" w:w="3629"/>
          </w:tcPr>
          <w:p>
            <w:pPr>
              <w:spacing w:after="20" w:before="0"/>
            </w:pPr>
            <w:r/>
            <w:r>
              <w:rPr>
                <w:rFonts w:ascii="Lato" w:hAnsi="Lato" w:cs="Lato"/>
                <w:b w:val="0"/>
                <w:i w:val="0"/>
                <w:color w:val="2B2F33"/>
                <w:sz w:val="16"/>
              </w:rPr>
              <w:t>Retain broad exclusion / default territory</w:t>
            </w:r>
          </w:p>
        </w:tc>
        <w:tc>
          <w:tcPr>
            <w:tcW w:type="dxa" w:w="1701"/>
          </w:tcPr>
          <w:p>
            <w:pPr>
              <w:spacing w:after="20" w:before="0"/>
            </w:pPr>
            <w:r/>
            <w:r>
              <w:rPr>
                <w:rFonts w:ascii="Lato" w:hAnsi="Lato" w:cs="Lato"/>
                <w:b/>
                <w:i w:val="0"/>
                <w:color w:val="2B2F33"/>
                <w:sz w:val="16"/>
              </w:rPr>
              <w:t>Leave unchanged</w:t>
            </w:r>
          </w:p>
        </w:tc>
      </w:tr>
    </w:tbl>
    <w:p>
      <w:r>
        <w:br w:type="page"/>
      </w:r>
    </w:p>
    <w:p>
      <w:pPr>
        <w:keepNext/>
        <w:spacing w:before="280" w:after="40"/>
        <w:pBdr>
          <w:bottom w:val="single" w:sz="8" w:space="2" w:color="B88A3C"/>
        </w:pBdr>
      </w:pPr>
      <w:r>
        <w:rPr>
          <w:rFonts w:ascii="Lato" w:hAnsi="Lato" w:cs="Lato"/>
          <w:b/>
          <w:i w:val="0"/>
          <w:color w:val="B88A3C"/>
          <w:sz w:val="30"/>
        </w:rPr>
        <w:t xml:space="preserve">11  </w:t>
      </w:r>
      <w:r>
        <w:rPr>
          <w:rFonts w:ascii="Lato" w:hAnsi="Lato" w:cs="Lato"/>
          <w:b/>
          <w:i w:val="0"/>
          <w:color w:val="00648B"/>
          <w:sz w:val="30"/>
        </w:rPr>
        <w:t>Implementation roadmap</w:t>
      </w:r>
    </w:p>
    <w:p>
      <w:pPr>
        <w:keepNext/>
        <w:spacing w:before="120" w:after="20"/>
      </w:pPr>
      <w:r>
        <w:rPr>
          <w:rFonts w:ascii="Lato" w:hAnsi="Lato" w:cs="Lato"/>
          <w:b/>
          <w:i w:val="0"/>
          <w:color w:val="B88A3C"/>
          <w:sz w:val="20"/>
        </w:rPr>
        <w:t>Phase 1 — Clarifications (nil / low cost)</w:t>
      </w:r>
    </w:p>
    <w:p>
      <w:pPr>
        <w:pStyle w:val="ListBullet"/>
        <w:spacing w:after="40"/>
        <w:ind w:left="340"/>
      </w:pPr>
      <w:r>
        <w:rPr>
          <w:rFonts w:ascii="Lato" w:hAnsi="Lato" w:cs="Lato"/>
          <w:b w:val="0"/>
          <w:i w:val="0"/>
          <w:color w:val="2B2F33"/>
          <w:sz w:val="19"/>
        </w:rPr>
        <w:t>Cross-reference criminal/regulatory defence to S13/S14.</w:t>
      </w:r>
    </w:p>
    <w:p>
      <w:pPr>
        <w:pStyle w:val="ListBullet"/>
        <w:spacing w:after="40"/>
        <w:ind w:left="340"/>
      </w:pPr>
      <w:r>
        <w:rPr>
          <w:rFonts w:ascii="Lato" w:hAnsi="Lato" w:cs="Lato"/>
          <w:b w:val="0"/>
          <w:i w:val="0"/>
          <w:color w:val="2B2F33"/>
          <w:sz w:val="19"/>
        </w:rPr>
        <w:t>Signpost computer/IT breakdown within S1/S2.</w:t>
      </w:r>
    </w:p>
    <w:p>
      <w:pPr>
        <w:pStyle w:val="ListBullet"/>
        <w:spacing w:after="40"/>
        <w:ind w:left="340"/>
      </w:pPr>
      <w:r>
        <w:rPr>
          <w:rFonts w:ascii="Lato" w:hAnsi="Lato" w:cs="Lato"/>
          <w:b w:val="0"/>
          <w:i w:val="0"/>
          <w:color w:val="2B2F33"/>
          <w:sz w:val="19"/>
        </w:rPr>
        <w:t>Name ICOW/AICOW and book-debts heads expressly in S3.</w:t>
      </w:r>
    </w:p>
    <w:p>
      <w:pPr>
        <w:pStyle w:val="ListBullet"/>
        <w:spacing w:after="40"/>
        <w:ind w:left="340"/>
      </w:pPr>
      <w:r>
        <w:rPr>
          <w:rFonts w:ascii="Lato" w:hAnsi="Lato" w:cs="Lato"/>
          <w:b w:val="0"/>
          <w:i w:val="0"/>
          <w:color w:val="2B2F33"/>
          <w:sz w:val="19"/>
        </w:rPr>
        <w:t>Add ‘Media Material’ definition; align cyber definitions.</w:t>
      </w:r>
    </w:p>
    <w:p>
      <w:pPr>
        <w:spacing w:after="40"/>
      </w:pPr>
    </w:p>
    <w:p>
      <w:pPr>
        <w:keepNext/>
        <w:spacing w:before="120" w:after="20"/>
      </w:pPr>
      <w:r>
        <w:rPr>
          <w:rFonts w:ascii="Lato" w:hAnsi="Lato" w:cs="Lato"/>
          <w:b/>
          <w:i w:val="0"/>
          <w:color w:val="B88A3C"/>
          <w:sz w:val="20"/>
        </w:rPr>
        <w:t>Phase 2 — Sub-limited extensions (low risk)</w:t>
      </w:r>
    </w:p>
    <w:p>
      <w:pPr>
        <w:pStyle w:val="ListBullet"/>
        <w:spacing w:after="40"/>
        <w:ind w:left="340"/>
      </w:pPr>
      <w:r>
        <w:rPr>
          <w:rFonts w:ascii="Lato" w:hAnsi="Lato" w:cs="Lato"/>
          <w:b w:val="0"/>
          <w:i w:val="0"/>
          <w:color w:val="2B2F33"/>
          <w:sz w:val="19"/>
        </w:rPr>
        <w:t>Add representation-costs (GBP 25k) and source-protection costs to S12.</w:t>
      </w:r>
    </w:p>
    <w:p>
      <w:pPr>
        <w:pStyle w:val="ListBullet"/>
        <w:spacing w:after="40"/>
        <w:ind w:left="340"/>
      </w:pPr>
      <w:r>
        <w:rPr>
          <w:rFonts w:ascii="Lato" w:hAnsi="Lato" w:cs="Lato"/>
          <w:b w:val="0"/>
          <w:i w:val="0"/>
          <w:color w:val="2B2F33"/>
          <w:sz w:val="19"/>
        </w:rPr>
        <w:t>Adopt the King’s Counsel dispute-resolution clause.</w:t>
      </w:r>
    </w:p>
    <w:p>
      <w:pPr>
        <w:pStyle w:val="ListBullet"/>
        <w:spacing w:after="40"/>
        <w:ind w:left="340"/>
      </w:pPr>
      <w:r>
        <w:rPr>
          <w:rFonts w:ascii="Lato" w:hAnsi="Lato" w:cs="Lato"/>
          <w:b w:val="0"/>
          <w:i w:val="0"/>
          <w:color w:val="2B2F33"/>
          <w:sz w:val="19"/>
        </w:rPr>
        <w:t>Confirm explicit loss-of-documents sub-limit.</w:t>
      </w:r>
    </w:p>
    <w:p>
      <w:pPr>
        <w:spacing w:after="40"/>
      </w:pPr>
    </w:p>
    <w:p>
      <w:pPr>
        <w:keepNext/>
        <w:spacing w:before="120" w:after="20"/>
      </w:pPr>
      <w:r>
        <w:rPr>
          <w:rFonts w:ascii="Lato" w:hAnsi="Lato" w:cs="Lato"/>
          <w:b/>
          <w:i w:val="0"/>
          <w:color w:val="B88A3C"/>
          <w:sz w:val="20"/>
        </w:rPr>
        <w:t>Phase 3 — Rated options &amp; new cover (priced)</w:t>
      </w:r>
    </w:p>
    <w:p>
      <w:pPr>
        <w:pStyle w:val="ListBullet"/>
        <w:spacing w:after="40"/>
        <w:ind w:left="340"/>
      </w:pPr>
      <w:r>
        <w:rPr>
          <w:rFonts w:ascii="Lato" w:hAnsi="Lato" w:cs="Lato"/>
          <w:b w:val="0"/>
          <w:i w:val="0"/>
          <w:color w:val="2B2F33"/>
          <w:sz w:val="19"/>
        </w:rPr>
        <w:t>Add Personal Accident &amp; Business Travel option.</w:t>
      </w:r>
    </w:p>
    <w:p>
      <w:pPr>
        <w:pStyle w:val="ListBullet"/>
        <w:spacing w:after="40"/>
        <w:ind w:left="340"/>
      </w:pPr>
      <w:r>
        <w:rPr>
          <w:rFonts w:ascii="Lato" w:hAnsi="Lato" w:cs="Lato"/>
          <w:b w:val="0"/>
          <w:i w:val="0"/>
          <w:color w:val="2B2F33"/>
          <w:sz w:val="19"/>
        </w:rPr>
        <w:t>Add rated worldwide / US-Canada PI territory option.</w:t>
      </w:r>
    </w:p>
    <w:p>
      <w:pPr>
        <w:pStyle w:val="ListBullet"/>
        <w:spacing w:after="40"/>
        <w:ind w:left="340"/>
      </w:pPr>
      <w:r>
        <w:rPr>
          <w:rFonts w:ascii="Lato" w:hAnsi="Lato" w:cs="Lato"/>
          <w:b w:val="0"/>
          <w:i w:val="0"/>
          <w:color w:val="2B2F33"/>
          <w:sz w:val="19"/>
        </w:rPr>
        <w:t>Add Distributors &amp; Purchasers extension with capped aggregate.</w:t>
      </w:r>
    </w:p>
    <w:p>
      <w:pPr>
        <w:pStyle w:val="ListBullet"/>
        <w:spacing w:after="40"/>
        <w:ind w:left="340"/>
      </w:pPr>
      <w:r>
        <w:rPr>
          <w:rFonts w:ascii="Lato" w:hAnsi="Lato" w:cs="Lato"/>
          <w:b w:val="0"/>
          <w:i w:val="0"/>
          <w:color w:val="2B2F33"/>
          <w:sz w:val="19"/>
        </w:rPr>
        <w:t>Consider narrow asbestos / pollution negligent-advice write-backs.</w:t>
      </w:r>
    </w:p>
    <w:p>
      <w:pPr>
        <w:spacing w:after="40"/>
      </w:pPr>
    </w:p>
    <w:p>
      <w:pPr>
        <w:keepNext/>
        <w:spacing w:before="120" w:after="20"/>
      </w:pPr>
      <w:r>
        <w:rPr>
          <w:rFonts w:ascii="Lato" w:hAnsi="Lato" w:cs="Lato"/>
          <w:b/>
          <w:i w:val="0"/>
          <w:color w:val="B88A3C"/>
          <w:sz w:val="20"/>
        </w:rPr>
        <w:t>Phase 4 — Document deliberate restrictions</w:t>
      </w:r>
    </w:p>
    <w:p>
      <w:pPr>
        <w:pStyle w:val="ListBullet"/>
        <w:spacing w:after="40"/>
        <w:ind w:left="340"/>
      </w:pPr>
      <w:r>
        <w:rPr>
          <w:rFonts w:ascii="Lato" w:hAnsi="Lato" w:cs="Lato"/>
          <w:b w:val="0"/>
          <w:i w:val="0"/>
          <w:color w:val="2B2F33"/>
          <w:sz w:val="19"/>
        </w:rPr>
        <w:t>Record the rationale for retaining the patent, communicable-disease and default US/Canada exclusions.</w:t>
      </w:r>
    </w:p>
    <w:p>
      <w:pPr>
        <w:pStyle w:val="ListBullet"/>
        <w:spacing w:after="40"/>
        <w:ind w:left="340"/>
      </w:pPr>
      <w:r>
        <w:rPr>
          <w:rFonts w:ascii="Lato" w:hAnsi="Lato" w:cs="Lato"/>
          <w:b w:val="0"/>
          <w:i w:val="0"/>
          <w:color w:val="2B2F33"/>
          <w:sz w:val="19"/>
        </w:rPr>
        <w:t>Re-issue the comparison if any competitor updates its wording or a further competitor is added.</w:t>
      </w:r>
    </w:p>
    <w:p>
      <w:pPr>
        <w:spacing w:after="40"/>
      </w:pPr>
    </w:p>
    <w:p>
      <w:r>
        <w:br w:type="page"/>
      </w:r>
    </w:p>
    <w:p>
      <w:pPr>
        <w:keepNext/>
        <w:spacing w:before="280" w:after="40"/>
        <w:pBdr>
          <w:bottom w:val="single" w:sz="8" w:space="2" w:color="B88A3C"/>
        </w:pBdr>
      </w:pPr>
      <w:r>
        <w:rPr>
          <w:rFonts w:ascii="Lato" w:hAnsi="Lato" w:cs="Lato"/>
          <w:b/>
          <w:i w:val="0"/>
          <w:color w:val="B88A3C"/>
          <w:sz w:val="30"/>
        </w:rPr>
        <w:t xml:space="preserve">12  </w:t>
      </w:r>
      <w:r>
        <w:rPr>
          <w:rFonts w:ascii="Lato" w:hAnsi="Lato" w:cs="Lato"/>
          <w:b/>
          <w:i w:val="0"/>
          <w:color w:val="00648B"/>
          <w:sz w:val="30"/>
        </w:rPr>
        <w:t>Legal / underwriting sign-off notes</w:t>
      </w:r>
    </w:p>
    <w:p>
      <w:pPr>
        <w:pStyle w:val="ListBullet"/>
        <w:spacing w:after="40"/>
        <w:ind w:left="340"/>
      </w:pPr>
      <w:r>
        <w:rPr>
          <w:rFonts w:ascii="Lato" w:hAnsi="Lato" w:cs="Lato"/>
          <w:b w:val="0"/>
          <w:i w:val="0"/>
          <w:color w:val="2B2F33"/>
          <w:sz w:val="19"/>
        </w:rPr>
        <w:t>All recommendations are commercial proposals and require TMHCC legal and underwriting approval before adoption.</w:t>
      </w:r>
    </w:p>
    <w:p>
      <w:pPr>
        <w:pStyle w:val="ListBullet"/>
        <w:spacing w:after="40"/>
        <w:ind w:left="340"/>
      </w:pPr>
      <w:r>
        <w:rPr>
          <w:rFonts w:ascii="Lato" w:hAnsi="Lato" w:cs="Lato"/>
          <w:b w:val="0"/>
          <w:i w:val="0"/>
          <w:color w:val="2B2F33"/>
          <w:sz w:val="19"/>
        </w:rPr>
        <w:t>Any write-back must be drafted to preserve the existing exclusion’s intent (especially bodily injury, contamination and systemic risk).</w:t>
      </w:r>
    </w:p>
    <w:p>
      <w:pPr>
        <w:pStyle w:val="ListBullet"/>
        <w:spacing w:after="40"/>
        <w:ind w:left="340"/>
      </w:pPr>
      <w:r>
        <w:rPr>
          <w:rFonts w:ascii="Lato" w:hAnsi="Lato" w:cs="Lato"/>
          <w:b w:val="0"/>
          <w:i w:val="0"/>
          <w:color w:val="2B2F33"/>
          <w:sz w:val="19"/>
        </w:rPr>
        <w:t>Rated options (PA, worldwide/US-Canada, distributors) require pricing, reinsurance-treaty and capacity confirmation.</w:t>
      </w:r>
    </w:p>
    <w:p>
      <w:pPr>
        <w:pStyle w:val="ListBullet"/>
        <w:spacing w:after="40"/>
        <w:ind w:left="340"/>
      </w:pPr>
      <w:r>
        <w:rPr>
          <w:rFonts w:ascii="Lato" w:hAnsi="Lato" w:cs="Lato"/>
          <w:b w:val="0"/>
          <w:i w:val="0"/>
          <w:color w:val="2B2F33"/>
          <w:sz w:val="19"/>
        </w:rPr>
        <w:t>Confirm freelancer/contractor and ‘insured’ definitions remain consistent across all amended sections.</w:t>
      </w:r>
    </w:p>
    <w:p>
      <w:pPr>
        <w:pStyle w:val="ListBullet"/>
        <w:spacing w:after="40"/>
        <w:ind w:left="340"/>
      </w:pPr>
      <w:r>
        <w:rPr>
          <w:rFonts w:ascii="Lato" w:hAnsi="Lato" w:cs="Lato"/>
          <w:b w:val="0"/>
          <w:i w:val="0"/>
          <w:color w:val="2B2F33"/>
          <w:sz w:val="19"/>
        </w:rPr>
        <w:t>No cover has been invented in this strategy; every item is supported by at least one competitor wording cited above.</w:t>
      </w:r>
    </w:p>
    <w:p>
      <w:pPr>
        <w:pStyle w:val="ListBullet"/>
        <w:spacing w:after="40"/>
        <w:ind w:left="340"/>
      </w:pPr>
      <w:r>
        <w:rPr>
          <w:rFonts w:ascii="Lato" w:hAnsi="Lato" w:cs="Lato"/>
          <w:b w:val="0"/>
          <w:i w:val="0"/>
          <w:color w:val="2B2F33"/>
          <w:sz w:val="19"/>
        </w:rPr>
        <w:t>All five competitor wordings (incl. AXA XL) are incorporated; revisit priorities if any competitor wording is updated.</w:t>
      </w:r>
    </w:p>
    <w:p>
      <w:pPr>
        <w:spacing w:after="120"/>
      </w:pPr>
    </w:p>
    <w:p>
      <w:pPr>
        <w:spacing w:after="80" w:before="0"/>
      </w:pPr>
      <w:r>
        <w:rPr>
          <w:rFonts w:ascii="Lato" w:hAnsi="Lato" w:cs="Lato"/>
          <w:b w:val="0"/>
          <w:i/>
          <w:color w:val="6C7378"/>
          <w:sz w:val="17"/>
        </w:rPr>
        <w:t>End of Gap-Fill / Wording Enhancement Strategy.</w:t>
      </w:r>
    </w:p>
    <w:sectPr w:rsidR="00FC693F" w:rsidRPr="0006063C" w:rsidSect="00034616">
      <w:headerReference w:type="default" r:id="rId9"/>
      <w:footerReference w:type="default" r:id="rId10"/>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Lato" w:hAnsi="Lato" w:cs="Lato"/>
        <w:b w:val="0"/>
        <w:i/>
        <w:color w:val="AEB4B8"/>
        <w:sz w:val="13"/>
      </w:rPr>
      <w:t>Indicative wording comparison — broking reference only. Refer to the full policy wordings. Subject to TMHCC legal/underwriting sign-off.</w:t>
    </w:r>
  </w:p>
  <w:p>
    <w:pPr>
      <w:jc w:val="center"/>
    </w:pPr>
    <w:r>
      <w:rPr>
        <w:rFonts w:ascii="Lato" w:hAnsi="Lato" w:cs="Lato"/>
        <w:b w:val="0"/>
        <w:i w:val="0"/>
        <w:color w:val="6C7378"/>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pct" w:w="5000"/>
      <w:jc w:val="center"/>
      <w:tblBorders>
        <w:top w:val="none"/>
        <w:left w:val="none"/>
        <w:bottom w:val="none"/>
        <w:right w:val="none"/>
        <w:insideH w:val="none"/>
        <w:insideV w:val="none"/>
      </w:tblBorders>
      <w:tblLayout w:type="fixed"/>
      <w:tblLook w:firstColumn="1" w:firstRow="1" w:lastColumn="0" w:lastRow="0" w:noHBand="0" w:noVBand="1" w:val="04A0"/>
    </w:tblPr>
    <w:tblGrid>
      <w:gridCol w:w="4989"/>
      <w:gridCol w:w="4989"/>
    </w:tblGrid>
    <w:tr>
      <w:tc>
        <w:tcPr>
          <w:tcW w:type="dxa" w:w="7384"/>
          <w:vAlign w:val="center"/>
        </w:tcPr>
        <w:p>
          <w:pPr>
            <w:spacing w:after="0"/>
          </w:pPr>
          <w:r>
            <w:rPr>
              <w:rFonts w:ascii="Lato" w:hAnsi="Lato" w:cs="Lato"/>
              <w:b/>
              <w:i w:val="0"/>
              <w:color w:val="6C7378"/>
              <w:sz w:val="16"/>
            </w:rPr>
            <w:t>TMHCC Media &amp; Entertainment</w:t>
          </w:r>
        </w:p>
      </w:tc>
      <w:tc>
        <w:tcPr>
          <w:tcW w:type="dxa" w:w="2594"/>
        </w:tcPr>
        <w:p>
          <w:pPr>
            <w:jc w:val="right"/>
          </w:pPr>
          <w:r>
            <w:drawing>
              <wp:inline xmlns:a="http://schemas.openxmlformats.org/drawingml/2006/main" xmlns:pic="http://schemas.openxmlformats.org/drawingml/2006/picture">
                <wp:extent cx="329906" cy="306000"/>
                <wp:docPr id="1" name="Picture 1"/>
                <wp:cNvGraphicFramePr>
                  <a:graphicFrameLocks noChangeAspect="1"/>
                </wp:cNvGraphicFramePr>
                <a:graphic>
                  <a:graphicData uri="http://schemas.openxmlformats.org/drawingml/2006/picture">
                    <pic:pic>
                      <pic:nvPicPr>
                        <pic:cNvPr id="0" name="tmhcc_logo.png"/>
                        <pic:cNvPicPr/>
                      </pic:nvPicPr>
                      <pic:blipFill>
                        <a:blip r:embed="rId1"/>
                        <a:stretch>
                          <a:fillRect/>
                        </a:stretch>
                      </pic:blipFill>
                      <pic:spPr>
                        <a:xfrm>
                          <a:off x="0" y="0"/>
                          <a:ext cx="329906" cy="306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s="Lato"/>
      <w:color w:val="2B2F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