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QA &amp; Change Report — Media &amp; Music Combined (0526)</w:t>
      </w:r>
    </w:p>
    <w:p>
      <w:pPr>
        <w:spacing w:after="80"/>
        <w:pBdr>
          <w:bottom w:val="single" w:sz="14" w:space="2" w:color="B88A3C"/>
        </w:pBdr>
      </w:pPr>
      <w:r>
        <w:rPr>
          <w:rFonts w:ascii="Lato" w:hAnsi="Lato" w:cs="Lato"/>
          <w:b/>
          <w:i w:val="0"/>
          <w:color w:val="00648B"/>
          <w:sz w:val="60"/>
        </w:rPr>
        <w:t>TMHCC Wording Update</w:t>
        <w:br/>
        <w:t>QA / Change Report</w:t>
      </w:r>
    </w:p>
    <w:p>
      <w:pPr>
        <w:spacing w:after="280" w:before="120"/>
      </w:pPr>
      <w:r>
        <w:rPr>
          <w:rFonts w:ascii="Lato" w:hAnsi="Lato" w:cs="Lato"/>
          <w:b w:val="0"/>
          <w:i w:val="0"/>
          <w:color w:val="2B2F33"/>
          <w:sz w:val="26"/>
        </w:rPr>
        <w:t>Round 7 — final wording update and refresh of all supporting market documents. Explains exactly what changed, where, and what still needs underwriting/legal sign-off.</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Benchmarked against five competitor wordings:</w:t>
      </w:r>
    </w:p>
    <w:p>
      <w:pPr>
        <w:pStyle w:val="ListBullet"/>
        <w:spacing w:after="40"/>
        <w:ind w:left="340"/>
      </w:pPr>
      <w:r>
        <w:rPr>
          <w:rFonts w:ascii="Lato" w:hAnsi="Lato" w:cs="Lato"/>
          <w:b w:val="0"/>
          <w:i w:val="0"/>
          <w:color w:val="2B2F33"/>
          <w:sz w:val="19"/>
        </w:rPr>
        <w:t>Tysers (Zurich), Yutree (AXA), Liberty, Allianz and AXA XL (XL Catlin).</w:t>
      </w:r>
    </w:p>
    <w:p>
      <w:pPr>
        <w:spacing w:after="200"/>
      </w:pPr>
    </w:p>
    <w:p>
      <w:pPr>
        <w:spacing w:after="60" w:before="0"/>
      </w:pPr>
      <w:r>
        <w:rPr>
          <w:rFonts w:ascii="Lato" w:hAnsi="Lato" w:cs="Lato"/>
          <w:b w:val="0"/>
          <w:i/>
          <w:color w:val="6C7378"/>
          <w:sz w:val="17"/>
        </w:rPr>
        <w:t>Companion to: final wording (tracked + clean), Full Coverage Comparison, Gap-Fill / Wording Enhancement Strategy and Summary of Cover.</w:t>
      </w:r>
    </w:p>
    <w:p>
      <w:pPr>
        <w:spacing w:after="60" w:before="0"/>
      </w:pPr>
      <w:r>
        <w:rPr>
          <w:rFonts w:ascii="Lato" w:hAnsi="Lato" w:cs="Lato"/>
          <w:b w:val="0"/>
          <w:i/>
          <w:color w:val="6C7378"/>
          <w:sz w:val="17"/>
        </w:rPr>
        <w:t>All wording edits shown as fresh tracked changes from a clean accepted baseline. Section 12 items are held for sign-off and are NOT in the wording.</w:t>
      </w:r>
    </w:p>
    <w:p>
      <w:r>
        <w:br w:type="page"/>
      </w:r>
    </w:p>
    <w:p>
      <w:pPr>
        <w:keepNext/>
        <w:spacing w:before="280" w:after="40"/>
        <w:pBdr>
          <w:bottom w:val="single" w:sz="8" w:space="2" w:color="B88A3C"/>
        </w:pBdr>
      </w:pPr>
      <w:r>
        <w:rPr>
          <w:rFonts w:ascii="Lato" w:hAnsi="Lato" w:cs="Lato"/>
          <w:b/>
          <w:i w:val="0"/>
          <w:color w:val="B88A3C"/>
          <w:sz w:val="30"/>
        </w:rPr>
        <w:t xml:space="preserve">1  </w:t>
      </w:r>
      <w:r>
        <w:rPr>
          <w:rFonts w:ascii="Lato" w:hAnsi="Lato" w:cs="Lato"/>
          <w:b/>
          <w:i w:val="0"/>
          <w:color w:val="00648B"/>
          <w:sz w:val="30"/>
        </w:rPr>
        <w:t>Files produced</w:t>
      </w:r>
    </w:p>
    <w:p>
      <w:pPr>
        <w:pStyle w:val="ListBullet"/>
        <w:spacing w:after="40"/>
        <w:ind w:left="340"/>
      </w:pPr>
      <w:r>
        <w:rPr>
          <w:rFonts w:ascii="Lato" w:hAnsi="Lato" w:cs="Lato"/>
          <w:b w:val="0"/>
          <w:i w:val="0"/>
          <w:color w:val="2B2F33"/>
          <w:sz w:val="19"/>
        </w:rPr>
        <w:t>TMHCC_Media_Combined_0526_FINAL_TrackedChanges.docx — final wording, NEW edits as tracked changes (from a clean accepted baseline).</w:t>
      </w:r>
    </w:p>
    <w:p>
      <w:pPr>
        <w:pStyle w:val="ListBullet"/>
        <w:spacing w:after="40"/>
        <w:ind w:left="340"/>
      </w:pPr>
      <w:r>
        <w:rPr>
          <w:rFonts w:ascii="Lato" w:hAnsi="Lato" w:cs="Lato"/>
          <w:b w:val="0"/>
          <w:i w:val="0"/>
          <w:color w:val="2B2F33"/>
          <w:sz w:val="19"/>
        </w:rPr>
        <w:t>TMHCC_Media_Combined_0526_FINAL_Clean.docx — final wording, clean (new tracked changes accepted).</w:t>
      </w:r>
    </w:p>
    <w:p>
      <w:pPr>
        <w:pStyle w:val="ListBullet"/>
        <w:spacing w:after="40"/>
        <w:ind w:left="340"/>
      </w:pPr>
      <w:r>
        <w:rPr>
          <w:rFonts w:ascii="Lato" w:hAnsi="Lato" w:cs="Lato"/>
          <w:b w:val="0"/>
          <w:i w:val="0"/>
          <w:color w:val="2B2F33"/>
          <w:sz w:val="19"/>
        </w:rPr>
        <w:t>TMHCC_Media_Coverage_Comparison_FULL.docx — updated Full Coverage Comparison (deepened strengths).</w:t>
      </w:r>
    </w:p>
    <w:p>
      <w:pPr>
        <w:pStyle w:val="ListBullet"/>
        <w:spacing w:after="40"/>
        <w:ind w:left="340"/>
      </w:pPr>
      <w:r>
        <w:rPr>
          <w:rFonts w:ascii="Lato" w:hAnsi="Lato" w:cs="Lato"/>
          <w:b w:val="0"/>
          <w:i w:val="0"/>
          <w:color w:val="2B2F33"/>
          <w:sz w:val="19"/>
        </w:rPr>
        <w:t>TMHCC_Media_GapFill_Enhancement_Strategy.docx — updated Gap-Fill / Wording Enhancement Strategy (copy-paste wording for every recommendation; Section 12 sign-off list; market-leading opportunities).</w:t>
      </w:r>
    </w:p>
    <w:p>
      <w:pPr>
        <w:pStyle w:val="ListBullet"/>
        <w:spacing w:after="40"/>
        <w:ind w:left="340"/>
      </w:pPr>
      <w:r>
        <w:rPr>
          <w:rFonts w:ascii="Lato" w:hAnsi="Lato" w:cs="Lato"/>
          <w:b w:val="0"/>
          <w:i w:val="0"/>
          <w:color w:val="2B2F33"/>
          <w:sz w:val="19"/>
        </w:rPr>
        <w:t>TMHCC_Media_Combined_Summary_of_Cover_FINAL.docx — updated Summary of Cover (final wording only).</w:t>
      </w:r>
    </w:p>
    <w:p>
      <w:pPr>
        <w:pStyle w:val="ListBullet"/>
        <w:spacing w:after="40"/>
        <w:ind w:left="340"/>
      </w:pPr>
      <w:r>
        <w:rPr>
          <w:rFonts w:ascii="Lato" w:hAnsi="Lato" w:cs="Lato"/>
          <w:b w:val="0"/>
          <w:i w:val="0"/>
          <w:color w:val="2B2F33"/>
          <w:sz w:val="19"/>
        </w:rPr>
        <w:t>TMHCC_Media_Combined_QA_Report.docx — this report.</w:t>
      </w: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Branding / layout:  </w:t>
            </w:r>
            <w:r>
              <w:rPr>
                <w:rFonts w:ascii="Lato" w:hAnsi="Lato" w:cs="Lato"/>
                <w:b w:val="0"/>
                <w:i w:val="0"/>
                <w:color w:val="2B2F33"/>
                <w:sz w:val="19"/>
              </w:rPr>
              <w:t>Branding, layout, fonts, headers, footers, numbering and styling are preserved. No section numbering changed, so the contents-page hyperlinks still resolve; the Section 15 contents label was updated as display text only (anchor unchanged).</w:t>
            </w:r>
          </w:p>
        </w:tc>
      </w:tr>
    </w:tbl>
    <w:p>
      <w:pPr>
        <w:spacing w:after="80"/>
      </w:pPr>
    </w:p>
    <w:p>
      <w:r>
        <w:br w:type="page"/>
      </w:r>
    </w:p>
    <w:p>
      <w:pPr>
        <w:keepNext/>
        <w:spacing w:before="280" w:after="40"/>
        <w:pBdr>
          <w:bottom w:val="single" w:sz="8" w:space="2" w:color="B88A3C"/>
        </w:pBdr>
      </w:pPr>
      <w:r>
        <w:rPr>
          <w:rFonts w:ascii="Lato" w:hAnsi="Lato" w:cs="Lato"/>
          <w:b/>
          <w:i w:val="0"/>
          <w:color w:val="B88A3C"/>
          <w:sz w:val="30"/>
        </w:rPr>
        <w:t xml:space="preserve">2  </w:t>
      </w:r>
      <w:r>
        <w:rPr>
          <w:rFonts w:ascii="Lato" w:hAnsi="Lato" w:cs="Lato"/>
          <w:b/>
          <w:i w:val="0"/>
          <w:color w:val="00648B"/>
          <w:sz w:val="30"/>
        </w:rPr>
        <w:t>Document handling</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608"/>
        <w:gridCol w:w="12134"/>
      </w:tblGrid>
      <w:tr>
        <w:tc>
          <w:tcPr>
            <w:tcW w:type="dxa" w:w="2608"/>
            <w:shd w:val="clear" w:color="auto" w:fill="EAF1F5"/>
          </w:tcPr>
          <w:p>
            <w:pPr>
              <w:spacing w:after="20" w:before="0"/>
            </w:pPr>
            <w:r/>
            <w:r>
              <w:rPr>
                <w:rFonts w:ascii="Lato" w:hAnsi="Lato" w:cs="Lato"/>
                <w:b/>
                <w:i w:val="0"/>
                <w:color w:val="00648B"/>
                <w:sz w:val="16"/>
              </w:rPr>
              <w:t>Existing tracked changes accepted</w:t>
            </w:r>
          </w:p>
        </w:tc>
        <w:tc>
          <w:tcPr>
            <w:tcW w:type="dxa" w:w="12134"/>
          </w:tcPr>
          <w:p>
            <w:pPr>
              <w:spacing w:after="20" w:before="0"/>
            </w:pPr>
            <w:r/>
            <w:r>
              <w:rPr>
                <w:rFonts w:ascii="Lato" w:hAnsi="Lato" w:cs="Lato"/>
                <w:b w:val="0"/>
                <w:i w:val="0"/>
                <w:color w:val="2B2F33"/>
                <w:sz w:val="17"/>
              </w:rPr>
              <w:t>YES — the uploaded wording contained one residual run-property change (w:rPrChange) and no insertions/deletions; it was accepted to form a clean baseline saved internally.</w:t>
            </w:r>
          </w:p>
        </w:tc>
      </w:tr>
      <w:tr>
        <w:tc>
          <w:tcPr>
            <w:tcW w:type="dxa" w:w="2608"/>
            <w:shd w:val="clear" w:color="auto" w:fill="EAF1F5"/>
          </w:tcPr>
          <w:p>
            <w:pPr>
              <w:spacing w:after="20" w:before="0"/>
            </w:pPr>
            <w:r/>
            <w:r>
              <w:rPr>
                <w:rFonts w:ascii="Lato" w:hAnsi="Lato" w:cs="Lato"/>
                <w:b/>
                <w:i w:val="0"/>
                <w:color w:val="00648B"/>
                <w:sz w:val="16"/>
              </w:rPr>
              <w:t>Fresh tracked changes for new edits</w:t>
            </w:r>
          </w:p>
        </w:tc>
        <w:tc>
          <w:tcPr>
            <w:tcW w:type="dxa" w:w="12134"/>
          </w:tcPr>
          <w:p>
            <w:pPr>
              <w:spacing w:after="20" w:before="0"/>
            </w:pPr>
            <w:r/>
            <w:r>
              <w:rPr>
                <w:rFonts w:ascii="Lato" w:hAnsi="Lato" w:cs="Lato"/>
                <w:b w:val="0"/>
                <w:i w:val="0"/>
                <w:color w:val="2B2F33"/>
                <w:sz w:val="17"/>
              </w:rPr>
              <w:t>YES — all new amendments applied as new tracked changes (author 'TMHCC Wording Review') on the accepted baseline: 9 insertions, 2 deletions.</w:t>
            </w:r>
          </w:p>
        </w:tc>
      </w:tr>
      <w:tr>
        <w:tc>
          <w:tcPr>
            <w:tcW w:type="dxa" w:w="2608"/>
            <w:shd w:val="clear" w:color="auto" w:fill="EAF1F5"/>
          </w:tcPr>
          <w:p>
            <w:pPr>
              <w:spacing w:after="20" w:before="0"/>
            </w:pPr>
            <w:r/>
            <w:r>
              <w:rPr>
                <w:rFonts w:ascii="Lato" w:hAnsi="Lato" w:cs="Lato"/>
                <w:b/>
                <w:i w:val="0"/>
                <w:color w:val="00648B"/>
                <w:sz w:val="16"/>
              </w:rPr>
              <w:t>Clean final version produced</w:t>
            </w:r>
          </w:p>
        </w:tc>
        <w:tc>
          <w:tcPr>
            <w:tcW w:type="dxa" w:w="12134"/>
          </w:tcPr>
          <w:p>
            <w:pPr>
              <w:spacing w:after="20" w:before="0"/>
            </w:pPr>
            <w:r/>
            <w:r>
              <w:rPr>
                <w:rFonts w:ascii="Lato" w:hAnsi="Lato" w:cs="Lato"/>
                <w:b w:val="0"/>
                <w:i w:val="0"/>
                <w:color w:val="2B2F33"/>
                <w:sz w:val="17"/>
              </w:rPr>
              <w:t>YES — a clean copy with the new tracked changes accepted is also delivered.</w:t>
            </w:r>
          </w:p>
        </w:tc>
      </w:tr>
      <w:tr>
        <w:tc>
          <w:tcPr>
            <w:tcW w:type="dxa" w:w="2608"/>
            <w:shd w:val="clear" w:color="auto" w:fill="EAF1F5"/>
          </w:tcPr>
          <w:p>
            <w:pPr>
              <w:spacing w:after="20" w:before="0"/>
            </w:pPr>
            <w:r/>
            <w:r>
              <w:rPr>
                <w:rFonts w:ascii="Lato" w:hAnsi="Lato" w:cs="Lato"/>
                <w:b/>
                <w:i w:val="0"/>
                <w:color w:val="00648B"/>
                <w:sz w:val="16"/>
              </w:rPr>
              <w:t>Old tracked changes carried forward</w:t>
            </w:r>
          </w:p>
        </w:tc>
        <w:tc>
          <w:tcPr>
            <w:tcW w:type="dxa" w:w="12134"/>
          </w:tcPr>
          <w:p>
            <w:pPr>
              <w:spacing w:after="20" w:before="0"/>
            </w:pPr>
            <w:r/>
            <w:r>
              <w:rPr>
                <w:rFonts w:ascii="Lato" w:hAnsi="Lato" w:cs="Lato"/>
                <w:b w:val="0"/>
                <w:i w:val="0"/>
                <w:color w:val="2B2F33"/>
                <w:sz w:val="17"/>
              </w:rPr>
              <w:t>NO.</w:t>
            </w:r>
          </w:p>
        </w:tc>
      </w:tr>
    </w:tbl>
    <w:p>
      <w:pPr>
        <w:spacing w:after="120"/>
      </w:pPr>
    </w:p>
    <w:p>
      <w:r>
        <w:br w:type="page"/>
      </w:r>
    </w:p>
    <w:p>
      <w:pPr>
        <w:keepNext/>
        <w:spacing w:before="280" w:after="40"/>
        <w:pBdr>
          <w:bottom w:val="single" w:sz="8" w:space="2" w:color="B88A3C"/>
        </w:pBdr>
      </w:pPr>
      <w:r>
        <w:rPr>
          <w:rFonts w:ascii="Lato" w:hAnsi="Lato" w:cs="Lato"/>
          <w:b/>
          <w:i w:val="0"/>
          <w:color w:val="B88A3C"/>
          <w:sz w:val="30"/>
        </w:rPr>
        <w:t xml:space="preserve">3  </w:t>
      </w:r>
      <w:r>
        <w:rPr>
          <w:rFonts w:ascii="Lato" w:hAnsi="Lato" w:cs="Lato"/>
          <w:b/>
          <w:i w:val="0"/>
          <w:color w:val="00648B"/>
          <w:sz w:val="30"/>
        </w:rPr>
        <w:t>Change log — wording (tracked)</w:t>
      </w:r>
    </w:p>
    <w:p>
      <w:pPr>
        <w:keepNext/>
        <w:spacing w:before="120" w:after="20"/>
      </w:pPr>
      <w:r>
        <w:rPr>
          <w:rFonts w:ascii="Lato" w:hAnsi="Lato" w:cs="Lato"/>
          <w:b/>
          <w:i w:val="0"/>
          <w:color w:val="B88A3C"/>
          <w:sz w:val="20"/>
        </w:rPr>
        <w:t>Task 1 — Admission of Liability (claims condition precedent removed/softened)</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608"/>
        <w:gridCol w:w="12134"/>
      </w:tblGrid>
      <w:tr>
        <w:tc>
          <w:tcPr>
            <w:tcW w:type="dxa" w:w="2608"/>
            <w:shd w:val="clear" w:color="auto" w:fill="EAF1F5"/>
          </w:tcPr>
          <w:p>
            <w:pPr>
              <w:spacing w:after="20" w:before="0"/>
            </w:pPr>
            <w:r/>
            <w:r>
              <w:rPr>
                <w:rFonts w:ascii="Lato" w:hAnsi="Lato" w:cs="Lato"/>
                <w:b/>
                <w:i w:val="0"/>
                <w:color w:val="00648B"/>
                <w:sz w:val="16"/>
              </w:rPr>
              <w:t>Location</w:t>
            </w:r>
          </w:p>
        </w:tc>
        <w:tc>
          <w:tcPr>
            <w:tcW w:type="dxa" w:w="12134"/>
          </w:tcPr>
          <w:p>
            <w:pPr>
              <w:spacing w:after="20" w:before="0"/>
            </w:pPr>
            <w:r/>
            <w:r>
              <w:rPr>
                <w:rFonts w:ascii="Lato" w:hAnsi="Lato" w:cs="Lato"/>
                <w:b w:val="0"/>
                <w:i w:val="0"/>
                <w:color w:val="2B2F33"/>
                <w:sz w:val="17"/>
              </w:rPr>
              <w:t>Policy Claims Conditions (Applicable to Sections 1–11) → sub-heading 'Admission of Liability' (contents p.17).</w:t>
            </w:r>
          </w:p>
        </w:tc>
      </w:tr>
      <w:tr>
        <w:tc>
          <w:tcPr>
            <w:tcW w:type="dxa" w:w="2608"/>
            <w:shd w:val="clear" w:color="auto" w:fill="EAF1F5"/>
          </w:tcPr>
          <w:p>
            <w:pPr>
              <w:spacing w:after="20" w:before="0"/>
            </w:pPr>
            <w:r/>
            <w:r>
              <w:rPr>
                <w:rFonts w:ascii="Lato" w:hAnsi="Lato" w:cs="Lato"/>
                <w:b/>
                <w:i w:val="0"/>
                <w:color w:val="00648B"/>
                <w:sz w:val="16"/>
              </w:rPr>
              <w:t>Old wording (deleted)</w:t>
            </w:r>
          </w:p>
        </w:tc>
        <w:tc>
          <w:tcPr>
            <w:tcW w:type="dxa" w:w="12134"/>
          </w:tcPr>
          <w:p>
            <w:pPr>
              <w:spacing w:after="20" w:before="0"/>
            </w:pPr>
            <w:r/>
            <w:r>
              <w:rPr>
                <w:rFonts w:ascii="Lato" w:hAnsi="Lato" w:cs="Lato"/>
                <w:b w:val="0"/>
                <w:i w:val="0"/>
                <w:color w:val="2B2F33"/>
                <w:sz w:val="17"/>
              </w:rPr>
              <w:t>'It is a condition precedent to liability under this Policy that no admission of liability, promise, payment, compensation, negotiation or settlement of any claim shall be made or given without the Insurer’s written consent.'</w:t>
            </w:r>
          </w:p>
        </w:tc>
      </w:tr>
      <w:tr>
        <w:tc>
          <w:tcPr>
            <w:tcW w:type="dxa" w:w="2608"/>
            <w:shd w:val="clear" w:color="auto" w:fill="EAF1F5"/>
          </w:tcPr>
          <w:p>
            <w:pPr>
              <w:spacing w:after="20" w:before="0"/>
            </w:pPr>
            <w:r/>
            <w:r>
              <w:rPr>
                <w:rFonts w:ascii="Lato" w:hAnsi="Lato" w:cs="Lato"/>
                <w:b/>
                <w:i w:val="0"/>
                <w:color w:val="00648B"/>
                <w:sz w:val="16"/>
              </w:rPr>
              <w:t>New wording (inserted)</w:t>
            </w:r>
          </w:p>
        </w:tc>
        <w:tc>
          <w:tcPr>
            <w:tcW w:type="dxa" w:w="12134"/>
          </w:tcPr>
          <w:p>
            <w:pPr>
              <w:spacing w:after="20" w:before="0"/>
            </w:pPr>
            <w:r/>
            <w:r>
              <w:rPr>
                <w:rFonts w:ascii="Lato" w:hAnsi="Lato" w:cs="Lato"/>
                <w:b w:val="0"/>
                <w:i w:val="0"/>
                <w:color w:val="2B2F33"/>
                <w:sz w:val="17"/>
              </w:rPr>
              <w:t>'The Insured shall not, without the Insurer’s written consent, make any admission of liability, promise, payment, compensation, offer, negotiation or settlement of any claim. The Insurer shall not be entitled to rely on any breach of this condition to reduce or refuse a claim except to the extent that the Insurer’s position has been prejudiced by the breach.'</w:t>
            </w:r>
          </w:p>
        </w:tc>
      </w:tr>
      <w:tr>
        <w:tc>
          <w:tcPr>
            <w:tcW w:type="dxa" w:w="2608"/>
            <w:shd w:val="clear" w:color="auto" w:fill="EAF1F5"/>
          </w:tcPr>
          <w:p>
            <w:pPr>
              <w:spacing w:after="20" w:before="0"/>
            </w:pPr>
            <w:r/>
            <w:r>
              <w:rPr>
                <w:rFonts w:ascii="Lato" w:hAnsi="Lato" w:cs="Lato"/>
                <w:b/>
                <w:i w:val="0"/>
                <w:color w:val="00648B"/>
                <w:sz w:val="16"/>
              </w:rPr>
              <w:t>Effect</w:t>
            </w:r>
          </w:p>
        </w:tc>
        <w:tc>
          <w:tcPr>
            <w:tcW w:type="dxa" w:w="12134"/>
          </w:tcPr>
          <w:p>
            <w:pPr>
              <w:spacing w:after="20" w:before="0"/>
            </w:pPr>
            <w:r/>
            <w:r>
              <w:rPr>
                <w:rFonts w:ascii="Lato" w:hAnsi="Lato" w:cs="Lato"/>
                <w:b w:val="0"/>
                <w:i w:val="0"/>
                <w:color w:val="2B2F33"/>
                <w:sz w:val="17"/>
              </w:rPr>
              <w:t>Converts a blanket condition precedent into an ordinary condition with a prejudice qualifier — aligns with the competitor market. No other cover changed.</w:t>
            </w:r>
          </w:p>
        </w:tc>
      </w:tr>
    </w:tbl>
    <w:p>
      <w:pPr>
        <w:spacing w:after="120"/>
      </w:pPr>
    </w:p>
    <w:p>
      <w:pPr>
        <w:keepNext/>
        <w:spacing w:before="120" w:after="20"/>
      </w:pPr>
      <w:r>
        <w:rPr>
          <w:rFonts w:ascii="Lato" w:hAnsi="Lato" w:cs="Lato"/>
          <w:b/>
          <w:i w:val="0"/>
          <w:color w:val="B88A3C"/>
          <w:sz w:val="20"/>
        </w:rPr>
        <w:t>Task 1 — policy-wide claims condition-precedent audit</w:t>
      </w:r>
    </w:p>
    <w:p>
      <w:pPr>
        <w:spacing w:after="80" w:before="0"/>
      </w:pPr>
      <w:r>
        <w:rPr>
          <w:rFonts w:ascii="Lato" w:hAnsi="Lato" w:cs="Lato"/>
          <w:b w:val="0"/>
          <w:i w:val="0"/>
          <w:color w:val="2B2F33"/>
          <w:sz w:val="18"/>
        </w:rPr>
        <w:t>The whole document was audited. Result:</w:t>
      </w:r>
    </w:p>
    <w:tbl>
      <w:tblPr>
        <w:tblW w:type="dxa" w:w="10433"/>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3402"/>
        <w:gridCol w:w="2381"/>
        <w:gridCol w:w="2608"/>
        <w:gridCol w:w="2041"/>
      </w:tblGrid>
      <w:tr>
        <w:tc>
          <w:tcPr>
            <w:tcW w:type="dxa" w:w="3402"/>
            <w:shd w:val="clear" w:color="auto" w:fill="00648B"/>
          </w:tcPr>
          <w:p>
            <w:pPr>
              <w:spacing w:after="20" w:before="0"/>
              <w:jc w:val="center"/>
            </w:pPr>
            <w:r/>
            <w:r>
              <w:rPr>
                <w:rFonts w:ascii="Lato" w:hAnsi="Lato" w:cs="Lato"/>
                <w:b/>
                <w:i w:val="0"/>
                <w:color w:val="FFFFFF"/>
                <w:sz w:val="17"/>
              </w:rPr>
              <w:t>Clause</w:t>
            </w:r>
          </w:p>
        </w:tc>
        <w:tc>
          <w:tcPr>
            <w:tcW w:type="dxa" w:w="2381"/>
            <w:shd w:val="clear" w:color="auto" w:fill="00648B"/>
          </w:tcPr>
          <w:p>
            <w:pPr>
              <w:spacing w:after="20" w:before="0"/>
              <w:jc w:val="center"/>
            </w:pPr>
            <w:r/>
            <w:r>
              <w:rPr>
                <w:rFonts w:ascii="Lato" w:hAnsi="Lato" w:cs="Lato"/>
                <w:b/>
                <w:i w:val="0"/>
                <w:color w:val="FFFFFF"/>
                <w:sz w:val="17"/>
              </w:rPr>
              <w:t>Location</w:t>
            </w:r>
          </w:p>
        </w:tc>
        <w:tc>
          <w:tcPr>
            <w:tcW w:type="dxa" w:w="2608"/>
            <w:shd w:val="clear" w:color="auto" w:fill="00648B"/>
          </w:tcPr>
          <w:p>
            <w:pPr>
              <w:spacing w:after="20" w:before="0"/>
              <w:jc w:val="center"/>
            </w:pPr>
            <w:r/>
            <w:r>
              <w:rPr>
                <w:rFonts w:ascii="Lato" w:hAnsi="Lato" w:cs="Lato"/>
                <w:b/>
                <w:i w:val="0"/>
                <w:color w:val="FFFFFF"/>
                <w:sz w:val="17"/>
              </w:rPr>
              <w:t>Type</w:t>
            </w:r>
          </w:p>
        </w:tc>
        <w:tc>
          <w:tcPr>
            <w:tcW w:type="dxa" w:w="2041"/>
            <w:shd w:val="clear" w:color="auto" w:fill="00648B"/>
          </w:tcPr>
          <w:p>
            <w:pPr>
              <w:spacing w:after="20" w:before="0"/>
              <w:jc w:val="center"/>
            </w:pPr>
            <w:r/>
            <w:r>
              <w:rPr>
                <w:rFonts w:ascii="Lato" w:hAnsi="Lato" w:cs="Lato"/>
                <w:b/>
                <w:i w:val="0"/>
                <w:color w:val="FFFFFF"/>
                <w:sz w:val="17"/>
              </w:rPr>
              <w:t>Decision</w:t>
            </w:r>
          </w:p>
        </w:tc>
      </w:tr>
      <w:tr>
        <w:tc>
          <w:tcPr>
            <w:tcW w:type="dxa" w:w="3402"/>
          </w:tcPr>
          <w:p>
            <w:pPr>
              <w:spacing w:after="20" w:before="0"/>
            </w:pPr>
            <w:r/>
            <w:r>
              <w:rPr>
                <w:rFonts w:ascii="Lato" w:hAnsi="Lato" w:cs="Lato"/>
                <w:b/>
                <w:i w:val="0"/>
                <w:color w:val="00648B"/>
                <w:sz w:val="15"/>
              </w:rPr>
              <w:t>Admission of Liability</w:t>
            </w:r>
          </w:p>
        </w:tc>
        <w:tc>
          <w:tcPr>
            <w:tcW w:type="dxa" w:w="2381"/>
          </w:tcPr>
          <w:p>
            <w:pPr>
              <w:spacing w:after="20" w:before="0"/>
            </w:pPr>
            <w:r/>
            <w:r>
              <w:rPr>
                <w:rFonts w:ascii="Lato" w:hAnsi="Lato" w:cs="Lato"/>
                <w:b w:val="0"/>
                <w:i w:val="0"/>
                <w:color w:val="2B2F33"/>
                <w:sz w:val="15"/>
              </w:rPr>
              <w:t>Policy Claims Conditions (S1–11)</w:t>
            </w:r>
          </w:p>
        </w:tc>
        <w:tc>
          <w:tcPr>
            <w:tcW w:type="dxa" w:w="2608"/>
          </w:tcPr>
          <w:p>
            <w:pPr>
              <w:spacing w:after="20" w:before="0"/>
            </w:pPr>
            <w:r/>
            <w:r>
              <w:rPr>
                <w:rFonts w:ascii="Lato" w:hAnsi="Lato" w:cs="Lato"/>
                <w:b w:val="0"/>
                <w:i w:val="0"/>
                <w:color w:val="2B2F33"/>
                <w:sz w:val="15"/>
              </w:rPr>
              <w:t>Blanket claims CP</w:t>
            </w:r>
          </w:p>
        </w:tc>
        <w:tc>
          <w:tcPr>
            <w:tcW w:type="dxa" w:w="2041"/>
          </w:tcPr>
          <w:p>
            <w:pPr>
              <w:spacing w:after="20" w:before="0"/>
            </w:pPr>
            <w:r/>
            <w:r>
              <w:rPr>
                <w:rFonts w:ascii="Lato" w:hAnsi="Lato" w:cs="Lato"/>
                <w:b/>
                <w:i w:val="0"/>
                <w:color w:val="A4233B"/>
                <w:sz w:val="15"/>
              </w:rPr>
              <w:t>Replaced (Task 1)</w:t>
            </w:r>
          </w:p>
        </w:tc>
      </w:tr>
      <w:tr>
        <w:tc>
          <w:tcPr>
            <w:tcW w:type="dxa" w:w="3402"/>
            <w:shd w:val="clear" w:color="auto" w:fill="F4F7F9"/>
          </w:tcPr>
          <w:p>
            <w:pPr>
              <w:spacing w:after="20" w:before="0"/>
            </w:pPr>
            <w:r/>
            <w:r>
              <w:rPr>
                <w:rFonts w:ascii="Lato" w:hAnsi="Lato" w:cs="Lato"/>
                <w:b/>
                <w:i w:val="0"/>
                <w:color w:val="00648B"/>
                <w:sz w:val="15"/>
              </w:rPr>
              <w:t>Notification of a Claim (S1–11)</w:t>
            </w:r>
          </w:p>
        </w:tc>
        <w:tc>
          <w:tcPr>
            <w:tcW w:type="dxa" w:w="2381"/>
            <w:shd w:val="clear" w:color="auto" w:fill="F4F7F9"/>
          </w:tcPr>
          <w:p>
            <w:pPr>
              <w:spacing w:after="20" w:before="0"/>
            </w:pPr>
            <w:r/>
            <w:r>
              <w:rPr>
                <w:rFonts w:ascii="Lato" w:hAnsi="Lato" w:cs="Lato"/>
                <w:b w:val="0"/>
                <w:i w:val="0"/>
                <w:color w:val="2B2F33"/>
                <w:sz w:val="15"/>
              </w:rPr>
              <w:t>Policy Claims Conditions (S1–11)</w:t>
            </w:r>
          </w:p>
        </w:tc>
        <w:tc>
          <w:tcPr>
            <w:tcW w:type="dxa" w:w="2608"/>
            <w:shd w:val="clear" w:color="auto" w:fill="F4F7F9"/>
          </w:tcPr>
          <w:p>
            <w:pPr>
              <w:spacing w:after="20" w:before="0"/>
            </w:pPr>
            <w:r/>
            <w:r>
              <w:rPr>
                <w:rFonts w:ascii="Lato" w:hAnsi="Lato" w:cs="Lato"/>
                <w:b w:val="0"/>
                <w:i w:val="0"/>
                <w:color w:val="2B2F33"/>
                <w:sz w:val="15"/>
              </w:rPr>
              <w:t>General claims notification</w:t>
            </w:r>
          </w:p>
        </w:tc>
        <w:tc>
          <w:tcPr>
            <w:tcW w:type="dxa" w:w="2041"/>
            <w:shd w:val="clear" w:color="auto" w:fill="F4F7F9"/>
          </w:tcPr>
          <w:p>
            <w:pPr>
              <w:spacing w:after="20" w:before="0"/>
            </w:pPr>
            <w:r/>
            <w:r>
              <w:rPr>
                <w:rFonts w:ascii="Lato" w:hAnsi="Lato" w:cs="Lato"/>
                <w:b/>
                <w:i w:val="0"/>
                <w:color w:val="2E7D44"/>
                <w:sz w:val="15"/>
              </w:rPr>
              <w:t>NOT a CP ('will notify… as soon as practicable') — left as-is</w:t>
            </w:r>
          </w:p>
        </w:tc>
      </w:tr>
      <w:tr>
        <w:tc>
          <w:tcPr>
            <w:tcW w:type="dxa" w:w="3402"/>
          </w:tcPr>
          <w:p>
            <w:pPr>
              <w:spacing w:after="20" w:before="0"/>
            </w:pPr>
            <w:r/>
            <w:r>
              <w:rPr>
                <w:rFonts w:ascii="Lato" w:hAnsi="Lato" w:cs="Lato"/>
                <w:b/>
                <w:i w:val="0"/>
                <w:color w:val="00648B"/>
                <w:sz w:val="15"/>
              </w:rPr>
              <w:t>Notification to the Police</w:t>
            </w:r>
          </w:p>
        </w:tc>
        <w:tc>
          <w:tcPr>
            <w:tcW w:type="dxa" w:w="2381"/>
          </w:tcPr>
          <w:p>
            <w:pPr>
              <w:spacing w:after="20" w:before="0"/>
            </w:pPr>
            <w:r/>
            <w:r>
              <w:rPr>
                <w:rFonts w:ascii="Lato" w:hAnsi="Lato" w:cs="Lato"/>
                <w:b w:val="0"/>
                <w:i w:val="0"/>
                <w:color w:val="2B2F33"/>
                <w:sz w:val="15"/>
              </w:rPr>
              <w:t>Policy Claims Conditions (S1–11)</w:t>
            </w:r>
          </w:p>
        </w:tc>
        <w:tc>
          <w:tcPr>
            <w:tcW w:type="dxa" w:w="2608"/>
          </w:tcPr>
          <w:p>
            <w:pPr>
              <w:spacing w:after="20" w:before="0"/>
            </w:pPr>
            <w:r/>
            <w:r>
              <w:rPr>
                <w:rFonts w:ascii="Lato" w:hAnsi="Lato" w:cs="Lato"/>
                <w:b w:val="0"/>
                <w:i w:val="0"/>
                <w:color w:val="2B2F33"/>
                <w:sz w:val="15"/>
              </w:rPr>
              <w:t>Theft/loss reporting CP</w:t>
            </w:r>
          </w:p>
        </w:tc>
        <w:tc>
          <w:tcPr>
            <w:tcW w:type="dxa" w:w="2041"/>
          </w:tcPr>
          <w:p>
            <w:pPr>
              <w:spacing w:after="20" w:before="0"/>
            </w:pPr>
            <w:r/>
            <w:r>
              <w:rPr>
                <w:rFonts w:ascii="Lato" w:hAnsi="Lato" w:cs="Lato"/>
                <w:b/>
                <w:i w:val="0"/>
                <w:color w:val="2E7D44"/>
                <w:sz w:val="15"/>
              </w:rPr>
              <w:t>Retained (scope-limit)</w:t>
            </w:r>
          </w:p>
        </w:tc>
      </w:tr>
      <w:tr>
        <w:tc>
          <w:tcPr>
            <w:tcW w:type="dxa" w:w="3402"/>
            <w:shd w:val="clear" w:color="auto" w:fill="F4F7F9"/>
          </w:tcPr>
          <w:p>
            <w:pPr>
              <w:spacing w:after="20" w:before="0"/>
            </w:pPr>
            <w:r/>
            <w:r>
              <w:rPr>
                <w:rFonts w:ascii="Lato" w:hAnsi="Lato" w:cs="Lato"/>
                <w:b/>
                <w:i w:val="0"/>
                <w:color w:val="00648B"/>
                <w:sz w:val="15"/>
              </w:rPr>
              <w:t>Claim/Circumstance Notification (S13)</w:t>
            </w:r>
          </w:p>
        </w:tc>
        <w:tc>
          <w:tcPr>
            <w:tcW w:type="dxa" w:w="2381"/>
            <w:shd w:val="clear" w:color="auto" w:fill="F4F7F9"/>
          </w:tcPr>
          <w:p>
            <w:pPr>
              <w:spacing w:after="20" w:before="0"/>
            </w:pPr>
            <w:r/>
            <w:r>
              <w:rPr>
                <w:rFonts w:ascii="Lato" w:hAnsi="Lato" w:cs="Lato"/>
                <w:b w:val="0"/>
                <w:i w:val="0"/>
                <w:color w:val="2B2F33"/>
                <w:sz w:val="15"/>
              </w:rPr>
              <w:t>Notification &amp; Claims Conditions — S13</w:t>
            </w:r>
          </w:p>
        </w:tc>
        <w:tc>
          <w:tcPr>
            <w:tcW w:type="dxa" w:w="2608"/>
            <w:shd w:val="clear" w:color="auto" w:fill="F4F7F9"/>
          </w:tcPr>
          <w:p>
            <w:pPr>
              <w:spacing w:after="20" w:before="0"/>
            </w:pPr>
            <w:r/>
            <w:r>
              <w:rPr>
                <w:rFonts w:ascii="Lato" w:hAnsi="Lato" w:cs="Lato"/>
                <w:b w:val="0"/>
                <w:i w:val="0"/>
                <w:color w:val="2B2F33"/>
                <w:sz w:val="15"/>
              </w:rPr>
              <w:t>Section-level notification CP</w:t>
            </w:r>
          </w:p>
        </w:tc>
        <w:tc>
          <w:tcPr>
            <w:tcW w:type="dxa" w:w="2041"/>
            <w:shd w:val="clear" w:color="auto" w:fill="F4F7F9"/>
          </w:tcPr>
          <w:p>
            <w:pPr>
              <w:spacing w:after="20" w:before="0"/>
            </w:pPr>
            <w:r/>
            <w:r>
              <w:rPr>
                <w:rFonts w:ascii="Lato" w:hAnsi="Lato" w:cs="Lato"/>
                <w:b/>
                <w:i w:val="0"/>
                <w:color w:val="2E7D44"/>
                <w:sz w:val="15"/>
              </w:rPr>
              <w:t>Retained (section-level)</w:t>
            </w:r>
          </w:p>
        </w:tc>
      </w:tr>
      <w:tr>
        <w:tc>
          <w:tcPr>
            <w:tcW w:type="dxa" w:w="3402"/>
          </w:tcPr>
          <w:p>
            <w:pPr>
              <w:spacing w:after="20" w:before="0"/>
            </w:pPr>
            <w:r/>
            <w:r>
              <w:rPr>
                <w:rFonts w:ascii="Lato" w:hAnsi="Lato" w:cs="Lato"/>
                <w:b/>
                <w:i w:val="0"/>
                <w:color w:val="00648B"/>
                <w:sz w:val="15"/>
              </w:rPr>
              <w:t>Notification of Claims (S12)</w:t>
            </w:r>
          </w:p>
        </w:tc>
        <w:tc>
          <w:tcPr>
            <w:tcW w:type="dxa" w:w="2381"/>
          </w:tcPr>
          <w:p>
            <w:pPr>
              <w:spacing w:after="20" w:before="0"/>
            </w:pPr>
            <w:r/>
            <w:r>
              <w:rPr>
                <w:rFonts w:ascii="Lato" w:hAnsi="Lato" w:cs="Lato"/>
                <w:b w:val="0"/>
                <w:i w:val="0"/>
                <w:color w:val="2B2F33"/>
                <w:sz w:val="15"/>
              </w:rPr>
              <w:t>Section 12 claims conditions</w:t>
            </w:r>
          </w:p>
        </w:tc>
        <w:tc>
          <w:tcPr>
            <w:tcW w:type="dxa" w:w="2608"/>
          </w:tcPr>
          <w:p>
            <w:pPr>
              <w:spacing w:after="20" w:before="0"/>
            </w:pPr>
            <w:r/>
            <w:r>
              <w:rPr>
                <w:rFonts w:ascii="Lato" w:hAnsi="Lato" w:cs="Lato"/>
                <w:b w:val="0"/>
                <w:i w:val="0"/>
                <w:color w:val="2B2F33"/>
                <w:sz w:val="15"/>
              </w:rPr>
              <w:t>Section-level notification CP</w:t>
            </w:r>
          </w:p>
        </w:tc>
        <w:tc>
          <w:tcPr>
            <w:tcW w:type="dxa" w:w="2041"/>
          </w:tcPr>
          <w:p>
            <w:pPr>
              <w:spacing w:after="20" w:before="0"/>
            </w:pPr>
            <w:r/>
            <w:r>
              <w:rPr>
                <w:rFonts w:ascii="Lato" w:hAnsi="Lato" w:cs="Lato"/>
                <w:b/>
                <w:i w:val="0"/>
                <w:color w:val="2E7D44"/>
                <w:sz w:val="15"/>
              </w:rPr>
              <w:t>Retained (section-level; S12 sign-off)</w:t>
            </w:r>
          </w:p>
        </w:tc>
      </w:tr>
      <w:tr>
        <w:tc>
          <w:tcPr>
            <w:tcW w:type="dxa" w:w="3402"/>
            <w:shd w:val="clear" w:color="auto" w:fill="F4F7F9"/>
          </w:tcPr>
          <w:p>
            <w:pPr>
              <w:spacing w:after="20" w:before="0"/>
            </w:pPr>
            <w:r/>
            <w:r>
              <w:rPr>
                <w:rFonts w:ascii="Lato" w:hAnsi="Lato" w:cs="Lato"/>
                <w:b/>
                <w:i w:val="0"/>
                <w:color w:val="00648B"/>
                <w:sz w:val="15"/>
              </w:rPr>
              <w:t>Notice provisions (S14)</w:t>
            </w:r>
          </w:p>
        </w:tc>
        <w:tc>
          <w:tcPr>
            <w:tcW w:type="dxa" w:w="2381"/>
            <w:shd w:val="clear" w:color="auto" w:fill="F4F7F9"/>
          </w:tcPr>
          <w:p>
            <w:pPr>
              <w:spacing w:after="20" w:before="0"/>
            </w:pPr>
            <w:r/>
            <w:r>
              <w:rPr>
                <w:rFonts w:ascii="Lato" w:hAnsi="Lato" w:cs="Lato"/>
                <w:b w:val="0"/>
                <w:i w:val="0"/>
                <w:color w:val="2B2F33"/>
                <w:sz w:val="15"/>
              </w:rPr>
              <w:t>Section 14</w:t>
            </w:r>
          </w:p>
        </w:tc>
        <w:tc>
          <w:tcPr>
            <w:tcW w:type="dxa" w:w="2608"/>
            <w:shd w:val="clear" w:color="auto" w:fill="F4F7F9"/>
          </w:tcPr>
          <w:p>
            <w:pPr>
              <w:spacing w:after="20" w:before="0"/>
            </w:pPr>
            <w:r/>
            <w:r>
              <w:rPr>
                <w:rFonts w:ascii="Lato" w:hAnsi="Lato" w:cs="Lato"/>
                <w:b w:val="0"/>
                <w:i w:val="0"/>
                <w:color w:val="2B2F33"/>
                <w:sz w:val="15"/>
              </w:rPr>
              <w:t>Section-level notification CP</w:t>
            </w:r>
          </w:p>
        </w:tc>
        <w:tc>
          <w:tcPr>
            <w:tcW w:type="dxa" w:w="2041"/>
            <w:shd w:val="clear" w:color="auto" w:fill="F4F7F9"/>
          </w:tcPr>
          <w:p>
            <w:pPr>
              <w:spacing w:after="20" w:before="0"/>
            </w:pPr>
            <w:r/>
            <w:r>
              <w:rPr>
                <w:rFonts w:ascii="Lato" w:hAnsi="Lato" w:cs="Lato"/>
                <w:b/>
                <w:i w:val="0"/>
                <w:color w:val="2E7D44"/>
                <w:sz w:val="15"/>
              </w:rPr>
              <w:t>Retained (section-level)</w:t>
            </w:r>
          </w:p>
        </w:tc>
      </w:tr>
      <w:tr>
        <w:tc>
          <w:tcPr>
            <w:tcW w:type="dxa" w:w="3402"/>
          </w:tcPr>
          <w:p>
            <w:pPr>
              <w:spacing w:after="20" w:before="0"/>
            </w:pPr>
            <w:r/>
            <w:r>
              <w:rPr>
                <w:rFonts w:ascii="Lato" w:hAnsi="Lato" w:cs="Lato"/>
                <w:b/>
                <w:i w:val="0"/>
                <w:color w:val="00648B"/>
                <w:sz w:val="15"/>
              </w:rPr>
              <w:t>Cooperation / excess (S15)</w:t>
            </w:r>
          </w:p>
        </w:tc>
        <w:tc>
          <w:tcPr>
            <w:tcW w:type="dxa" w:w="2381"/>
          </w:tcPr>
          <w:p>
            <w:pPr>
              <w:spacing w:after="20" w:before="0"/>
            </w:pPr>
            <w:r/>
            <w:r>
              <w:rPr>
                <w:rFonts w:ascii="Lato" w:hAnsi="Lato" w:cs="Lato"/>
                <w:b w:val="0"/>
                <w:i w:val="0"/>
                <w:color w:val="2B2F33"/>
                <w:sz w:val="15"/>
              </w:rPr>
              <w:t>Section 15 (CyberGuard)</w:t>
            </w:r>
          </w:p>
        </w:tc>
        <w:tc>
          <w:tcPr>
            <w:tcW w:type="dxa" w:w="2608"/>
          </w:tcPr>
          <w:p>
            <w:pPr>
              <w:spacing w:after="20" w:before="0"/>
            </w:pPr>
            <w:r/>
            <w:r>
              <w:rPr>
                <w:rFonts w:ascii="Lato" w:hAnsi="Lato" w:cs="Lato"/>
                <w:b w:val="0"/>
                <w:i w:val="0"/>
                <w:color w:val="2B2F33"/>
                <w:sz w:val="15"/>
              </w:rPr>
              <w:t>Section-level conditions</w:t>
            </w:r>
          </w:p>
        </w:tc>
        <w:tc>
          <w:tcPr>
            <w:tcW w:type="dxa" w:w="2041"/>
          </w:tcPr>
          <w:p>
            <w:pPr>
              <w:spacing w:after="20" w:before="0"/>
            </w:pPr>
            <w:r/>
            <w:r>
              <w:rPr>
                <w:rFonts w:ascii="Lato" w:hAnsi="Lato" w:cs="Lato"/>
                <w:b/>
                <w:i w:val="0"/>
                <w:color w:val="2E7D44"/>
                <w:sz w:val="15"/>
              </w:rPr>
              <w:t>Retained (section-level)</w:t>
            </w:r>
          </w:p>
        </w:tc>
      </w:tr>
      <w:tr>
        <w:tc>
          <w:tcPr>
            <w:tcW w:type="dxa" w:w="3402"/>
            <w:shd w:val="clear" w:color="auto" w:fill="F4F7F9"/>
          </w:tcPr>
          <w:p>
            <w:pPr>
              <w:spacing w:after="20" w:before="0"/>
            </w:pPr>
            <w:r/>
            <w:r>
              <w:rPr>
                <w:rFonts w:ascii="Lato" w:hAnsi="Lato" w:cs="Lato"/>
                <w:b/>
                <w:i w:val="0"/>
                <w:color w:val="00648B"/>
                <w:sz w:val="15"/>
              </w:rPr>
              <w:t>Data storage / back-up (S1)</w:t>
            </w:r>
          </w:p>
        </w:tc>
        <w:tc>
          <w:tcPr>
            <w:tcW w:type="dxa" w:w="2381"/>
            <w:shd w:val="clear" w:color="auto" w:fill="F4F7F9"/>
          </w:tcPr>
          <w:p>
            <w:pPr>
              <w:spacing w:after="20" w:before="0"/>
            </w:pPr>
            <w:r/>
            <w:r>
              <w:rPr>
                <w:rFonts w:ascii="Lato" w:hAnsi="Lato" w:cs="Lato"/>
                <w:b w:val="0"/>
                <w:i w:val="0"/>
                <w:color w:val="2B2F33"/>
                <w:sz w:val="15"/>
              </w:rPr>
              <w:t>Section 1 IT property condition</w:t>
            </w:r>
          </w:p>
        </w:tc>
        <w:tc>
          <w:tcPr>
            <w:tcW w:type="dxa" w:w="2608"/>
            <w:shd w:val="clear" w:color="auto" w:fill="F4F7F9"/>
          </w:tcPr>
          <w:p>
            <w:pPr>
              <w:spacing w:after="20" w:before="0"/>
            </w:pPr>
            <w:r/>
            <w:r>
              <w:rPr>
                <w:rFonts w:ascii="Lato" w:hAnsi="Lato" w:cs="Lato"/>
                <w:b w:val="0"/>
                <w:i w:val="0"/>
                <w:color w:val="2B2F33"/>
                <w:sz w:val="15"/>
              </w:rPr>
              <w:t>Risk-improvement CP</w:t>
            </w:r>
          </w:p>
        </w:tc>
        <w:tc>
          <w:tcPr>
            <w:tcW w:type="dxa" w:w="2041"/>
            <w:shd w:val="clear" w:color="auto" w:fill="F4F7F9"/>
          </w:tcPr>
          <w:p>
            <w:pPr>
              <w:spacing w:after="20" w:before="0"/>
            </w:pPr>
            <w:r/>
            <w:r>
              <w:rPr>
                <w:rFonts w:ascii="Lato" w:hAnsi="Lato" w:cs="Lato"/>
                <w:b/>
                <w:i w:val="0"/>
                <w:color w:val="2E7D44"/>
                <w:sz w:val="15"/>
              </w:rPr>
              <w:t>Retained (scope-limit)</w:t>
            </w:r>
          </w:p>
        </w:tc>
      </w:tr>
      <w:tr>
        <w:tc>
          <w:tcPr>
            <w:tcW w:type="dxa" w:w="3402"/>
          </w:tcPr>
          <w:p>
            <w:pPr>
              <w:spacing w:after="20" w:before="0"/>
            </w:pPr>
            <w:r/>
            <w:r>
              <w:rPr>
                <w:rFonts w:ascii="Lato" w:hAnsi="Lato" w:cs="Lato"/>
                <w:b/>
                <w:i w:val="0"/>
                <w:color w:val="00648B"/>
                <w:sz w:val="15"/>
              </w:rPr>
              <w:t>Unattended-vehicle / security / hire</w:t>
            </w:r>
          </w:p>
        </w:tc>
        <w:tc>
          <w:tcPr>
            <w:tcW w:type="dxa" w:w="2381"/>
          </w:tcPr>
          <w:p>
            <w:pPr>
              <w:spacing w:after="20" w:before="0"/>
            </w:pPr>
            <w:r/>
            <w:r>
              <w:rPr>
                <w:rFonts w:ascii="Lato" w:hAnsi="Lato" w:cs="Lato"/>
                <w:b w:val="0"/>
                <w:i w:val="0"/>
                <w:color w:val="2B2F33"/>
                <w:sz w:val="15"/>
              </w:rPr>
              <w:t>Sections 1–2 / Money</w:t>
            </w:r>
          </w:p>
        </w:tc>
        <w:tc>
          <w:tcPr>
            <w:tcW w:type="dxa" w:w="2608"/>
          </w:tcPr>
          <w:p>
            <w:pPr>
              <w:spacing w:after="20" w:before="0"/>
            </w:pPr>
            <w:r/>
            <w:r>
              <w:rPr>
                <w:rFonts w:ascii="Lato" w:hAnsi="Lato" w:cs="Lato"/>
                <w:b w:val="0"/>
                <w:i w:val="0"/>
                <w:color w:val="2B2F33"/>
                <w:sz w:val="15"/>
              </w:rPr>
              <w:t>Security / risk conditions</w:t>
            </w:r>
          </w:p>
        </w:tc>
        <w:tc>
          <w:tcPr>
            <w:tcW w:type="dxa" w:w="2041"/>
          </w:tcPr>
          <w:p>
            <w:pPr>
              <w:spacing w:after="20" w:before="0"/>
            </w:pPr>
            <w:r/>
            <w:r>
              <w:rPr>
                <w:rFonts w:ascii="Lato" w:hAnsi="Lato" w:cs="Lato"/>
                <w:b/>
                <w:i w:val="0"/>
                <w:color w:val="2E7D44"/>
                <w:sz w:val="15"/>
              </w:rPr>
              <w:t>Retained (scope-limit)</w:t>
            </w:r>
          </w:p>
        </w:tc>
      </w:tr>
      <w:tr>
        <w:tc>
          <w:tcPr>
            <w:tcW w:type="dxa" w:w="3402"/>
            <w:shd w:val="clear" w:color="auto" w:fill="F4F7F9"/>
          </w:tcPr>
          <w:p>
            <w:pPr>
              <w:spacing w:after="20" w:before="0"/>
            </w:pPr>
            <w:r/>
            <w:r>
              <w:rPr>
                <w:rFonts w:ascii="Lato" w:hAnsi="Lato" w:cs="Lato"/>
                <w:b/>
                <w:i w:val="0"/>
                <w:color w:val="00648B"/>
                <w:sz w:val="15"/>
              </w:rPr>
              <w:t>Rushes / originals / negatives storage</w:t>
            </w:r>
          </w:p>
        </w:tc>
        <w:tc>
          <w:tcPr>
            <w:tcW w:type="dxa" w:w="2381"/>
            <w:shd w:val="clear" w:color="auto" w:fill="F4F7F9"/>
          </w:tcPr>
          <w:p>
            <w:pPr>
              <w:spacing w:after="20" w:before="0"/>
            </w:pPr>
            <w:r/>
            <w:r>
              <w:rPr>
                <w:rFonts w:ascii="Lato" w:hAnsi="Lato" w:cs="Lato"/>
                <w:b w:val="0"/>
                <w:i w:val="0"/>
                <w:color w:val="2B2F33"/>
                <w:sz w:val="15"/>
              </w:rPr>
              <w:t>Section 11</w:t>
            </w:r>
          </w:p>
        </w:tc>
        <w:tc>
          <w:tcPr>
            <w:tcW w:type="dxa" w:w="2608"/>
            <w:shd w:val="clear" w:color="auto" w:fill="F4F7F9"/>
          </w:tcPr>
          <w:p>
            <w:pPr>
              <w:spacing w:after="20" w:before="0"/>
            </w:pPr>
            <w:r/>
            <w:r>
              <w:rPr>
                <w:rFonts w:ascii="Lato" w:hAnsi="Lato" w:cs="Lato"/>
                <w:b w:val="0"/>
                <w:i w:val="0"/>
                <w:color w:val="2B2F33"/>
                <w:sz w:val="15"/>
              </w:rPr>
              <w:t>Storage CPs</w:t>
            </w:r>
          </w:p>
        </w:tc>
        <w:tc>
          <w:tcPr>
            <w:tcW w:type="dxa" w:w="2041"/>
            <w:shd w:val="clear" w:color="auto" w:fill="F4F7F9"/>
          </w:tcPr>
          <w:p>
            <w:pPr>
              <w:spacing w:after="20" w:before="0"/>
            </w:pPr>
            <w:r/>
            <w:r>
              <w:rPr>
                <w:rFonts w:ascii="Lato" w:hAnsi="Lato" w:cs="Lato"/>
                <w:b/>
                <w:i w:val="0"/>
                <w:color w:val="2E7D44"/>
                <w:sz w:val="15"/>
              </w:rPr>
              <w:t>Retained (scope-limit)</w:t>
            </w:r>
          </w:p>
        </w:tc>
      </w:tr>
      <w:tr>
        <w:tc>
          <w:tcPr>
            <w:tcW w:type="dxa" w:w="3402"/>
          </w:tcPr>
          <w:p>
            <w:pPr>
              <w:spacing w:after="20" w:before="0"/>
            </w:pPr>
            <w:r/>
            <w:r>
              <w:rPr>
                <w:rFonts w:ascii="Lato" w:hAnsi="Lato" w:cs="Lato"/>
                <w:b/>
                <w:i w:val="0"/>
                <w:color w:val="00648B"/>
                <w:sz w:val="15"/>
              </w:rPr>
              <w:t>Hazardous-activity risk assessment</w:t>
            </w:r>
          </w:p>
        </w:tc>
        <w:tc>
          <w:tcPr>
            <w:tcW w:type="dxa" w:w="2381"/>
          </w:tcPr>
          <w:p>
            <w:pPr>
              <w:spacing w:after="20" w:before="0"/>
            </w:pPr>
            <w:r/>
            <w:r>
              <w:rPr>
                <w:rFonts w:ascii="Lato" w:hAnsi="Lato" w:cs="Lato"/>
                <w:b w:val="0"/>
                <w:i w:val="0"/>
                <w:color w:val="2B2F33"/>
                <w:sz w:val="15"/>
              </w:rPr>
              <w:t>Section claims conditions</w:t>
            </w:r>
          </w:p>
        </w:tc>
        <w:tc>
          <w:tcPr>
            <w:tcW w:type="dxa" w:w="2608"/>
          </w:tcPr>
          <w:p>
            <w:pPr>
              <w:spacing w:after="20" w:before="0"/>
            </w:pPr>
            <w:r/>
            <w:r>
              <w:rPr>
                <w:rFonts w:ascii="Lato" w:hAnsi="Lato" w:cs="Lato"/>
                <w:b w:val="0"/>
                <w:i w:val="0"/>
                <w:color w:val="2B2F33"/>
                <w:sz w:val="15"/>
              </w:rPr>
              <w:t>Risk-improvement CP</w:t>
            </w:r>
          </w:p>
        </w:tc>
        <w:tc>
          <w:tcPr>
            <w:tcW w:type="dxa" w:w="2041"/>
          </w:tcPr>
          <w:p>
            <w:pPr>
              <w:spacing w:after="20" w:before="0"/>
            </w:pPr>
            <w:r/>
            <w:r>
              <w:rPr>
                <w:rFonts w:ascii="Lato" w:hAnsi="Lato" w:cs="Lato"/>
                <w:b/>
                <w:i w:val="0"/>
                <w:color w:val="2E7D44"/>
                <w:sz w:val="15"/>
              </w:rPr>
              <w:t>Retained (scope-limit)</w:t>
            </w:r>
          </w:p>
        </w:tc>
      </w:tr>
    </w:tbl>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Audit conclusion:  </w:t>
            </w:r>
            <w:r>
              <w:rPr>
                <w:rFonts w:ascii="Lato" w:hAnsi="Lato" w:cs="Lato"/>
                <w:b w:val="0"/>
                <w:i w:val="0"/>
                <w:color w:val="2B2F33"/>
                <w:sz w:val="19"/>
              </w:rPr>
              <w:t>No remaining GENERAL / policy-wide claims-notification or claims-cooperation requirement is described as a condition precedent. The section-level notification CPs and the security/storage/risk-improvement CPs are normal and were left intact per the scope limit.</w:t>
            </w:r>
          </w:p>
        </w:tc>
      </w:tr>
    </w:tbl>
    <w:p>
      <w:pPr>
        <w:spacing w:after="80"/>
      </w:pPr>
    </w:p>
    <w:p>
      <w:pPr>
        <w:keepNext/>
        <w:spacing w:before="120" w:after="20"/>
      </w:pPr>
      <w:r>
        <w:rPr>
          <w:rFonts w:ascii="Lato" w:hAnsi="Lato" w:cs="Lato"/>
          <w:b/>
          <w:i w:val="0"/>
          <w:color w:val="B88A3C"/>
          <w:sz w:val="20"/>
        </w:rPr>
        <w:t>Task 2 — Proof of Ownership and Value (new claims requirement)</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608"/>
        <w:gridCol w:w="12134"/>
      </w:tblGrid>
      <w:tr>
        <w:tc>
          <w:tcPr>
            <w:tcW w:type="dxa" w:w="2608"/>
            <w:shd w:val="clear" w:color="auto" w:fill="EAF1F5"/>
          </w:tcPr>
          <w:p>
            <w:pPr>
              <w:spacing w:after="20" w:before="0"/>
            </w:pPr>
            <w:r/>
            <w:r>
              <w:rPr>
                <w:rFonts w:ascii="Lato" w:hAnsi="Lato" w:cs="Lato"/>
                <w:b/>
                <w:i w:val="0"/>
                <w:color w:val="00648B"/>
                <w:sz w:val="16"/>
              </w:rPr>
              <w:t>Location inserted</w:t>
            </w:r>
          </w:p>
        </w:tc>
        <w:tc>
          <w:tcPr>
            <w:tcW w:type="dxa" w:w="12134"/>
          </w:tcPr>
          <w:p>
            <w:pPr>
              <w:spacing w:after="20" w:before="0"/>
            </w:pPr>
            <w:r/>
            <w:r>
              <w:rPr>
                <w:rFonts w:ascii="Lato" w:hAnsi="Lato" w:cs="Lato"/>
                <w:b w:val="0"/>
                <w:i w:val="0"/>
                <w:color w:val="2B2F33"/>
                <w:sz w:val="17"/>
              </w:rPr>
              <w:t>Policy Claims Conditions (Applicable to Sections 1–11), as a new headed claims condition placed (alphabetically) between 'Notification to the Police' and 'Terms of Settlement' (contents p.17).</w:t>
            </w:r>
          </w:p>
        </w:tc>
      </w:tr>
      <w:tr>
        <w:tc>
          <w:tcPr>
            <w:tcW w:type="dxa" w:w="2608"/>
            <w:shd w:val="clear" w:color="auto" w:fill="EAF1F5"/>
          </w:tcPr>
          <w:p>
            <w:pPr>
              <w:spacing w:after="20" w:before="0"/>
            </w:pPr>
            <w:r/>
            <w:r>
              <w:rPr>
                <w:rFonts w:ascii="Lato" w:hAnsi="Lato" w:cs="Lato"/>
                <w:b/>
                <w:i w:val="0"/>
                <w:color w:val="00648B"/>
                <w:sz w:val="16"/>
              </w:rPr>
              <w:t>Applies to</w:t>
            </w:r>
          </w:p>
        </w:tc>
        <w:tc>
          <w:tcPr>
            <w:tcW w:type="dxa" w:w="12134"/>
          </w:tcPr>
          <w:p>
            <w:pPr>
              <w:spacing w:after="20" w:before="0"/>
            </w:pPr>
            <w:r/>
            <w:r>
              <w:rPr>
                <w:rFonts w:ascii="Lato" w:hAnsi="Lato" w:cs="Lato"/>
                <w:b w:val="0"/>
                <w:i w:val="0"/>
                <w:color w:val="2B2F33"/>
                <w:sz w:val="17"/>
              </w:rPr>
              <w:t>Sections 1–11 (spans Property &amp; Equipment, Goods in Transit and Money). Item-level — not a blanket condition precedent or forfeiture.</w:t>
            </w:r>
          </w:p>
        </w:tc>
      </w:tr>
      <w:tr>
        <w:tc>
          <w:tcPr>
            <w:tcW w:type="dxa" w:w="2608"/>
            <w:shd w:val="clear" w:color="auto" w:fill="EAF1F5"/>
          </w:tcPr>
          <w:p>
            <w:pPr>
              <w:spacing w:after="20" w:before="0"/>
            </w:pPr>
            <w:r/>
            <w:r>
              <w:rPr>
                <w:rFonts w:ascii="Lato" w:hAnsi="Lato" w:cs="Lato"/>
                <w:b/>
                <w:i w:val="0"/>
                <w:color w:val="00648B"/>
                <w:sz w:val="16"/>
              </w:rPr>
              <w:t>Wording inserted</w:t>
            </w:r>
          </w:p>
        </w:tc>
        <w:tc>
          <w:tcPr>
            <w:tcW w:type="dxa" w:w="12134"/>
          </w:tcPr>
          <w:p>
            <w:pPr>
              <w:spacing w:after="20" w:before="0"/>
            </w:pPr>
            <w:r/>
            <w:r>
              <w:rPr>
                <w:rFonts w:ascii="Lato" w:hAnsi="Lato" w:cs="Lato"/>
                <w:b w:val="0"/>
                <w:i w:val="0"/>
                <w:color w:val="2B2F33"/>
                <w:sz w:val="17"/>
              </w:rPr>
              <w:t>'Following any claim for theft or loss, the Insurer may request reasonable evidence of ownership and value in respect of any high value item or any item insured on an Agreed Value basis … The Insured shall provide such evidence within a reasonable period … The Insurer shall not be obliged to pay any claim, or part of a claim, for an affected item where the Insured fails to provide the evidence reasonably requested.'</w:t>
            </w:r>
          </w:p>
        </w:tc>
      </w:tr>
      <w:tr>
        <w:tc>
          <w:tcPr>
            <w:tcW w:type="dxa" w:w="2608"/>
            <w:shd w:val="clear" w:color="auto" w:fill="EAF1F5"/>
          </w:tcPr>
          <w:p>
            <w:pPr>
              <w:spacing w:after="20" w:before="0"/>
            </w:pPr>
            <w:r/>
            <w:r>
              <w:rPr>
                <w:rFonts w:ascii="Lato" w:hAnsi="Lato" w:cs="Lato"/>
                <w:b/>
                <w:i w:val="0"/>
                <w:color w:val="00648B"/>
                <w:sz w:val="16"/>
              </w:rPr>
              <w:t>Schedule cross-reference</w:t>
            </w:r>
          </w:p>
        </w:tc>
        <w:tc>
          <w:tcPr>
            <w:tcW w:type="dxa" w:w="12134"/>
          </w:tcPr>
          <w:p>
            <w:pPr>
              <w:spacing w:after="20" w:before="0"/>
            </w:pPr>
            <w:r/>
            <w:r>
              <w:rPr>
                <w:rFonts w:ascii="Lato" w:hAnsi="Lato" w:cs="Lato"/>
                <w:b w:val="0"/>
                <w:i w:val="0"/>
                <w:color w:val="2B2F33"/>
                <w:sz w:val="17"/>
              </w:rPr>
              <w:t>References items insured on an 'Agreed Value' basis (Section 2 uses an Agreed Value Basis of Settlement). No new Schedule definition required; 'high value item' is left to the Schedule/sub-limits.</w:t>
            </w:r>
          </w:p>
        </w:tc>
      </w:tr>
    </w:tbl>
    <w:p>
      <w:pPr>
        <w:spacing w:after="120"/>
      </w:pPr>
    </w:p>
    <w:p>
      <w:pPr>
        <w:keepNext/>
        <w:spacing w:before="120" w:after="20"/>
      </w:pPr>
      <w:r>
        <w:rPr>
          <w:rFonts w:ascii="Lato" w:hAnsi="Lato" w:cs="Lato"/>
          <w:b/>
          <w:i w:val="0"/>
          <w:color w:val="B88A3C"/>
          <w:sz w:val="20"/>
        </w:rPr>
        <w:t>Task 4 — Gap 8 (ICOW / Book Debts) implemented</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608"/>
        <w:gridCol w:w="12134"/>
      </w:tblGrid>
      <w:tr>
        <w:tc>
          <w:tcPr>
            <w:tcW w:type="dxa" w:w="2608"/>
            <w:shd w:val="clear" w:color="auto" w:fill="EAF1F5"/>
          </w:tcPr>
          <w:p>
            <w:pPr>
              <w:spacing w:after="20" w:before="0"/>
            </w:pPr>
            <w:r/>
            <w:r>
              <w:rPr>
                <w:rFonts w:ascii="Lato" w:hAnsi="Lato" w:cs="Lato"/>
                <w:b/>
                <w:i w:val="0"/>
                <w:color w:val="00648B"/>
                <w:sz w:val="16"/>
              </w:rPr>
              <w:t>Location</w:t>
            </w:r>
          </w:p>
        </w:tc>
        <w:tc>
          <w:tcPr>
            <w:tcW w:type="dxa" w:w="12134"/>
          </w:tcPr>
          <w:p>
            <w:pPr>
              <w:spacing w:after="20" w:before="0"/>
            </w:pPr>
            <w:r/>
            <w:r>
              <w:rPr>
                <w:rFonts w:ascii="Lato" w:hAnsi="Lato" w:cs="Lato"/>
                <w:b w:val="0"/>
                <w:i w:val="0"/>
                <w:color w:val="2B2F33"/>
                <w:sz w:val="17"/>
              </w:rPr>
              <w:t>Section 3 (Business Interruption) — Definitions and Basis of Settlement, 'Accounts Receivable' head (contents p.38).</w:t>
            </w:r>
          </w:p>
        </w:tc>
      </w:tr>
      <w:tr>
        <w:tc>
          <w:tcPr>
            <w:tcW w:type="dxa" w:w="2608"/>
            <w:shd w:val="clear" w:color="auto" w:fill="EAF1F5"/>
          </w:tcPr>
          <w:p>
            <w:pPr>
              <w:spacing w:after="20" w:before="0"/>
            </w:pPr>
            <w:r/>
            <w:r>
              <w:rPr>
                <w:rFonts w:ascii="Lato" w:hAnsi="Lato" w:cs="Lato"/>
                <w:b/>
                <w:i w:val="0"/>
                <w:color w:val="00648B"/>
                <w:sz w:val="16"/>
              </w:rPr>
              <w:t>Change</w:t>
            </w:r>
          </w:p>
        </w:tc>
        <w:tc>
          <w:tcPr>
            <w:tcW w:type="dxa" w:w="12134"/>
          </w:tcPr>
          <w:p>
            <w:pPr>
              <w:spacing w:after="20" w:before="0"/>
            </w:pPr>
            <w:r/>
            <w:r>
              <w:rPr>
                <w:rFonts w:ascii="Lato" w:hAnsi="Lato" w:cs="Lato"/>
                <w:b w:val="0"/>
                <w:i w:val="0"/>
                <w:color w:val="2B2F33"/>
                <w:sz w:val="17"/>
              </w:rPr>
              <w:t>'Accounts Receivable' re-labelled 'Accounts Receivable (Book Debts)' in both the Definitions and the Basis of Settlement (tracked insertion).</w:t>
            </w:r>
          </w:p>
        </w:tc>
      </w:tr>
      <w:tr>
        <w:tc>
          <w:tcPr>
            <w:tcW w:type="dxa" w:w="2608"/>
            <w:shd w:val="clear" w:color="auto" w:fill="EAF1F5"/>
          </w:tcPr>
          <w:p>
            <w:pPr>
              <w:spacing w:after="20" w:before="0"/>
            </w:pPr>
            <w:r/>
            <w:r>
              <w:rPr>
                <w:rFonts w:ascii="Lato" w:hAnsi="Lato" w:cs="Lato"/>
                <w:b/>
                <w:i w:val="0"/>
                <w:color w:val="00648B"/>
                <w:sz w:val="16"/>
              </w:rPr>
              <w:t>Why</w:t>
            </w:r>
          </w:p>
        </w:tc>
        <w:tc>
          <w:tcPr>
            <w:tcW w:type="dxa" w:w="12134"/>
          </w:tcPr>
          <w:p>
            <w:pPr>
              <w:spacing w:after="20" w:before="0"/>
            </w:pPr>
            <w:r/>
            <w:r>
              <w:rPr>
                <w:rFonts w:ascii="Lato" w:hAnsi="Lato" w:cs="Lato"/>
                <w:b w:val="0"/>
                <w:i w:val="0"/>
                <w:color w:val="2B2F33"/>
                <w:sz w:val="17"/>
              </w:rPr>
              <w:t>Increase in Cost of Working and Additional Increase in Cost of Working are ALREADY named, discrete settlement heads; book-debts cover already exists as 'Accounts Receivable'. The only refinement needed was presentational labelling for like-for-like comparison with Allianz/AXA XL. No cover broadened; no sign-off.</w:t>
            </w:r>
          </w:p>
        </w:tc>
      </w:tr>
    </w:tbl>
    <w:p>
      <w:pPr>
        <w:spacing w:after="120"/>
      </w:pPr>
    </w:p>
    <w:p>
      <w:pPr>
        <w:keepNext/>
        <w:spacing w:before="120" w:after="20"/>
      </w:pPr>
      <w:r>
        <w:rPr>
          <w:rFonts w:ascii="Lato" w:hAnsi="Lato" w:cs="Lato"/>
          <w:b/>
          <w:i w:val="0"/>
          <w:color w:val="B88A3C"/>
          <w:sz w:val="20"/>
        </w:rPr>
        <w:t>Task 11 — Section 15 title standardised</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608"/>
        <w:gridCol w:w="12134"/>
      </w:tblGrid>
      <w:tr>
        <w:tc>
          <w:tcPr>
            <w:tcW w:type="dxa" w:w="2608"/>
            <w:shd w:val="clear" w:color="auto" w:fill="EAF1F5"/>
          </w:tcPr>
          <w:p>
            <w:pPr>
              <w:spacing w:after="20" w:before="0"/>
            </w:pPr>
            <w:r/>
            <w:r>
              <w:rPr>
                <w:rFonts w:ascii="Lato" w:hAnsi="Lato" w:cs="Lato"/>
                <w:b/>
                <w:i w:val="0"/>
                <w:color w:val="00648B"/>
                <w:sz w:val="16"/>
              </w:rPr>
              <w:t>Body heading</w:t>
            </w:r>
          </w:p>
        </w:tc>
        <w:tc>
          <w:tcPr>
            <w:tcW w:type="dxa" w:w="12134"/>
          </w:tcPr>
          <w:p>
            <w:pPr>
              <w:spacing w:after="20" w:before="0"/>
            </w:pPr>
            <w:r/>
            <w:r>
              <w:rPr>
                <w:rFonts w:ascii="Lato" w:hAnsi="Lato" w:cs="Lato"/>
                <w:b w:val="0"/>
                <w:i w:val="0"/>
                <w:color w:val="2B2F33"/>
                <w:sz w:val="17"/>
              </w:rPr>
              <w:t>'Section 15 - CyberGuard™' → 'Section 15 - CyberGuard™ (Cyber Liability)' (tracked insertion).</w:t>
            </w:r>
          </w:p>
        </w:tc>
      </w:tr>
      <w:tr>
        <w:tc>
          <w:tcPr>
            <w:tcW w:type="dxa" w:w="2608"/>
            <w:shd w:val="clear" w:color="auto" w:fill="EAF1F5"/>
          </w:tcPr>
          <w:p>
            <w:pPr>
              <w:spacing w:after="20" w:before="0"/>
            </w:pPr>
            <w:r/>
            <w:r>
              <w:rPr>
                <w:rFonts w:ascii="Lato" w:hAnsi="Lato" w:cs="Lato"/>
                <w:b/>
                <w:i w:val="0"/>
                <w:color w:val="00648B"/>
                <w:sz w:val="16"/>
              </w:rPr>
              <w:t>Contents entry</w:t>
            </w:r>
          </w:p>
        </w:tc>
        <w:tc>
          <w:tcPr>
            <w:tcW w:type="dxa" w:w="12134"/>
          </w:tcPr>
          <w:p>
            <w:pPr>
              <w:spacing w:after="20" w:before="0"/>
            </w:pPr>
            <w:r/>
            <w:r>
              <w:rPr>
                <w:rFonts w:ascii="Lato" w:hAnsi="Lato" w:cs="Lato"/>
                <w:b w:val="0"/>
                <w:i w:val="0"/>
                <w:color w:val="2B2F33"/>
                <w:sz w:val="17"/>
              </w:rPr>
              <w:t>'Section 15: Cyber Liability Section' → 'Section 15: CyberGuard™ (Cyber Liability)' (tracked; hyperlink anchor unchanged).</w:t>
            </w:r>
          </w:p>
        </w:tc>
      </w:tr>
      <w:tr>
        <w:tc>
          <w:tcPr>
            <w:tcW w:type="dxa" w:w="2608"/>
            <w:shd w:val="clear" w:color="auto" w:fill="EAF1F5"/>
          </w:tcPr>
          <w:p>
            <w:pPr>
              <w:spacing w:after="20" w:before="0"/>
            </w:pPr>
            <w:r/>
            <w:r>
              <w:rPr>
                <w:rFonts w:ascii="Lato" w:hAnsi="Lato" w:cs="Lato"/>
                <w:b/>
                <w:i w:val="0"/>
                <w:color w:val="00648B"/>
                <w:sz w:val="16"/>
              </w:rPr>
              <w:t>Summary of Cover</w:t>
            </w:r>
          </w:p>
        </w:tc>
        <w:tc>
          <w:tcPr>
            <w:tcW w:type="dxa" w:w="12134"/>
          </w:tcPr>
          <w:p>
            <w:pPr>
              <w:spacing w:after="20" w:before="0"/>
            </w:pPr>
            <w:r/>
            <w:r>
              <w:rPr>
                <w:rFonts w:ascii="Lato" w:hAnsi="Lato" w:cs="Lato"/>
                <w:b w:val="0"/>
                <w:i w:val="0"/>
                <w:color w:val="2B2F33"/>
                <w:sz w:val="17"/>
              </w:rPr>
              <w:t>Updated to 'CyberGuard™ (Cyber Liability)' (table + section header).</w:t>
            </w:r>
          </w:p>
        </w:tc>
      </w:tr>
      <w:tr>
        <w:tc>
          <w:tcPr>
            <w:tcW w:type="dxa" w:w="2608"/>
            <w:shd w:val="clear" w:color="auto" w:fill="EAF1F5"/>
          </w:tcPr>
          <w:p>
            <w:pPr>
              <w:spacing w:after="20" w:before="0"/>
            </w:pPr>
            <w:r/>
            <w:r>
              <w:rPr>
                <w:rFonts w:ascii="Lato" w:hAnsi="Lato" w:cs="Lato"/>
                <w:b/>
                <w:i w:val="0"/>
                <w:color w:val="00648B"/>
                <w:sz w:val="16"/>
              </w:rPr>
              <w:t>Section 11</w:t>
            </w:r>
          </w:p>
        </w:tc>
        <w:tc>
          <w:tcPr>
            <w:tcW w:type="dxa" w:w="12134"/>
          </w:tcPr>
          <w:p>
            <w:pPr>
              <w:spacing w:after="20" w:before="0"/>
            </w:pPr>
            <w:r/>
            <w:r>
              <w:rPr>
                <w:rFonts w:ascii="Lato" w:hAnsi="Lato" w:cs="Lato"/>
                <w:b w:val="0"/>
                <w:i w:val="0"/>
                <w:color w:val="2B2F33"/>
                <w:sz w:val="17"/>
              </w:rPr>
              <w:t>Left as 'Production Indemnity “All Risks”' — already consistent.</w:t>
            </w:r>
          </w:p>
        </w:tc>
      </w:tr>
      <w:tr>
        <w:tc>
          <w:tcPr>
            <w:tcW w:type="dxa" w:w="2608"/>
            <w:shd w:val="clear" w:color="auto" w:fill="EAF1F5"/>
          </w:tcPr>
          <w:p>
            <w:pPr>
              <w:spacing w:after="20" w:before="0"/>
            </w:pPr>
            <w:r/>
            <w:r>
              <w:rPr>
                <w:rFonts w:ascii="Lato" w:hAnsi="Lato" w:cs="Lato"/>
                <w:b/>
                <w:i w:val="0"/>
                <w:color w:val="00648B"/>
                <w:sz w:val="16"/>
              </w:rPr>
              <w:t>Decision</w:t>
            </w:r>
          </w:p>
        </w:tc>
        <w:tc>
          <w:tcPr>
            <w:tcW w:type="dxa" w:w="12134"/>
          </w:tcPr>
          <w:p>
            <w:pPr>
              <w:spacing w:after="20" w:before="0"/>
            </w:pPr>
            <w:r/>
            <w:r>
              <w:rPr>
                <w:rFonts w:ascii="Lato" w:hAnsi="Lato" w:cs="Lato"/>
                <w:b w:val="0"/>
                <w:i w:val="0"/>
                <w:color w:val="2B2F33"/>
                <w:sz w:val="17"/>
              </w:rPr>
              <w:t>Default label 'CyberGuard™ (Cyber Liability)' adopted. SEE REVIEWER NOTES — confirm preferred label.</w:t>
            </w:r>
          </w:p>
        </w:tc>
      </w:tr>
    </w:tbl>
    <w:p>
      <w:pPr>
        <w:spacing w:after="120"/>
      </w:pPr>
    </w:p>
    <w:p>
      <w:r>
        <w:br w:type="page"/>
      </w:r>
    </w:p>
    <w:p>
      <w:pPr>
        <w:keepNext/>
        <w:spacing w:before="280" w:after="40"/>
        <w:pBdr>
          <w:bottom w:val="single" w:sz="8" w:space="2" w:color="B88A3C"/>
        </w:pBdr>
      </w:pPr>
      <w:r>
        <w:rPr>
          <w:rFonts w:ascii="Lato" w:hAnsi="Lato" w:cs="Lato"/>
          <w:b/>
          <w:i w:val="0"/>
          <w:color w:val="B88A3C"/>
          <w:sz w:val="30"/>
        </w:rPr>
        <w:t xml:space="preserve">4  </w:t>
      </w:r>
      <w:r>
        <w:rPr>
          <w:rFonts w:ascii="Lato" w:hAnsi="Lato" w:cs="Lato"/>
          <w:b/>
          <w:i w:val="0"/>
          <w:color w:val="00648B"/>
          <w:sz w:val="30"/>
        </w:rPr>
        <w:t>Gap 2 / 8 / 10 — final positions</w:t>
      </w:r>
    </w:p>
    <w:p>
      <w:pPr>
        <w:keepNext/>
        <w:spacing w:before="120" w:after="20"/>
      </w:pPr>
      <w:r>
        <w:rPr>
          <w:rFonts w:ascii="Lato" w:hAnsi="Lato" w:cs="Lato"/>
          <w:b/>
          <w:i w:val="0"/>
          <w:color w:val="B88A3C"/>
          <w:sz w:val="20"/>
        </w:rPr>
        <w:t>Gap 2 — Worldwide / WW Media Liability (Section 12 — sign-off)</w:t>
      </w:r>
    </w:p>
    <w:p>
      <w:pPr>
        <w:spacing w:after="80" w:before="0"/>
        <w:jc w:val="both"/>
      </w:pPr>
      <w:r>
        <w:rPr>
          <w:rFonts w:ascii="Lato" w:hAnsi="Lato" w:cs="Lato"/>
          <w:b w:val="0"/>
          <w:i w:val="0"/>
          <w:color w:val="2B2F33"/>
          <w:sz w:val="19"/>
        </w:rPr>
        <w:t>Current wording: Section 12 territory is bounded by the Schedule 'Geographical Limits' and the 'Jurisdiction' definition (default = worldwide EXCLUDING the USA and Canada where the Schedule is silent); the 'Legal Action' exclusion bars claims brought, or governed by laws, outside the Jurisdiction. There is no single clean Schedule-selectable 'Worldwide (incl. USA/Canada)' switch. A drafted optional 'Worldwide Territory and Jurisdiction (Optional)' provision plus a separate 'USA/Canada Jurisdiction' selectable is held in the Section 12 sign-off list (Gap-Fill Summary). NOT applied to the wording — ALL Section 12 changes require legal/underwriting sign-off.</w:t>
      </w:r>
    </w:p>
    <w:p>
      <w:pPr>
        <w:keepNext/>
        <w:spacing w:before="120" w:after="20"/>
      </w:pPr>
      <w:r>
        <w:rPr>
          <w:rFonts w:ascii="Lato" w:hAnsi="Lato" w:cs="Lato"/>
          <w:b/>
          <w:i w:val="0"/>
          <w:color w:val="B88A3C"/>
          <w:sz w:val="20"/>
        </w:rPr>
        <w:t>Gap 8 — ICOW / Book Debts (implemented)</w:t>
      </w:r>
    </w:p>
    <w:p>
      <w:pPr>
        <w:spacing w:after="80" w:before="0"/>
        <w:jc w:val="both"/>
      </w:pPr>
      <w:r>
        <w:rPr>
          <w:rFonts w:ascii="Lato" w:hAnsi="Lato" w:cs="Lato"/>
          <w:b w:val="0"/>
          <w:i w:val="0"/>
          <w:color w:val="2B2F33"/>
          <w:sz w:val="19"/>
        </w:rPr>
        <w:t>Already substantially met: ICOW and AICOW are named settlement heads in Section 3 and book-debts cover exists as 'Accounts Receivable'. Implemented as a presentational label '(Book Debts)' (tracked). No broadening; no sign-off.</w:t>
      </w:r>
    </w:p>
    <w:p>
      <w:pPr>
        <w:keepNext/>
        <w:spacing w:before="120" w:after="20"/>
      </w:pPr>
      <w:r>
        <w:rPr>
          <w:rFonts w:ascii="Lato" w:hAnsi="Lato" w:cs="Lato"/>
          <w:b/>
          <w:i w:val="0"/>
          <w:color w:val="B88A3C"/>
          <w:sz w:val="20"/>
        </w:rPr>
        <w:t>Gap 10 — Breakdown / Yutree position</w:t>
      </w:r>
    </w:p>
    <w:p>
      <w:pPr>
        <w:spacing w:after="80" w:before="0"/>
        <w:jc w:val="both"/>
      </w:pPr>
      <w:r>
        <w:rPr>
          <w:rFonts w:ascii="Lato" w:hAnsi="Lato" w:cs="Lato"/>
          <w:b w:val="0"/>
          <w:i w:val="0"/>
          <w:color w:val="2B2F33"/>
          <w:sz w:val="19"/>
        </w:rPr>
        <w:t>Section 1 (Premises) DEFINES 'Breakdown' and covers/pays Information Technology Property 'Breakdown' (definition, 'The Cover', Basis of Settlement) — the old Section 4 IT-Property breakdown, preserved faithfully; this matches Yutree’s dedicated Computer Breakdown section. Section 2 carries a 'Mechanical and Electrical Breakdown' OPTIONAL EXTENSION with its own broad Breakdown definition covering ALL Property Insured — this mirrors Yutree’s general 'Mechanical and electrical breakdown cover'. No wording change made (no general breakdown added to Section 2; nothing removed). SEE REVIEWER NOTES.</w:t>
      </w:r>
    </w:p>
    <w:p>
      <w:r>
        <w:br w:type="page"/>
      </w:r>
    </w:p>
    <w:p>
      <w:pPr>
        <w:keepNext/>
        <w:spacing w:before="280" w:after="40"/>
        <w:pBdr>
          <w:bottom w:val="single" w:sz="8" w:space="2" w:color="B88A3C"/>
        </w:pBdr>
      </w:pPr>
      <w:r>
        <w:rPr>
          <w:rFonts w:ascii="Lato" w:hAnsi="Lato" w:cs="Lato"/>
          <w:b/>
          <w:i w:val="0"/>
          <w:color w:val="B88A3C"/>
          <w:sz w:val="30"/>
        </w:rPr>
        <w:t xml:space="preserve">5  </w:t>
      </w:r>
      <w:r>
        <w:rPr>
          <w:rFonts w:ascii="Lato" w:hAnsi="Lato" w:cs="Lato"/>
          <w:b/>
          <w:i w:val="0"/>
          <w:color w:val="00648B"/>
          <w:sz w:val="30"/>
        </w:rPr>
        <w:t>Items requiring legal / underwriting sign-off</w:t>
      </w:r>
    </w:p>
    <w:p>
      <w:pPr>
        <w:pStyle w:val="ListBullet"/>
        <w:spacing w:after="40"/>
        <w:ind w:left="340"/>
      </w:pPr>
      <w:r>
        <w:rPr>
          <w:rFonts w:ascii="Lato" w:hAnsi="Lato" w:cs="Lato"/>
          <w:b w:val="0"/>
          <w:i w:val="0"/>
          <w:color w:val="2B2F33"/>
          <w:sz w:val="19"/>
        </w:rPr>
        <w:t>Gap 2 — Worldwide Territory &amp; Jurisdiction (Optional) and the separate USA/Canada selectable (Section 12).</w:t>
      </w:r>
    </w:p>
    <w:p>
      <w:pPr>
        <w:pStyle w:val="ListBullet"/>
        <w:spacing w:after="40"/>
        <w:ind w:left="340"/>
      </w:pPr>
      <w:r>
        <w:rPr>
          <w:rFonts w:ascii="Lato" w:hAnsi="Lato" w:cs="Lato"/>
          <w:b w:val="0"/>
          <w:i w:val="0"/>
          <w:color w:val="2B2F33"/>
          <w:sz w:val="19"/>
        </w:rPr>
        <w:t>Section 12 enhancements held in the sign-off list: Distributors &amp; Purchasers; Criminal/Regulatory defence costs (or S13/S14 cross-reference); Journalistic Source Protection costs; Representation Costs at Investigations (GBP 25k); Asbestos/Pollution professional-duty write-back (negligent advice only); King’s Counsel determination clause; 'Media Material' definition; Reputation Management / Withdrawal of Content optional uplift.</w:t>
      </w:r>
    </w:p>
    <w:p>
      <w:pPr>
        <w:pStyle w:val="ListBullet"/>
        <w:spacing w:after="40"/>
        <w:ind w:left="340"/>
      </w:pPr>
      <w:r>
        <w:rPr>
          <w:rFonts w:ascii="Lato" w:hAnsi="Lato" w:cs="Lato"/>
          <w:b w:val="0"/>
          <w:i w:val="0"/>
          <w:color w:val="2B2F33"/>
          <w:sz w:val="19"/>
        </w:rPr>
        <w:t>Any decision to narrow the Section 2 Mechanical &amp; Electrical Breakdown optional extension to IT-only (would remove existing cover and make TMHCC narrower than Yutree).</w:t>
      </w:r>
    </w:p>
    <w:p>
      <w:pPr>
        <w:pStyle w:val="ListBullet"/>
        <w:spacing w:after="40"/>
        <w:ind w:left="340"/>
      </w:pPr>
      <w:r>
        <w:rPr>
          <w:rFonts w:ascii="Lato" w:hAnsi="Lato" w:cs="Lato"/>
          <w:b w:val="0"/>
          <w:i w:val="0"/>
          <w:color w:val="2B2F33"/>
          <w:sz w:val="19"/>
        </w:rPr>
        <w:t>Any decision to add a Personal Accident &amp; Business Travel section (NOT added in this round).</w:t>
      </w:r>
    </w:p>
    <w:p>
      <w:pPr>
        <w:pStyle w:val="ListBullet"/>
        <w:spacing w:after="40"/>
        <w:ind w:left="340"/>
      </w:pPr>
      <w:r>
        <w:rPr>
          <w:rFonts w:ascii="Lato" w:hAnsi="Lato" w:cs="Lato"/>
          <w:b w:val="0"/>
          <w:i w:val="0"/>
          <w:color w:val="2B2F33"/>
          <w:sz w:val="19"/>
        </w:rPr>
        <w:t>Confirmation of the Section 15 label.</w:t>
      </w:r>
    </w:p>
    <w:tbl>
      <w:tblPr>
        <w:tblW w:type="pct" w:w="5000"/>
        <w:tblLayout w:type="fixed"/>
        <w:tblLook w:firstColumn="1" w:firstRow="1" w:lastColumn="0" w:lastRow="0" w:noHBand="0" w:noVBand="1" w:val="04A0"/>
      </w:tblPr>
      <w:tblGrid>
        <w:gridCol w:w="9978"/>
      </w:tblGrid>
      <w:tr>
        <w:tc>
          <w:tcPr>
            <w:tcW w:type="dxa" w:w="9978"/>
            <w:shd w:val="clear" w:color="auto" w:fill="EAF1F5"/>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Section 12 control:  </w:t>
            </w:r>
            <w:r>
              <w:rPr>
                <w:rFonts w:ascii="Lato" w:hAnsi="Lato" w:cs="Lato"/>
                <w:b w:val="0"/>
                <w:i w:val="0"/>
                <w:color w:val="2B2F33"/>
                <w:sz w:val="19"/>
              </w:rPr>
              <w:t>No Section 12 change appears in the tracked-changes wording or the clean final wording. They are presented only as suggested upgrades with copy-paste wording, exact location, amendment type, rationale/competitor support and a sign-off note in the Gap-Fill Summary.</w:t>
            </w:r>
          </w:p>
        </w:tc>
      </w:tr>
    </w:tbl>
    <w:p>
      <w:pPr>
        <w:spacing w:after="80"/>
      </w:pPr>
    </w:p>
    <w:p>
      <w:r>
        <w:br w:type="page"/>
      </w:r>
    </w:p>
    <w:p>
      <w:pPr>
        <w:keepNext/>
        <w:spacing w:before="280" w:after="40"/>
        <w:pBdr>
          <w:bottom w:val="single" w:sz="8" w:space="2" w:color="B88A3C"/>
        </w:pBdr>
      </w:pPr>
      <w:r>
        <w:rPr>
          <w:rFonts w:ascii="Lato" w:hAnsi="Lato" w:cs="Lato"/>
          <w:b/>
          <w:i w:val="0"/>
          <w:color w:val="B88A3C"/>
          <w:sz w:val="30"/>
        </w:rPr>
        <w:t xml:space="preserve">6  </w:t>
      </w:r>
      <w:r>
        <w:rPr>
          <w:rFonts w:ascii="Lato" w:hAnsi="Lato" w:cs="Lato"/>
          <w:b/>
          <w:i w:val="0"/>
          <w:color w:val="00648B"/>
          <w:sz w:val="30"/>
        </w:rPr>
        <w:t>TMHCC strengths added to the comparison (and UNCONFIRMED items)</w:t>
      </w:r>
    </w:p>
    <w:p>
      <w:pPr>
        <w:spacing w:after="80" w:before="0"/>
        <w:jc w:val="both"/>
      </w:pPr>
      <w:r>
        <w:rPr>
          <w:rFonts w:ascii="Lato" w:hAnsi="Lato" w:cs="Lato"/>
          <w:b w:val="0"/>
          <w:i w:val="0"/>
          <w:color w:val="2B2F33"/>
          <w:sz w:val="19"/>
        </w:rPr>
        <w:t>Six strength areas were expanded and evidenced against the final wording, each with our clause/page and a competitor benchmark: (1) Flexible first-loss Business Interruption; (2) Contract Site extension (Section 3); (3) Section 2 worldwide Property &amp; Equipment; (4) floating contents across premises; (5) higher limits / broader extensions; (6) US / USA-Canada / jurisdiction.</w:t>
      </w:r>
    </w:p>
    <w:p>
      <w:pPr>
        <w:spacing w:after="80" w:before="0"/>
        <w:jc w:val="both"/>
      </w:pPr>
      <w:r>
        <w:rPr>
          <w:rFonts w:ascii="Lato" w:hAnsi="Lato" w:cs="Lato"/>
          <w:b w:val="0"/>
          <w:i w:val="0"/>
          <w:color w:val="2B2F33"/>
          <w:sz w:val="19"/>
        </w:rPr>
        <w:t>Competitor wordings ARE attached (Tysers, Yutree, Liberty, Allianz, AXA XL), so 'market-leading' claims are evidence-based rather than blanket-UNCONFIRMED. Where a specific competitor figure could not be re-confirmed clause-by-clause from the extract, it is labelled UNCONFIRMED in the comparison: competitor BI flexibility/parity, contract-site/supplier extensions, location-basis (floating contents) and competitor transit day-limits. CONFIRMED from extracts: TMHCC virus-transmission sub-limit GBP 500k vs Tysers GBP 250k; Liberty/Allianz/AXA XL carry no media/PI/cyber/legal/management cover.</w:t>
      </w:r>
    </w:p>
    <w:p>
      <w:r>
        <w:br w:type="page"/>
      </w:r>
    </w:p>
    <w:p>
      <w:pPr>
        <w:keepNext/>
        <w:spacing w:before="280" w:after="40"/>
        <w:pBdr>
          <w:bottom w:val="single" w:sz="8" w:space="2" w:color="B88A3C"/>
        </w:pBdr>
      </w:pPr>
      <w:r>
        <w:rPr>
          <w:rFonts w:ascii="Lato" w:hAnsi="Lato" w:cs="Lato"/>
          <w:b/>
          <w:i w:val="0"/>
          <w:color w:val="B88A3C"/>
          <w:sz w:val="30"/>
        </w:rPr>
        <w:t xml:space="preserve">7  </w:t>
      </w:r>
      <w:r>
        <w:rPr>
          <w:rFonts w:ascii="Lato" w:hAnsi="Lato" w:cs="Lato"/>
          <w:b/>
          <w:i w:val="0"/>
          <w:color w:val="00648B"/>
          <w:sz w:val="30"/>
        </w:rPr>
        <w:t>Final QA checklist</w:t>
      </w:r>
    </w:p>
    <w:tbl>
      <w:tblPr>
        <w:tblW w:type="dxa" w:w="1474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11056"/>
        <w:gridCol w:w="3686"/>
      </w:tblGrid>
      <w:tr>
        <w:tc>
          <w:tcPr>
            <w:tcW w:type="dxa" w:w="11055"/>
            <w:shd w:val="clear" w:color="auto" w:fill="00648B"/>
          </w:tcPr>
          <w:p>
            <w:pPr>
              <w:spacing w:after="20" w:before="0"/>
              <w:jc w:val="center"/>
            </w:pPr>
            <w:r/>
            <w:r>
              <w:rPr>
                <w:rFonts w:ascii="Lato" w:hAnsi="Lato" w:cs="Lato"/>
                <w:b/>
                <w:i w:val="0"/>
                <w:color w:val="FFFFFF"/>
                <w:sz w:val="17"/>
              </w:rPr>
              <w:t>Check</w:t>
            </w:r>
          </w:p>
        </w:tc>
        <w:tc>
          <w:tcPr>
            <w:tcW w:type="dxa" w:w="3685"/>
            <w:shd w:val="clear" w:color="auto" w:fill="00648B"/>
          </w:tcPr>
          <w:p>
            <w:pPr>
              <w:spacing w:after="20" w:before="0"/>
              <w:jc w:val="center"/>
            </w:pPr>
            <w:r/>
            <w:r>
              <w:rPr>
                <w:rFonts w:ascii="Lato" w:hAnsi="Lato" w:cs="Lato"/>
                <w:b/>
                <w:i w:val="0"/>
                <w:color w:val="FFFFFF"/>
                <w:sz w:val="17"/>
              </w:rPr>
              <w:t>Status</w:t>
            </w:r>
          </w:p>
        </w:tc>
      </w:tr>
      <w:tr>
        <w:tc>
          <w:tcPr>
            <w:tcW w:type="dxa" w:w="11056"/>
          </w:tcPr>
          <w:p>
            <w:pPr>
              <w:spacing w:after="20" w:before="0"/>
            </w:pPr>
            <w:r/>
            <w:r>
              <w:rPr>
                <w:rFonts w:ascii="Lato" w:hAnsi="Lato" w:cs="Lato"/>
                <w:b w:val="0"/>
                <w:i w:val="0"/>
                <w:color w:val="2B2F33"/>
                <w:sz w:val="16"/>
              </w:rPr>
              <w:t>All old tracked changes accepted before new edits</w:t>
            </w:r>
          </w:p>
        </w:tc>
        <w:tc>
          <w:tcPr>
            <w:tcW w:type="dxa" w:w="3686"/>
          </w:tcPr>
          <w:p>
            <w:pPr>
              <w:spacing w:after="20" w:before="0"/>
              <w:jc w:val="center"/>
            </w:pPr>
            <w:r/>
            <w:r>
              <w:rPr>
                <w:rFonts w:ascii="Lato" w:hAnsi="Lato" w:cs="Lato"/>
                <w:b/>
                <w:i w:val="0"/>
                <w:color w:val="2E7D44"/>
                <w:sz w:val="16"/>
              </w:rPr>
              <w:t>YES</w:t>
            </w:r>
          </w:p>
        </w:tc>
      </w:tr>
      <w:tr>
        <w:tc>
          <w:tcPr>
            <w:tcW w:type="dxa" w:w="11056"/>
            <w:shd w:val="clear" w:color="auto" w:fill="F4F7F9"/>
          </w:tcPr>
          <w:p>
            <w:pPr>
              <w:spacing w:after="20" w:before="0"/>
            </w:pPr>
            <w:r/>
            <w:r>
              <w:rPr>
                <w:rFonts w:ascii="Lato" w:hAnsi="Lato" w:cs="Lato"/>
                <w:b w:val="0"/>
                <w:i w:val="0"/>
                <w:color w:val="2B2F33"/>
                <w:sz w:val="16"/>
              </w:rPr>
              <w:t>New edits shown as fresh tracked changes</w:t>
            </w:r>
          </w:p>
        </w:tc>
        <w:tc>
          <w:tcPr>
            <w:tcW w:type="dxa" w:w="3686"/>
            <w:shd w:val="clear" w:color="auto" w:fill="F4F7F9"/>
          </w:tcPr>
          <w:p>
            <w:pPr>
              <w:spacing w:after="20" w:before="0"/>
              <w:jc w:val="center"/>
            </w:pPr>
            <w:r/>
            <w:r>
              <w:rPr>
                <w:rFonts w:ascii="Lato" w:hAnsi="Lato" w:cs="Lato"/>
                <w:b/>
                <w:i w:val="0"/>
                <w:color w:val="2E7D44"/>
                <w:sz w:val="16"/>
              </w:rPr>
              <w:t>YES (9 ins / 2 del)</w:t>
            </w:r>
          </w:p>
        </w:tc>
      </w:tr>
      <w:tr>
        <w:tc>
          <w:tcPr>
            <w:tcW w:type="dxa" w:w="11056"/>
          </w:tcPr>
          <w:p>
            <w:pPr>
              <w:spacing w:after="20" w:before="0"/>
            </w:pPr>
            <w:r/>
            <w:r>
              <w:rPr>
                <w:rFonts w:ascii="Lato" w:hAnsi="Lato" w:cs="Lato"/>
                <w:b w:val="0"/>
                <w:i w:val="0"/>
                <w:color w:val="2B2F33"/>
                <w:sz w:val="16"/>
              </w:rPr>
              <w:t>Clean final version produced</w:t>
            </w:r>
          </w:p>
        </w:tc>
        <w:tc>
          <w:tcPr>
            <w:tcW w:type="dxa" w:w="3686"/>
          </w:tcPr>
          <w:p>
            <w:pPr>
              <w:spacing w:after="20" w:before="0"/>
              <w:jc w:val="center"/>
            </w:pPr>
            <w:r/>
            <w:r>
              <w:rPr>
                <w:rFonts w:ascii="Lato" w:hAnsi="Lato" w:cs="Lato"/>
                <w:b/>
                <w:i w:val="0"/>
                <w:color w:val="2E7D44"/>
                <w:sz w:val="16"/>
              </w:rPr>
              <w:t>YES</w:t>
            </w:r>
          </w:p>
        </w:tc>
      </w:tr>
      <w:tr>
        <w:tc>
          <w:tcPr>
            <w:tcW w:type="dxa" w:w="11056"/>
            <w:shd w:val="clear" w:color="auto" w:fill="F4F7F9"/>
          </w:tcPr>
          <w:p>
            <w:pPr>
              <w:spacing w:after="20" w:before="0"/>
            </w:pPr>
            <w:r/>
            <w:r>
              <w:rPr>
                <w:rFonts w:ascii="Lato" w:hAnsi="Lato" w:cs="Lato"/>
                <w:b w:val="0"/>
                <w:i w:val="0"/>
                <w:color w:val="2B2F33"/>
                <w:sz w:val="16"/>
              </w:rPr>
              <w:t>Blanket Admission-of-Liability CP removed/replaced</w:t>
            </w:r>
          </w:p>
        </w:tc>
        <w:tc>
          <w:tcPr>
            <w:tcW w:type="dxa" w:w="3686"/>
            <w:shd w:val="clear" w:color="auto" w:fill="F4F7F9"/>
          </w:tcPr>
          <w:p>
            <w:pPr>
              <w:spacing w:after="20" w:before="0"/>
              <w:jc w:val="center"/>
            </w:pPr>
            <w:r/>
            <w:r>
              <w:rPr>
                <w:rFonts w:ascii="Lato" w:hAnsi="Lato" w:cs="Lato"/>
                <w:b/>
                <w:i w:val="0"/>
                <w:color w:val="2E7D44"/>
                <w:sz w:val="16"/>
              </w:rPr>
              <w:t>YES</w:t>
            </w:r>
          </w:p>
        </w:tc>
      </w:tr>
      <w:tr>
        <w:tc>
          <w:tcPr>
            <w:tcW w:type="dxa" w:w="11056"/>
          </w:tcPr>
          <w:p>
            <w:pPr>
              <w:spacing w:after="20" w:before="0"/>
            </w:pPr>
            <w:r/>
            <w:r>
              <w:rPr>
                <w:rFonts w:ascii="Lato" w:hAnsi="Lato" w:cs="Lato"/>
                <w:b w:val="0"/>
                <w:i w:val="0"/>
                <w:color w:val="2B2F33"/>
                <w:sz w:val="16"/>
              </w:rPr>
              <w:t>Remaining policy-wide claims CPs audited; section-level/security CPs intact</w:t>
            </w:r>
          </w:p>
        </w:tc>
        <w:tc>
          <w:tcPr>
            <w:tcW w:type="dxa" w:w="3686"/>
          </w:tcPr>
          <w:p>
            <w:pPr>
              <w:spacing w:after="20" w:before="0"/>
              <w:jc w:val="center"/>
            </w:pPr>
            <w:r/>
            <w:r>
              <w:rPr>
                <w:rFonts w:ascii="Lato" w:hAnsi="Lato" w:cs="Lato"/>
                <w:b/>
                <w:i w:val="0"/>
                <w:color w:val="2E7D44"/>
                <w:sz w:val="16"/>
              </w:rPr>
              <w:t>YES</w:t>
            </w:r>
          </w:p>
        </w:tc>
      </w:tr>
      <w:tr>
        <w:tc>
          <w:tcPr>
            <w:tcW w:type="dxa" w:w="11056"/>
            <w:shd w:val="clear" w:color="auto" w:fill="F4F7F9"/>
          </w:tcPr>
          <w:p>
            <w:pPr>
              <w:spacing w:after="20" w:before="0"/>
            </w:pPr>
            <w:r/>
            <w:r>
              <w:rPr>
                <w:rFonts w:ascii="Lato" w:hAnsi="Lato" w:cs="Lato"/>
                <w:b w:val="0"/>
                <w:i w:val="0"/>
                <w:color w:val="2B2F33"/>
                <w:sz w:val="16"/>
              </w:rPr>
              <w:t>Proof-of-ownership claims requirement added</w:t>
            </w:r>
          </w:p>
        </w:tc>
        <w:tc>
          <w:tcPr>
            <w:tcW w:type="dxa" w:w="3686"/>
            <w:shd w:val="clear" w:color="auto" w:fill="F4F7F9"/>
          </w:tcPr>
          <w:p>
            <w:pPr>
              <w:spacing w:after="20" w:before="0"/>
              <w:jc w:val="center"/>
            </w:pPr>
            <w:r/>
            <w:r>
              <w:rPr>
                <w:rFonts w:ascii="Lato" w:hAnsi="Lato" w:cs="Lato"/>
                <w:b/>
                <w:i w:val="0"/>
                <w:color w:val="2E7D44"/>
                <w:sz w:val="16"/>
              </w:rPr>
              <w:t>YES (Sections 1–11)</w:t>
            </w:r>
          </w:p>
        </w:tc>
      </w:tr>
      <w:tr>
        <w:tc>
          <w:tcPr>
            <w:tcW w:type="dxa" w:w="11056"/>
          </w:tcPr>
          <w:p>
            <w:pPr>
              <w:spacing w:after="20" w:before="0"/>
            </w:pPr>
            <w:r/>
            <w:r>
              <w:rPr>
                <w:rFonts w:ascii="Lato" w:hAnsi="Lato" w:cs="Lato"/>
                <w:b w:val="0"/>
                <w:i w:val="0"/>
                <w:color w:val="2B2F33"/>
                <w:sz w:val="16"/>
              </w:rPr>
              <w:t>Gap 2 resolved/clarified (Section 12 — sign-off)</w:t>
            </w:r>
          </w:p>
        </w:tc>
        <w:tc>
          <w:tcPr>
            <w:tcW w:type="dxa" w:w="3686"/>
          </w:tcPr>
          <w:p>
            <w:pPr>
              <w:spacing w:after="20" w:before="0"/>
              <w:jc w:val="center"/>
            </w:pPr>
            <w:r/>
            <w:r>
              <w:rPr>
                <w:rFonts w:ascii="Lato" w:hAnsi="Lato" w:cs="Lato"/>
                <w:b/>
                <w:i w:val="0"/>
                <w:color w:val="2E7D44"/>
                <w:sz w:val="16"/>
              </w:rPr>
              <w:t>YES (held for sign-off)</w:t>
            </w:r>
          </w:p>
        </w:tc>
      </w:tr>
      <w:tr>
        <w:tc>
          <w:tcPr>
            <w:tcW w:type="dxa" w:w="11056"/>
            <w:shd w:val="clear" w:color="auto" w:fill="F4F7F9"/>
          </w:tcPr>
          <w:p>
            <w:pPr>
              <w:spacing w:after="20" w:before="0"/>
            </w:pPr>
            <w:r/>
            <w:r>
              <w:rPr>
                <w:rFonts w:ascii="Lato" w:hAnsi="Lato" w:cs="Lato"/>
                <w:b w:val="0"/>
                <w:i w:val="0"/>
                <w:color w:val="2B2F33"/>
                <w:sz w:val="16"/>
              </w:rPr>
              <w:t>Gap 8 implemented</w:t>
            </w:r>
          </w:p>
        </w:tc>
        <w:tc>
          <w:tcPr>
            <w:tcW w:type="dxa" w:w="3686"/>
            <w:shd w:val="clear" w:color="auto" w:fill="F4F7F9"/>
          </w:tcPr>
          <w:p>
            <w:pPr>
              <w:spacing w:after="20" w:before="0"/>
              <w:jc w:val="center"/>
            </w:pPr>
            <w:r/>
            <w:r>
              <w:rPr>
                <w:rFonts w:ascii="Lato" w:hAnsi="Lato" w:cs="Lato"/>
                <w:b/>
                <w:i w:val="0"/>
                <w:color w:val="2E7D44"/>
                <w:sz w:val="16"/>
              </w:rPr>
              <w:t>YES (Section 3 — Book Debts label)</w:t>
            </w:r>
          </w:p>
        </w:tc>
      </w:tr>
      <w:tr>
        <w:tc>
          <w:tcPr>
            <w:tcW w:type="dxa" w:w="11056"/>
          </w:tcPr>
          <w:p>
            <w:pPr>
              <w:spacing w:after="20" w:before="0"/>
            </w:pPr>
            <w:r/>
            <w:r>
              <w:rPr>
                <w:rFonts w:ascii="Lato" w:hAnsi="Lato" w:cs="Lato"/>
                <w:b w:val="0"/>
                <w:i w:val="0"/>
                <w:color w:val="2B2F33"/>
                <w:sz w:val="16"/>
              </w:rPr>
              <w:t>Gap 10 resolved with Yutree / old Section 4 comparison</w:t>
            </w:r>
          </w:p>
        </w:tc>
        <w:tc>
          <w:tcPr>
            <w:tcW w:type="dxa" w:w="3686"/>
          </w:tcPr>
          <w:p>
            <w:pPr>
              <w:spacing w:after="20" w:before="0"/>
              <w:jc w:val="center"/>
            </w:pPr>
            <w:r/>
            <w:r>
              <w:rPr>
                <w:rFonts w:ascii="Lato" w:hAnsi="Lato" w:cs="Lato"/>
                <w:b/>
                <w:i w:val="0"/>
                <w:color w:val="2E7D44"/>
                <w:sz w:val="16"/>
              </w:rPr>
              <w:t>YES (no change; flagged)</w:t>
            </w:r>
          </w:p>
        </w:tc>
      </w:tr>
      <w:tr>
        <w:tc>
          <w:tcPr>
            <w:tcW w:type="dxa" w:w="11056"/>
            <w:shd w:val="clear" w:color="auto" w:fill="F4F7F9"/>
          </w:tcPr>
          <w:p>
            <w:pPr>
              <w:spacing w:after="20" w:before="0"/>
            </w:pPr>
            <w:r/>
            <w:r>
              <w:rPr>
                <w:rFonts w:ascii="Lato" w:hAnsi="Lato" w:cs="Lato"/>
                <w:b w:val="0"/>
                <w:i w:val="0"/>
                <w:color w:val="2B2F33"/>
                <w:sz w:val="16"/>
              </w:rPr>
              <w:t>Section 12 amendments held in sign-off list with copy-paste wording</w:t>
            </w:r>
          </w:p>
        </w:tc>
        <w:tc>
          <w:tcPr>
            <w:tcW w:type="dxa" w:w="3686"/>
            <w:shd w:val="clear" w:color="auto" w:fill="F4F7F9"/>
          </w:tcPr>
          <w:p>
            <w:pPr>
              <w:spacing w:after="20" w:before="0"/>
              <w:jc w:val="center"/>
            </w:pPr>
            <w:r/>
            <w:r>
              <w:rPr>
                <w:rFonts w:ascii="Lato" w:hAnsi="Lato" w:cs="Lato"/>
                <w:b/>
                <w:i w:val="0"/>
                <w:color w:val="2E7D44"/>
                <w:sz w:val="16"/>
              </w:rPr>
              <w:t>YES</w:t>
            </w:r>
          </w:p>
        </w:tc>
      </w:tr>
      <w:tr>
        <w:tc>
          <w:tcPr>
            <w:tcW w:type="dxa" w:w="11056"/>
          </w:tcPr>
          <w:p>
            <w:pPr>
              <w:spacing w:after="20" w:before="0"/>
            </w:pPr>
            <w:r/>
            <w:r>
              <w:rPr>
                <w:rFonts w:ascii="Lato" w:hAnsi="Lato" w:cs="Lato"/>
                <w:b w:val="0"/>
                <w:i w:val="0"/>
                <w:color w:val="2B2F33"/>
                <w:sz w:val="16"/>
              </w:rPr>
              <w:t>Section 15 title standardised</w:t>
            </w:r>
          </w:p>
        </w:tc>
        <w:tc>
          <w:tcPr>
            <w:tcW w:type="dxa" w:w="3686"/>
          </w:tcPr>
          <w:p>
            <w:pPr>
              <w:spacing w:after="20" w:before="0"/>
              <w:jc w:val="center"/>
            </w:pPr>
            <w:r/>
            <w:r>
              <w:rPr>
                <w:rFonts w:ascii="Lato" w:hAnsi="Lato" w:cs="Lato"/>
                <w:b/>
                <w:i w:val="0"/>
                <w:color w:val="2E7D44"/>
                <w:sz w:val="16"/>
              </w:rPr>
              <w:t>YES (confirm label)</w:t>
            </w:r>
          </w:p>
        </w:tc>
      </w:tr>
      <w:tr>
        <w:tc>
          <w:tcPr>
            <w:tcW w:type="dxa" w:w="11056"/>
            <w:shd w:val="clear" w:color="auto" w:fill="F4F7F9"/>
          </w:tcPr>
          <w:p>
            <w:pPr>
              <w:spacing w:after="20" w:before="0"/>
            </w:pPr>
            <w:r/>
            <w:r>
              <w:rPr>
                <w:rFonts w:ascii="Lato" w:hAnsi="Lato" w:cs="Lato"/>
                <w:b w:val="0"/>
                <w:i w:val="0"/>
                <w:color w:val="2B2F33"/>
                <w:sz w:val="16"/>
              </w:rPr>
              <w:t>Full Coverage Comparison updated against final wording</w:t>
            </w:r>
          </w:p>
        </w:tc>
        <w:tc>
          <w:tcPr>
            <w:tcW w:type="dxa" w:w="3686"/>
            <w:shd w:val="clear" w:color="auto" w:fill="F4F7F9"/>
          </w:tcPr>
          <w:p>
            <w:pPr>
              <w:spacing w:after="20" w:before="0"/>
              <w:jc w:val="center"/>
            </w:pPr>
            <w:r/>
            <w:r>
              <w:rPr>
                <w:rFonts w:ascii="Lato" w:hAnsi="Lato" w:cs="Lato"/>
                <w:b/>
                <w:i w:val="0"/>
                <w:color w:val="2E7D44"/>
                <w:sz w:val="16"/>
              </w:rPr>
              <w:t>YES</w:t>
            </w:r>
          </w:p>
        </w:tc>
      </w:tr>
      <w:tr>
        <w:tc>
          <w:tcPr>
            <w:tcW w:type="dxa" w:w="11056"/>
          </w:tcPr>
          <w:p>
            <w:pPr>
              <w:spacing w:after="20" w:before="0"/>
            </w:pPr>
            <w:r/>
            <w:r>
              <w:rPr>
                <w:rFonts w:ascii="Lato" w:hAnsi="Lato" w:cs="Lato"/>
                <w:b w:val="0"/>
                <w:i w:val="0"/>
                <w:color w:val="2B2F33"/>
                <w:sz w:val="16"/>
              </w:rPr>
              <w:t>Gap-Fill Summary includes copy-paste wording for every recommendation</w:t>
            </w:r>
          </w:p>
        </w:tc>
        <w:tc>
          <w:tcPr>
            <w:tcW w:type="dxa" w:w="3686"/>
          </w:tcPr>
          <w:p>
            <w:pPr>
              <w:spacing w:after="20" w:before="0"/>
              <w:jc w:val="center"/>
            </w:pPr>
            <w:r/>
            <w:r>
              <w:rPr>
                <w:rFonts w:ascii="Lato" w:hAnsi="Lato" w:cs="Lato"/>
                <w:b/>
                <w:i w:val="0"/>
                <w:color w:val="2E7D44"/>
                <w:sz w:val="16"/>
              </w:rPr>
              <w:t>YES</w:t>
            </w:r>
          </w:p>
        </w:tc>
      </w:tr>
      <w:tr>
        <w:tc>
          <w:tcPr>
            <w:tcW w:type="dxa" w:w="11056"/>
            <w:shd w:val="clear" w:color="auto" w:fill="F4F7F9"/>
          </w:tcPr>
          <w:p>
            <w:pPr>
              <w:spacing w:after="20" w:before="0"/>
            </w:pPr>
            <w:r/>
            <w:r>
              <w:rPr>
                <w:rFonts w:ascii="Lato" w:hAnsi="Lato" w:cs="Lato"/>
                <w:b w:val="0"/>
                <w:i w:val="0"/>
                <w:color w:val="2B2F33"/>
                <w:sz w:val="16"/>
              </w:rPr>
              <w:t>Summary of Cover updated against final wording only</w:t>
            </w:r>
          </w:p>
        </w:tc>
        <w:tc>
          <w:tcPr>
            <w:tcW w:type="dxa" w:w="3686"/>
            <w:shd w:val="clear" w:color="auto" w:fill="F4F7F9"/>
          </w:tcPr>
          <w:p>
            <w:pPr>
              <w:spacing w:after="20" w:before="0"/>
              <w:jc w:val="center"/>
            </w:pPr>
            <w:r/>
            <w:r>
              <w:rPr>
                <w:rFonts w:ascii="Lato" w:hAnsi="Lato" w:cs="Lato"/>
                <w:b/>
                <w:i w:val="0"/>
                <w:color w:val="2E7D44"/>
                <w:sz w:val="16"/>
              </w:rPr>
              <w:t>YES</w:t>
            </w:r>
          </w:p>
        </w:tc>
      </w:tr>
      <w:tr>
        <w:tc>
          <w:tcPr>
            <w:tcW w:type="dxa" w:w="11056"/>
          </w:tcPr>
          <w:p>
            <w:pPr>
              <w:spacing w:after="20" w:before="0"/>
            </w:pPr>
            <w:r/>
            <w:r>
              <w:rPr>
                <w:rFonts w:ascii="Lato" w:hAnsi="Lato" w:cs="Lato"/>
                <w:b w:val="0"/>
                <w:i w:val="0"/>
                <w:color w:val="2B2F33"/>
                <w:sz w:val="16"/>
              </w:rPr>
              <w:t>No Personal Accident added; Personal Assault under Money treated correctly</w:t>
            </w:r>
          </w:p>
        </w:tc>
        <w:tc>
          <w:tcPr>
            <w:tcW w:type="dxa" w:w="3686"/>
          </w:tcPr>
          <w:p>
            <w:pPr>
              <w:spacing w:after="20" w:before="0"/>
              <w:jc w:val="center"/>
            </w:pPr>
            <w:r/>
            <w:r>
              <w:rPr>
                <w:rFonts w:ascii="Lato" w:hAnsi="Lato" w:cs="Lato"/>
                <w:b/>
                <w:i w:val="0"/>
                <w:color w:val="2E7D44"/>
                <w:sz w:val="16"/>
              </w:rPr>
              <w:t>YES</w:t>
            </w:r>
          </w:p>
        </w:tc>
      </w:tr>
      <w:tr>
        <w:tc>
          <w:tcPr>
            <w:tcW w:type="dxa" w:w="11056"/>
            <w:shd w:val="clear" w:color="auto" w:fill="F4F7F9"/>
          </w:tcPr>
          <w:p>
            <w:pPr>
              <w:spacing w:after="20" w:before="0"/>
            </w:pPr>
            <w:r/>
            <w:r>
              <w:rPr>
                <w:rFonts w:ascii="Lato" w:hAnsi="Lato" w:cs="Lato"/>
                <w:b w:val="0"/>
                <w:i w:val="0"/>
                <w:color w:val="2B2F33"/>
                <w:sz w:val="16"/>
              </w:rPr>
              <w:t>TMHCC strengths expanded and evidenced (UNCONFIRMED labelled)</w:t>
            </w:r>
          </w:p>
        </w:tc>
        <w:tc>
          <w:tcPr>
            <w:tcW w:type="dxa" w:w="3686"/>
            <w:shd w:val="clear" w:color="auto" w:fill="F4F7F9"/>
          </w:tcPr>
          <w:p>
            <w:pPr>
              <w:spacing w:after="20" w:before="0"/>
              <w:jc w:val="center"/>
            </w:pPr>
            <w:r/>
            <w:r>
              <w:rPr>
                <w:rFonts w:ascii="Lato" w:hAnsi="Lato" w:cs="Lato"/>
                <w:b/>
                <w:i w:val="0"/>
                <w:color w:val="2E7D44"/>
                <w:sz w:val="16"/>
              </w:rPr>
              <w:t>YES</w:t>
            </w:r>
          </w:p>
        </w:tc>
      </w:tr>
      <w:tr>
        <w:tc>
          <w:tcPr>
            <w:tcW w:type="dxa" w:w="11056"/>
          </w:tcPr>
          <w:p>
            <w:pPr>
              <w:spacing w:after="20" w:before="0"/>
            </w:pPr>
            <w:r/>
            <w:r>
              <w:rPr>
                <w:rFonts w:ascii="Lato" w:hAnsi="Lato" w:cs="Lato"/>
                <w:b w:val="0"/>
                <w:i w:val="0"/>
                <w:color w:val="2B2F33"/>
                <w:sz w:val="16"/>
              </w:rPr>
              <w:t>US/jurisdiction position checked</w:t>
            </w:r>
          </w:p>
        </w:tc>
        <w:tc>
          <w:tcPr>
            <w:tcW w:type="dxa" w:w="3686"/>
          </w:tcPr>
          <w:p>
            <w:pPr>
              <w:spacing w:after="20" w:before="0"/>
              <w:jc w:val="center"/>
            </w:pPr>
            <w:r/>
            <w:r>
              <w:rPr>
                <w:rFonts w:ascii="Lato" w:hAnsi="Lato" w:cs="Lato"/>
                <w:b/>
                <w:i w:val="0"/>
                <w:color w:val="2E7D44"/>
                <w:sz w:val="16"/>
              </w:rPr>
              <w:t>YES</w:t>
            </w:r>
          </w:p>
        </w:tc>
      </w:tr>
      <w:tr>
        <w:tc>
          <w:tcPr>
            <w:tcW w:type="dxa" w:w="11056"/>
            <w:shd w:val="clear" w:color="auto" w:fill="F4F7F9"/>
          </w:tcPr>
          <w:p>
            <w:pPr>
              <w:spacing w:after="20" w:before="0"/>
            </w:pPr>
            <w:r/>
            <w:r>
              <w:rPr>
                <w:rFonts w:ascii="Lato" w:hAnsi="Lato" w:cs="Lato"/>
                <w:b w:val="0"/>
                <w:i w:val="0"/>
                <w:color w:val="2B2F33"/>
                <w:sz w:val="16"/>
              </w:rPr>
              <w:t>No unsupported cover invented</w:t>
            </w:r>
          </w:p>
        </w:tc>
        <w:tc>
          <w:tcPr>
            <w:tcW w:type="dxa" w:w="3686"/>
            <w:shd w:val="clear" w:color="auto" w:fill="F4F7F9"/>
          </w:tcPr>
          <w:p>
            <w:pPr>
              <w:spacing w:after="20" w:before="0"/>
              <w:jc w:val="center"/>
            </w:pPr>
            <w:r/>
            <w:r>
              <w:rPr>
                <w:rFonts w:ascii="Lato" w:hAnsi="Lato" w:cs="Lato"/>
                <w:b/>
                <w:i w:val="0"/>
                <w:color w:val="2E7D44"/>
                <w:sz w:val="16"/>
              </w:rPr>
              <w:t>YES</w:t>
            </w:r>
          </w:p>
        </w:tc>
      </w:tr>
      <w:tr>
        <w:tc>
          <w:tcPr>
            <w:tcW w:type="dxa" w:w="11056"/>
          </w:tcPr>
          <w:p>
            <w:pPr>
              <w:spacing w:after="20" w:before="0"/>
            </w:pPr>
            <w:r/>
            <w:r>
              <w:rPr>
                <w:rFonts w:ascii="Lato" w:hAnsi="Lato" w:cs="Lato"/>
                <w:b w:val="0"/>
                <w:i w:val="0"/>
                <w:color w:val="2B2F33"/>
                <w:sz w:val="16"/>
              </w:rPr>
              <w:t>Contents-page hyperlinks &amp; section numbering still resolve</w:t>
            </w:r>
          </w:p>
        </w:tc>
        <w:tc>
          <w:tcPr>
            <w:tcW w:type="dxa" w:w="3686"/>
          </w:tcPr>
          <w:p>
            <w:pPr>
              <w:spacing w:after="20" w:before="0"/>
              <w:jc w:val="center"/>
            </w:pPr>
            <w:r/>
            <w:r>
              <w:rPr>
                <w:rFonts w:ascii="Lato" w:hAnsi="Lato" w:cs="Lato"/>
                <w:b/>
                <w:i w:val="0"/>
                <w:color w:val="2E7D44"/>
                <w:sz w:val="16"/>
              </w:rPr>
              <w:t>YES (numbering unchanged)</w:t>
            </w:r>
          </w:p>
        </w:tc>
      </w:tr>
      <w:tr>
        <w:tc>
          <w:tcPr>
            <w:tcW w:type="dxa" w:w="11056"/>
            <w:shd w:val="clear" w:color="auto" w:fill="F4F7F9"/>
          </w:tcPr>
          <w:p>
            <w:pPr>
              <w:spacing w:after="20" w:before="0"/>
            </w:pPr>
            <w:r/>
            <w:r>
              <w:rPr>
                <w:rFonts w:ascii="Lato" w:hAnsi="Lato" w:cs="Lato"/>
                <w:b w:val="0"/>
                <w:i w:val="0"/>
                <w:color w:val="2B2F33"/>
                <w:sz w:val="16"/>
              </w:rPr>
              <w:t>All uncertain points in Reviewer Notes</w:t>
            </w:r>
          </w:p>
        </w:tc>
        <w:tc>
          <w:tcPr>
            <w:tcW w:type="dxa" w:w="3686"/>
            <w:shd w:val="clear" w:color="auto" w:fill="F4F7F9"/>
          </w:tcPr>
          <w:p>
            <w:pPr>
              <w:spacing w:after="20" w:before="0"/>
              <w:jc w:val="center"/>
            </w:pPr>
            <w:r/>
            <w:r>
              <w:rPr>
                <w:rFonts w:ascii="Lato" w:hAnsi="Lato" w:cs="Lato"/>
                <w:b/>
                <w:i w:val="0"/>
                <w:color w:val="2E7D44"/>
                <w:sz w:val="16"/>
              </w:rPr>
              <w:t>YES</w:t>
            </w:r>
          </w:p>
        </w:tc>
      </w:tr>
    </w:tbl>
    <w:p>
      <w:r>
        <w:br w:type="page"/>
      </w:r>
    </w:p>
    <w:p>
      <w:pPr>
        <w:keepNext/>
        <w:spacing w:before="280" w:after="40"/>
        <w:pBdr>
          <w:bottom w:val="single" w:sz="8" w:space="2" w:color="B88A3C"/>
        </w:pBdr>
      </w:pPr>
      <w:r>
        <w:rPr>
          <w:rFonts w:ascii="Lato" w:hAnsi="Lato" w:cs="Lato"/>
          <w:b/>
          <w:i w:val="0"/>
          <w:color w:val="B88A3C"/>
          <w:sz w:val="30"/>
        </w:rPr>
        <w:t xml:space="preserve">8  </w:t>
      </w:r>
      <w:r>
        <w:rPr>
          <w:rFonts w:ascii="Lato" w:hAnsi="Lato" w:cs="Lato"/>
          <w:b/>
          <w:i w:val="0"/>
          <w:color w:val="00648B"/>
          <w:sz w:val="30"/>
        </w:rPr>
        <w:t>Reviewer notes (uncertain / for confirmation)</w:t>
      </w:r>
    </w:p>
    <w:p>
      <w:pPr>
        <w:pStyle w:val="ListBullet"/>
        <w:spacing w:after="40"/>
        <w:ind w:left="340"/>
      </w:pPr>
      <w:r>
        <w:rPr>
          <w:rFonts w:ascii="Lato" w:hAnsi="Lato" w:cs="Lato"/>
          <w:b w:val="0"/>
          <w:i w:val="0"/>
          <w:color w:val="2B2F33"/>
          <w:sz w:val="19"/>
        </w:rPr>
        <w:t>Section 15 label: default adopted is 'CyberGuard™ (Cyber Liability)'. Confirm this is the preferred single label for the body heading, contents and Summary of Cover.</w:t>
      </w:r>
    </w:p>
    <w:p>
      <w:pPr>
        <w:pStyle w:val="ListBullet"/>
        <w:spacing w:after="40"/>
        <w:ind w:left="340"/>
      </w:pPr>
      <w:r>
        <w:rPr>
          <w:rFonts w:ascii="Lato" w:hAnsi="Lato" w:cs="Lato"/>
          <w:b w:val="0"/>
          <w:i w:val="0"/>
          <w:color w:val="2B2F33"/>
          <w:sz w:val="19"/>
        </w:rPr>
        <w:t>Gap 10 location: the brief states the IT-Property breakdown sits 'under Section 2'. In the live wording the IT-Property 'Breakdown' definition and cover are in SECTION 1 (Premises), with consequential computer cover in Section 3 (BI). Section 2 holds only a general 'Mechanical and Electrical Breakdown' optional extension. Confirm this is understood and acceptable.</w:t>
      </w:r>
    </w:p>
    <w:p>
      <w:pPr>
        <w:pStyle w:val="ListBullet"/>
        <w:spacing w:after="40"/>
        <w:ind w:left="340"/>
      </w:pPr>
      <w:r>
        <w:rPr>
          <w:rFonts w:ascii="Lato" w:hAnsi="Lato" w:cs="Lato"/>
          <w:b w:val="0"/>
          <w:i w:val="0"/>
          <w:color w:val="2B2F33"/>
          <w:sz w:val="19"/>
        </w:rPr>
        <w:t>Gap 10 / Section 2: the existing Section 2 Mechanical &amp; Electrical Breakdown optional extension covers ALL Property Insured (not IT-only) and mirrors Yutree’s general M&amp;E breakdown cover. Narrowing it to 'IT-only' would remove existing optional cover and make TMHCC narrower than Yutree — NOT done. Confirm whether any narrowing is actually wanted (would require sign-off).</w:t>
      </w:r>
    </w:p>
    <w:p>
      <w:pPr>
        <w:pStyle w:val="ListBullet"/>
        <w:spacing w:after="40"/>
        <w:ind w:left="340"/>
      </w:pPr>
      <w:r>
        <w:rPr>
          <w:rFonts w:ascii="Lato" w:hAnsi="Lato" w:cs="Lato"/>
          <w:b w:val="0"/>
          <w:i w:val="0"/>
          <w:color w:val="2B2F33"/>
          <w:sz w:val="19"/>
        </w:rPr>
        <w:t>All Section 12 amendments (incl. Gap 2 worldwide and the reputation-management uplift) are suggestions held for legal/underwriting sign-off — none is final or in the wording.</w:t>
      </w:r>
    </w:p>
    <w:p>
      <w:pPr>
        <w:pStyle w:val="ListBullet"/>
        <w:spacing w:after="40"/>
        <w:ind w:left="340"/>
      </w:pPr>
      <w:r>
        <w:rPr>
          <w:rFonts w:ascii="Lato" w:hAnsi="Lato" w:cs="Lato"/>
          <w:b w:val="0"/>
          <w:i w:val="0"/>
          <w:color w:val="2B2F33"/>
          <w:sz w:val="19"/>
        </w:rPr>
        <w:t>Competitor parity statements labelled UNCONFIRMED should be re-checked clause-by-clause against the live competitor wordings before being used externally.</w:t>
      </w:r>
    </w:p>
    <w:p>
      <w:pPr>
        <w:pStyle w:val="ListBullet"/>
        <w:spacing w:after="40"/>
        <w:ind w:left="340"/>
      </w:pPr>
      <w:r>
        <w:rPr>
          <w:rFonts w:ascii="Lato" w:hAnsi="Lato" w:cs="Lato"/>
          <w:b w:val="0"/>
          <w:i w:val="0"/>
          <w:color w:val="2B2F33"/>
          <w:sz w:val="19"/>
        </w:rPr>
        <w:t>Proof of Ownership: 'high value item' is intentionally left to the Schedule/sub-limits rather than given a fixed monetary threshold — confirm whether a defined threshold is preferred.</w:t>
      </w:r>
    </w:p>
    <w:p>
      <w:pPr>
        <w:pStyle w:val="ListBullet"/>
        <w:spacing w:after="40"/>
        <w:ind w:left="340"/>
      </w:pPr>
      <w:r>
        <w:rPr>
          <w:rFonts w:ascii="Lato" w:hAnsi="Lato" w:cs="Lato"/>
          <w:b w:val="0"/>
          <w:i w:val="0"/>
          <w:color w:val="2B2F33"/>
          <w:sz w:val="19"/>
        </w:rPr>
        <w:t>PDF copies: generated where the document-conversion toolchain (LibreOffice) is available in the environment; otherwise the .docx files are the authoritative deliverables.</w:t>
      </w:r>
    </w:p>
    <w:p>
      <w:pPr>
        <w:spacing w:after="120"/>
      </w:pPr>
    </w:p>
    <w:p>
      <w:pPr>
        <w:spacing w:after="80" w:before="0"/>
      </w:pPr>
      <w:r>
        <w:rPr>
          <w:rFonts w:ascii="Lato" w:hAnsi="Lato" w:cs="Lato"/>
          <w:b w:val="0"/>
          <w:i/>
          <w:color w:val="6C7378"/>
          <w:sz w:val="17"/>
        </w:rPr>
        <w:t>End of QA / Change Report.</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Indicative wording comparison — broking reference only. Refer to the full policy wordings. Subject to TMHCC legal/underwriting sign-off.</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4989"/>
      <w:gridCol w:w="4989"/>
    </w:tblGrid>
    <w:tr>
      <w:tc>
        <w:tcPr>
          <w:tcW w:type="dxa" w:w="7384"/>
          <w:vAlign w:val="center"/>
        </w:tcPr>
        <w:p>
          <w:pPr>
            <w:spacing w:after="0"/>
          </w:pPr>
          <w:r>
            <w:rPr>
              <w:rFonts w:ascii="Lato" w:hAnsi="Lato" w:cs="Lato"/>
              <w:b/>
              <w:i w:val="0"/>
              <w:color w:val="6C7378"/>
              <w:sz w:val="16"/>
            </w:rPr>
            <w:t>TMHCC Media &amp; Entertainment</w:t>
          </w:r>
        </w:p>
      </w:tc>
      <w:tc>
        <w:tcPr>
          <w:tcW w:type="dxa" w:w="2594"/>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