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FB5A72" w14:textId="77777777" w:rsidR="00E423DF" w:rsidRDefault="0066260C" w:rsidP="00766BF3">
      <w:pPr>
        <w:pStyle w:val="Title"/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 wp14:anchorId="355FC832" wp14:editId="368FE75A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2134163" cy="1579841"/>
            <wp:effectExtent l="171450" t="152400" r="114300" b="211455"/>
            <wp:wrapSquare wrapText="bothSides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476899">
                      <a:off x="0" y="0"/>
                      <a:ext cx="2134163" cy="1579841"/>
                    </a:xfrm>
                    <a:prstGeom prst="roundRect">
                      <a:avLst>
                        <a:gd name="adj" fmla="val 29524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6BF3">
        <w:t>Guest Survey Results</w:t>
      </w:r>
    </w:p>
    <w:p w14:paraId="52C9BACE" w14:textId="77777777" w:rsidR="00766BF3" w:rsidRPr="00766BF3" w:rsidRDefault="004A5A6F" w:rsidP="00766BF3">
      <w:pPr>
        <w:pStyle w:val="Heading1"/>
        <w:rPr>
          <w:b/>
        </w:rPr>
      </w:pPr>
      <w:r>
        <w:rPr>
          <w:b/>
        </w:rPr>
        <w:t>Southeast Asia and Oceania</w:t>
      </w:r>
    </w:p>
    <w:p w14:paraId="20104030" w14:textId="77777777" w:rsidR="00766BF3" w:rsidRDefault="00766BF3" w:rsidP="003F098F">
      <w:pPr>
        <w:spacing w:after="0"/>
      </w:pPr>
    </w:p>
    <w:tbl>
      <w:tblPr>
        <w:tblW w:w="3200" w:type="dxa"/>
        <w:tblLook w:val="04A0" w:firstRow="1" w:lastRow="0" w:firstColumn="1" w:lastColumn="0" w:noHBand="0" w:noVBand="1"/>
      </w:tblPr>
      <w:tblGrid>
        <w:gridCol w:w="1760"/>
        <w:gridCol w:w="1440"/>
      </w:tblGrid>
      <w:tr w:rsidR="0066260C" w:rsidRPr="0066260C" w14:paraId="0BB0FC98" w14:textId="77777777" w:rsidTr="0066260C">
        <w:trPr>
          <w:trHeight w:val="375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000000" w:fill="DCEEA6"/>
            <w:noWrap/>
            <w:vAlign w:val="bottom"/>
            <w:hideMark/>
          </w:tcPr>
          <w:p w14:paraId="2A7B32A0" w14:textId="77777777" w:rsidR="0066260C" w:rsidRPr="0066260C" w:rsidRDefault="0066260C" w:rsidP="0066260C">
            <w:pPr>
              <w:spacing w:after="0" w:line="240" w:lineRule="auto"/>
              <w:rPr>
                <w:rFonts w:ascii="Corbel" w:eastAsia="Times New Roman" w:hAnsi="Corbel" w:cs="Times New Roman"/>
                <w:b/>
                <w:bCs/>
                <w:color w:val="2C2C2C"/>
                <w:kern w:val="0"/>
                <w:sz w:val="28"/>
                <w:szCs w:val="28"/>
                <w14:ligatures w14:val="none"/>
              </w:rPr>
            </w:pPr>
            <w:r w:rsidRPr="0066260C">
              <w:rPr>
                <w:rFonts w:ascii="Corbel" w:eastAsia="Times New Roman" w:hAnsi="Corbel" w:cs="Times New Roman"/>
                <w:b/>
                <w:bCs/>
                <w:color w:val="2C2C2C"/>
                <w:kern w:val="0"/>
                <w:sz w:val="28"/>
                <w:szCs w:val="28"/>
                <w14:ligatures w14:val="none"/>
              </w:rPr>
              <w:t>Total Tours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000000" w:fill="EEF7D2"/>
            <w:noWrap/>
            <w:vAlign w:val="bottom"/>
            <w:hideMark/>
          </w:tcPr>
          <w:p w14:paraId="5351FF03" w14:textId="77777777" w:rsidR="0066260C" w:rsidRPr="0066260C" w:rsidRDefault="0066260C" w:rsidP="0066260C">
            <w:pPr>
              <w:spacing w:after="0" w:line="240" w:lineRule="auto"/>
              <w:jc w:val="right"/>
              <w:rPr>
                <w:rFonts w:ascii="Corbel" w:eastAsia="Times New Roman" w:hAnsi="Corbel" w:cs="Times New Roman"/>
                <w:color w:val="2C2C2C"/>
                <w:kern w:val="0"/>
                <w:sz w:val="28"/>
                <w:szCs w:val="28"/>
                <w14:ligatures w14:val="none"/>
              </w:rPr>
            </w:pPr>
            <w:r w:rsidRPr="0066260C">
              <w:rPr>
                <w:rFonts w:ascii="Corbel" w:eastAsia="Times New Roman" w:hAnsi="Corbel" w:cs="Times New Roman"/>
                <w:color w:val="2C2C2C"/>
                <w:kern w:val="0"/>
                <w:sz w:val="28"/>
                <w:szCs w:val="28"/>
                <w14:ligatures w14:val="none"/>
              </w:rPr>
              <w:t>100</w:t>
            </w:r>
          </w:p>
        </w:tc>
      </w:tr>
    </w:tbl>
    <w:p w14:paraId="1FD71947" w14:textId="77777777" w:rsidR="00766BF3" w:rsidRDefault="004A5A6F">
      <w:r>
        <w:t xml:space="preserve">R2G coordinates volunteer experiences for non-profit organizations throughout Southeast Asia and Oceania. Most popular were </w:t>
      </w:r>
      <w:r w:rsidR="0011490E">
        <w:t xml:space="preserve">the </w:t>
      </w:r>
      <w:r>
        <w:t xml:space="preserve">marine conservation projects in Australia followed by </w:t>
      </w:r>
      <w:r w:rsidR="0011490E">
        <w:t>c</w:t>
      </w:r>
      <w:r>
        <w:t xml:space="preserve">ommunity </w:t>
      </w:r>
      <w:r w:rsidR="0011490E">
        <w:t>a</w:t>
      </w:r>
      <w:r>
        <w:t>id projects in the Philippines and Indonesia</w:t>
      </w:r>
      <w:r w:rsidR="00766BF3">
        <w:t xml:space="preserve">. At the end of every </w:t>
      </w:r>
      <w:r>
        <w:t>volunteer experience</w:t>
      </w:r>
      <w:r w:rsidR="00766BF3">
        <w:t>, each guest completed the standard guest survey to evaluate the following five categories of service using four ratings: Excellent, Good, Fair, and Poor:</w:t>
      </w:r>
    </w:p>
    <w:p w14:paraId="19F18C44" w14:textId="77777777" w:rsidR="00766BF3" w:rsidRDefault="004A5A6F" w:rsidP="00766BF3">
      <w:pPr>
        <w:pStyle w:val="ListParagraph"/>
        <w:numPr>
          <w:ilvl w:val="0"/>
          <w:numId w:val="1"/>
        </w:numPr>
      </w:pPr>
      <w:r>
        <w:t>Tour</w:t>
      </w:r>
      <w:r w:rsidR="00766BF3">
        <w:t xml:space="preserve"> Activities</w:t>
      </w:r>
    </w:p>
    <w:p w14:paraId="629ECD84" w14:textId="77777777" w:rsidR="00766BF3" w:rsidRDefault="004A5A6F" w:rsidP="00766BF3">
      <w:pPr>
        <w:pStyle w:val="ListParagraph"/>
        <w:numPr>
          <w:ilvl w:val="0"/>
          <w:numId w:val="1"/>
        </w:numPr>
      </w:pPr>
      <w:r>
        <w:t>Volunteer</w:t>
      </w:r>
      <w:r w:rsidR="00766BF3">
        <w:t xml:space="preserve"> Activities</w:t>
      </w:r>
    </w:p>
    <w:p w14:paraId="013F1F5E" w14:textId="77777777" w:rsidR="00766BF3" w:rsidRDefault="00766BF3" w:rsidP="00766BF3">
      <w:pPr>
        <w:pStyle w:val="ListParagraph"/>
        <w:numPr>
          <w:ilvl w:val="0"/>
          <w:numId w:val="1"/>
        </w:numPr>
      </w:pPr>
      <w:r>
        <w:t>Accommodation</w:t>
      </w:r>
    </w:p>
    <w:p w14:paraId="6DA30787" w14:textId="77777777" w:rsidR="00766BF3" w:rsidRDefault="00766BF3" w:rsidP="00766BF3">
      <w:pPr>
        <w:pStyle w:val="ListParagraph"/>
        <w:numPr>
          <w:ilvl w:val="0"/>
          <w:numId w:val="1"/>
        </w:numPr>
      </w:pPr>
      <w:r>
        <w:t>Food</w:t>
      </w:r>
    </w:p>
    <w:p w14:paraId="2264B098" w14:textId="77777777" w:rsidR="00766BF3" w:rsidRDefault="004A5A6F" w:rsidP="00766BF3">
      <w:pPr>
        <w:pStyle w:val="ListParagraph"/>
        <w:numPr>
          <w:ilvl w:val="0"/>
          <w:numId w:val="1"/>
        </w:numPr>
      </w:pPr>
      <w:r>
        <w:t>Experience Leader</w:t>
      </w:r>
    </w:p>
    <w:p w14:paraId="0BD7817A" w14:textId="77777777" w:rsidR="00766BF3" w:rsidRDefault="00766BF3">
      <w:r>
        <w:t xml:space="preserve">As shown in the column chart below, a significant percentage of the guests rated the Food as Fair or Poor. </w:t>
      </w:r>
      <w:r w:rsidR="004A5A6F">
        <w:t xml:space="preserve">R2G will work with Rod Ng, the Director of the Southeast Asia and Oceania Regional Headquarters to </w:t>
      </w:r>
      <w:r>
        <w:t xml:space="preserve">investigate the reasons for these less than satisfactory ratings and then submit a report to head office in January </w:t>
      </w:r>
      <w:r w:rsidR="003B0BBE">
        <w:t>2018</w:t>
      </w:r>
      <w:r>
        <w:t>.</w:t>
      </w:r>
    </w:p>
    <w:p w14:paraId="658ED905" w14:textId="77777777" w:rsidR="00B146E3" w:rsidRDefault="005901CB" w:rsidP="00586D89">
      <w:r>
        <w:rPr>
          <w:noProof/>
        </w:rPr>
        <w:drawing>
          <wp:inline distT="0" distB="0" distL="0" distR="0" wp14:anchorId="49AB4295" wp14:editId="4A2634A1">
            <wp:extent cx="5889914" cy="2862263"/>
            <wp:effectExtent l="0" t="0" r="15875" b="1460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34287B65" w14:textId="77777777" w:rsidR="00586D89" w:rsidRDefault="00586D89" w:rsidP="00586D89">
      <w:r>
        <w:t xml:space="preserve">The Southeast Asia and Oceania region can be particularly proud that </w:t>
      </w:r>
      <w:r w:rsidR="008832A4">
        <w:t xml:space="preserve">90% </w:t>
      </w:r>
      <w:r>
        <w:t>of our guests rated their overall experience as either Excellent or Good.</w:t>
      </w:r>
    </w:p>
    <w:p w14:paraId="10129EB9" w14:textId="77777777" w:rsidR="00766BF3" w:rsidRDefault="00766BF3" w:rsidP="00586D89"/>
    <w:sectPr w:rsidR="00766BF3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1B40C9" w14:textId="77777777" w:rsidR="00E73514" w:rsidRDefault="00E73514" w:rsidP="000B1DE8">
      <w:pPr>
        <w:spacing w:after="0" w:line="240" w:lineRule="auto"/>
      </w:pPr>
      <w:r>
        <w:separator/>
      </w:r>
    </w:p>
  </w:endnote>
  <w:endnote w:type="continuationSeparator" w:id="0">
    <w:p w14:paraId="76C024E7" w14:textId="77777777" w:rsidR="00E73514" w:rsidRDefault="00E73514" w:rsidP="000B1D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C9E90B" w14:textId="77777777" w:rsidR="000B1DE8" w:rsidRDefault="00615452">
    <w:pPr>
      <w:pStyle w:val="Footer"/>
    </w:pPr>
    <w:r>
      <w:t>Mitchell Wilson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BDF0E9" w14:textId="77777777" w:rsidR="00E73514" w:rsidRDefault="00E73514" w:rsidP="000B1DE8">
      <w:pPr>
        <w:spacing w:after="0" w:line="240" w:lineRule="auto"/>
      </w:pPr>
      <w:r>
        <w:separator/>
      </w:r>
    </w:p>
  </w:footnote>
  <w:footnote w:type="continuationSeparator" w:id="0">
    <w:p w14:paraId="56EEB5B6" w14:textId="77777777" w:rsidR="00E73514" w:rsidRDefault="00E73514" w:rsidP="000B1D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1462D4"/>
    <w:multiLevelType w:val="hybridMultilevel"/>
    <w:tmpl w:val="4724B8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6BF3"/>
    <w:rsid w:val="00042C99"/>
    <w:rsid w:val="000B1DE8"/>
    <w:rsid w:val="0011490E"/>
    <w:rsid w:val="00244FAE"/>
    <w:rsid w:val="00274665"/>
    <w:rsid w:val="003B0BBE"/>
    <w:rsid w:val="003F098F"/>
    <w:rsid w:val="004A5A6F"/>
    <w:rsid w:val="004D28D6"/>
    <w:rsid w:val="00586D89"/>
    <w:rsid w:val="005901CB"/>
    <w:rsid w:val="005E33C4"/>
    <w:rsid w:val="005F3269"/>
    <w:rsid w:val="00615452"/>
    <w:rsid w:val="00621053"/>
    <w:rsid w:val="0066260C"/>
    <w:rsid w:val="00683F11"/>
    <w:rsid w:val="00766BF3"/>
    <w:rsid w:val="00775C1E"/>
    <w:rsid w:val="007A4C45"/>
    <w:rsid w:val="007C39E6"/>
    <w:rsid w:val="007D1E54"/>
    <w:rsid w:val="00855617"/>
    <w:rsid w:val="008832A4"/>
    <w:rsid w:val="00922B36"/>
    <w:rsid w:val="009A6A15"/>
    <w:rsid w:val="009B5542"/>
    <w:rsid w:val="00AD47C2"/>
    <w:rsid w:val="00B146E3"/>
    <w:rsid w:val="00B151F2"/>
    <w:rsid w:val="00B421E6"/>
    <w:rsid w:val="00B52917"/>
    <w:rsid w:val="00BB4644"/>
    <w:rsid w:val="00BC48D7"/>
    <w:rsid w:val="00BD0981"/>
    <w:rsid w:val="00C779F9"/>
    <w:rsid w:val="00D716E2"/>
    <w:rsid w:val="00D94923"/>
    <w:rsid w:val="00E423DF"/>
    <w:rsid w:val="00E73514"/>
    <w:rsid w:val="00EF0EAD"/>
    <w:rsid w:val="00F141F1"/>
    <w:rsid w:val="00F22B23"/>
    <w:rsid w:val="00F56534"/>
    <w:rsid w:val="00F74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6A489"/>
  <w15:chartTrackingRefBased/>
  <w15:docId w15:val="{D1400E92-E896-4463-B80F-F59CEB86A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6B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32348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6BF3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66BF3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6BF3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66BF3"/>
    <w:rPr>
      <w:rFonts w:asciiTheme="majorHAnsi" w:eastAsiaTheme="majorEastAsia" w:hAnsiTheme="majorHAnsi" w:cstheme="majorBidi"/>
      <w:color w:val="032348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0B1D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1DE8"/>
  </w:style>
  <w:style w:type="paragraph" w:styleId="Footer">
    <w:name w:val="footer"/>
    <w:basedOn w:val="Normal"/>
    <w:link w:val="FooterChar"/>
    <w:uiPriority w:val="99"/>
    <w:unhideWhenUsed/>
    <w:rsid w:val="000B1D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1D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19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8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9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chart" Target="charts/chart1.xm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P:\users\MITWIL6634\Desktop\Collier%20Course%20Fles\INT%201-Customer%20Survey%20Data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dk1"/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Survey Results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dk1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'2016'!$A$7</c:f>
              <c:strCache>
                <c:ptCount val="1"/>
                <c:pt idx="0">
                  <c:v>Excellent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tint val="85000"/>
                    <a:shade val="98000"/>
                    <a:satMod val="110000"/>
                    <a:lumMod val="103000"/>
                  </a:schemeClr>
                </a:gs>
                <a:gs pos="50000">
                  <a:schemeClr val="accent1">
                    <a:shade val="85000"/>
                    <a:satMod val="105000"/>
                    <a:lumMod val="100000"/>
                  </a:schemeClr>
                </a:gs>
                <a:gs pos="100000">
                  <a:schemeClr val="accent1">
                    <a:shade val="60000"/>
                    <a:satMod val="120000"/>
                    <a:lumMod val="100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0800" dist="15875" dir="5400000" algn="ctr" rotWithShape="0">
                <a:srgbClr val="000000">
                  <a:alpha val="68000"/>
                </a:srgbClr>
              </a:outerShdw>
            </a:effectLst>
          </c:spPr>
          <c:invertIfNegative val="0"/>
          <c:cat>
            <c:strRef>
              <c:f>'2016'!$B$6:$F$6</c:f>
              <c:strCache>
                <c:ptCount val="5"/>
                <c:pt idx="0">
                  <c:v>Tour Activities</c:v>
                </c:pt>
                <c:pt idx="1">
                  <c:v>Volunteer Activities</c:v>
                </c:pt>
                <c:pt idx="2">
                  <c:v>Accommodation</c:v>
                </c:pt>
                <c:pt idx="3">
                  <c:v>Food</c:v>
                </c:pt>
                <c:pt idx="4">
                  <c:v>Experience Leader</c:v>
                </c:pt>
              </c:strCache>
            </c:strRef>
          </c:cat>
          <c:val>
            <c:numRef>
              <c:f>'2016'!$B$7:$F$7</c:f>
              <c:numCache>
                <c:formatCode>General</c:formatCode>
                <c:ptCount val="5"/>
                <c:pt idx="0">
                  <c:v>1000</c:v>
                </c:pt>
                <c:pt idx="1">
                  <c:v>1545</c:v>
                </c:pt>
                <c:pt idx="2">
                  <c:v>1100</c:v>
                </c:pt>
                <c:pt idx="3">
                  <c:v>500</c:v>
                </c:pt>
                <c:pt idx="4">
                  <c:v>1800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15F-4F5D-9797-2E62677FB639}"/>
            </c:ext>
          </c:extLst>
        </c:ser>
        <c:ser>
          <c:idx val="1"/>
          <c:order val="1"/>
          <c:tx>
            <c:strRef>
              <c:f>'2016'!$A$8</c:f>
              <c:strCache>
                <c:ptCount val="1"/>
                <c:pt idx="0">
                  <c:v>Good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tint val="85000"/>
                    <a:shade val="98000"/>
                    <a:satMod val="110000"/>
                    <a:lumMod val="103000"/>
                  </a:schemeClr>
                </a:gs>
                <a:gs pos="50000">
                  <a:schemeClr val="accent2">
                    <a:shade val="85000"/>
                    <a:satMod val="105000"/>
                    <a:lumMod val="100000"/>
                  </a:schemeClr>
                </a:gs>
                <a:gs pos="100000">
                  <a:schemeClr val="accent2">
                    <a:shade val="60000"/>
                    <a:satMod val="120000"/>
                    <a:lumMod val="100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0800" dist="15875" dir="5400000" algn="ctr" rotWithShape="0">
                <a:srgbClr val="000000">
                  <a:alpha val="68000"/>
                </a:srgbClr>
              </a:outerShdw>
            </a:effectLst>
          </c:spPr>
          <c:invertIfNegative val="0"/>
          <c:cat>
            <c:strRef>
              <c:f>'2016'!$B$6:$F$6</c:f>
              <c:strCache>
                <c:ptCount val="5"/>
                <c:pt idx="0">
                  <c:v>Tour Activities</c:v>
                </c:pt>
                <c:pt idx="1">
                  <c:v>Volunteer Activities</c:v>
                </c:pt>
                <c:pt idx="2">
                  <c:v>Accommodation</c:v>
                </c:pt>
                <c:pt idx="3">
                  <c:v>Food</c:v>
                </c:pt>
                <c:pt idx="4">
                  <c:v>Experience Leader</c:v>
                </c:pt>
              </c:strCache>
            </c:strRef>
          </c:cat>
          <c:val>
            <c:numRef>
              <c:f>'2016'!$B$8:$F$8</c:f>
              <c:numCache>
                <c:formatCode>General</c:formatCode>
                <c:ptCount val="5"/>
                <c:pt idx="0">
                  <c:v>900</c:v>
                </c:pt>
                <c:pt idx="1">
                  <c:v>410</c:v>
                </c:pt>
                <c:pt idx="2">
                  <c:v>820</c:v>
                </c:pt>
                <c:pt idx="3">
                  <c:v>700</c:v>
                </c:pt>
                <c:pt idx="4">
                  <c:v>193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215F-4F5D-9797-2E62677FB639}"/>
            </c:ext>
          </c:extLst>
        </c:ser>
        <c:ser>
          <c:idx val="2"/>
          <c:order val="2"/>
          <c:tx>
            <c:strRef>
              <c:f>'2016'!$A$9</c:f>
              <c:strCache>
                <c:ptCount val="1"/>
                <c:pt idx="0">
                  <c:v>Fair</c:v>
                </c:pt>
              </c:strCache>
            </c:strRef>
          </c:tx>
          <c:spPr>
            <a:gradFill rotWithShape="1">
              <a:gsLst>
                <a:gs pos="0">
                  <a:schemeClr val="accent3">
                    <a:tint val="85000"/>
                    <a:shade val="98000"/>
                    <a:satMod val="110000"/>
                    <a:lumMod val="103000"/>
                  </a:schemeClr>
                </a:gs>
                <a:gs pos="50000">
                  <a:schemeClr val="accent3">
                    <a:shade val="85000"/>
                    <a:satMod val="105000"/>
                    <a:lumMod val="100000"/>
                  </a:schemeClr>
                </a:gs>
                <a:gs pos="100000">
                  <a:schemeClr val="accent3">
                    <a:shade val="60000"/>
                    <a:satMod val="120000"/>
                    <a:lumMod val="100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0800" dist="15875" dir="5400000" algn="ctr" rotWithShape="0">
                <a:srgbClr val="000000">
                  <a:alpha val="68000"/>
                </a:srgbClr>
              </a:outerShdw>
            </a:effectLst>
          </c:spPr>
          <c:invertIfNegative val="0"/>
          <c:cat>
            <c:strRef>
              <c:f>'2016'!$B$6:$F$6</c:f>
              <c:strCache>
                <c:ptCount val="5"/>
                <c:pt idx="0">
                  <c:v>Tour Activities</c:v>
                </c:pt>
                <c:pt idx="1">
                  <c:v>Volunteer Activities</c:v>
                </c:pt>
                <c:pt idx="2">
                  <c:v>Accommodation</c:v>
                </c:pt>
                <c:pt idx="3">
                  <c:v>Food</c:v>
                </c:pt>
                <c:pt idx="4">
                  <c:v>Experience Leader</c:v>
                </c:pt>
              </c:strCache>
            </c:strRef>
          </c:cat>
          <c:val>
            <c:numRef>
              <c:f>'2016'!$B$9:$F$9</c:f>
              <c:numCache>
                <c:formatCode>General</c:formatCode>
                <c:ptCount val="5"/>
                <c:pt idx="0">
                  <c:v>75</c:v>
                </c:pt>
                <c:pt idx="1">
                  <c:v>40</c:v>
                </c:pt>
                <c:pt idx="2">
                  <c:v>50</c:v>
                </c:pt>
                <c:pt idx="3">
                  <c:v>600</c:v>
                </c:pt>
                <c:pt idx="4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215F-4F5D-9797-2E62677FB639}"/>
            </c:ext>
          </c:extLst>
        </c:ser>
        <c:ser>
          <c:idx val="3"/>
          <c:order val="3"/>
          <c:tx>
            <c:strRef>
              <c:f>'2016'!$A$10</c:f>
              <c:strCache>
                <c:ptCount val="1"/>
                <c:pt idx="0">
                  <c:v>Poor</c:v>
                </c:pt>
              </c:strCache>
            </c:strRef>
          </c:tx>
          <c:spPr>
            <a:gradFill rotWithShape="1">
              <a:gsLst>
                <a:gs pos="0">
                  <a:schemeClr val="accent4">
                    <a:tint val="85000"/>
                    <a:shade val="98000"/>
                    <a:satMod val="110000"/>
                    <a:lumMod val="103000"/>
                  </a:schemeClr>
                </a:gs>
                <a:gs pos="50000">
                  <a:schemeClr val="accent4">
                    <a:shade val="85000"/>
                    <a:satMod val="105000"/>
                    <a:lumMod val="100000"/>
                  </a:schemeClr>
                </a:gs>
                <a:gs pos="100000">
                  <a:schemeClr val="accent4">
                    <a:shade val="60000"/>
                    <a:satMod val="120000"/>
                    <a:lumMod val="100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0800" dist="15875" dir="5400000" algn="ctr" rotWithShape="0">
                <a:srgbClr val="000000">
                  <a:alpha val="68000"/>
                </a:srgbClr>
              </a:outerShdw>
            </a:effectLst>
          </c:spPr>
          <c:invertIfNegative val="0"/>
          <c:cat>
            <c:strRef>
              <c:f>'2016'!$B$6:$F$6</c:f>
              <c:strCache>
                <c:ptCount val="5"/>
                <c:pt idx="0">
                  <c:v>Tour Activities</c:v>
                </c:pt>
                <c:pt idx="1">
                  <c:v>Volunteer Activities</c:v>
                </c:pt>
                <c:pt idx="2">
                  <c:v>Accommodation</c:v>
                </c:pt>
                <c:pt idx="3">
                  <c:v>Food</c:v>
                </c:pt>
                <c:pt idx="4">
                  <c:v>Experience Leader</c:v>
                </c:pt>
              </c:strCache>
            </c:strRef>
          </c:cat>
          <c:val>
            <c:numRef>
              <c:f>'2016'!$B$10:$F$10</c:f>
              <c:numCache>
                <c:formatCode>General</c:formatCode>
                <c:ptCount val="5"/>
                <c:pt idx="0">
                  <c:v>25</c:v>
                </c:pt>
                <c:pt idx="1">
                  <c:v>5</c:v>
                </c:pt>
                <c:pt idx="2">
                  <c:v>30</c:v>
                </c:pt>
                <c:pt idx="3">
                  <c:v>200</c:v>
                </c:pt>
                <c:pt idx="4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215F-4F5D-9797-2E62677FB63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-24"/>
        <c:axId val="-393304240"/>
        <c:axId val="-393296624"/>
      </c:barChart>
      <c:catAx>
        <c:axId val="-3933042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2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393296624"/>
        <c:crosses val="autoZero"/>
        <c:auto val="1"/>
        <c:lblAlgn val="ctr"/>
        <c:lblOffset val="100"/>
        <c:noMultiLvlLbl val="0"/>
      </c:catAx>
      <c:valAx>
        <c:axId val="-393296624"/>
        <c:scaling>
          <c:orientation val="minMax"/>
          <c:max val="2600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3933042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/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lt1"/>
    </a:solidFill>
    <a:ln w="19050" cap="rnd" cmpd="sng" algn="ctr">
      <a:solidFill>
        <a:schemeClr val="accent2"/>
      </a:solidFill>
      <a:prstDash val="solid"/>
      <a:round/>
    </a:ln>
    <a:effectLst/>
  </c:spPr>
  <c:txPr>
    <a:bodyPr/>
    <a:lstStyle/>
    <a:p>
      <a:pPr>
        <a:defRPr>
          <a:solidFill>
            <a:schemeClr val="dk1"/>
          </a:solidFill>
          <a:latin typeface="+mn-lt"/>
          <a:ea typeface="+mn-ea"/>
          <a:cs typeface="+mn-cs"/>
        </a:defRPr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7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3">
      <cs:styleClr val="auto"/>
    </cs:fillRef>
    <cs:effectRef idx="2"/>
    <cs:fontRef idx="minor">
      <a:schemeClr val="tx2"/>
    </cs:fontRef>
    <cs:spPr>
      <a:ln w="12700">
        <a:solidFill>
          <a:schemeClr val="lt2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  <a:lumOff val="2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>
        <a:lumMod val="75000"/>
      </a:schemeClr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theme/theme1.xml><?xml version="1.0" encoding="utf-8"?>
<a:theme xmlns:a="http://schemas.openxmlformats.org/drawingml/2006/main" name="Slice">
  <a:themeElements>
    <a:clrScheme name="Slice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Slice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lic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47000D7C758CD4FA8D68CA661EBC565" ma:contentTypeVersion="0" ma:contentTypeDescription="Create a new document." ma:contentTypeScope="" ma:versionID="1a5add1e39d5e16a8679ca51ad311584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1C45F64-F693-426F-BD20-9C3208D7C2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EE9AD66D-6968-4BDE-AE04-5863977BE368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0D1CF227-56F4-4F4F-BBFF-C995370B608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</dc:creator>
  <cp:lastModifiedBy>mitchell wilson</cp:lastModifiedBy>
  <cp:revision>2</cp:revision>
  <dcterms:created xsi:type="dcterms:W3CDTF">2020-01-23T21:29:00Z</dcterms:created>
  <dcterms:modified xsi:type="dcterms:W3CDTF">2020-01-23T21:29:00Z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0x010100547000D7C758CD4FA8D68CA661EBC565</vt:lpwstr>
  </property>
</Properties>
</file>