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RELATÓRIO ANALÍTICO · ANÁLISE EXPLORATÓRIA DE DADOS</w:t>
      </w:r>
    </w:p>
    <w:p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 xml:space="preserve">Acidentes em Rodovias Federais — PRF 2025</w:t>
      </w:r>
    </w:p>
    <w:p>
      <w:pPr>
        <w:spacing w:after="260"/>
        <w:jc w:val="center"/>
      </w:pPr>
      <w:r>
        <w:rPr>
          <w:i/>
          <w:iCs/>
          <w:color w:val="666666"/>
          <w:sz w:val="22"/>
          <w:szCs w:val="22"/>
        </w:rPr>
        <w:t xml:space="preserve">Análise exploratória dos padrões associados à ocorrência de acidentes fatais nas rodovias federais brasileiras</w:t>
      </w:r>
    </w:p>
    <w:p>
      <w:pPr>
        <w:spacing w:after="80"/>
        <w:jc w:val="center"/>
      </w:pPr>
      <w:r>
        <w:rPr>
          <w:sz w:val="19"/>
          <w:szCs w:val="19"/>
        </w:rPr>
        <w:t xml:space="preserve">Fonte dos dados: Polícia Rodoviária Federal (PRF) — base de acidentes 2025 (dados abertos)</w:t>
      </w:r>
    </w:p>
    <w:p>
      <w:pPr>
        <w:spacing w:after="80"/>
        <w:jc w:val="center"/>
      </w:pPr>
      <w:r>
        <w:rPr>
          <w:sz w:val="19"/>
          <w:szCs w:val="19"/>
        </w:rPr>
        <w:t xml:space="preserve">Variável-alvo: acidente_fatal (1 = acidente com pelo menos uma morte; 0 = demais acidentes)  |  Período: 01/01/2025 a 31/12/2025  |  72.529 registros analisados</w:t>
      </w:r>
    </w:p>
    <w:p>
      <w:pPr>
        <w:spacing w:after="40"/>
        <w:jc w:val="center"/>
      </w:pPr>
      <w:r>
        <w:rPr>
          <w:sz w:val="19"/>
          <w:szCs w:val="19"/>
        </w:rPr>
        <w:t xml:space="preserve">Elaborado para: atividade acadêmica de Análise Exploratória de Dados (EDA) — Aponti Academy</w:t>
      </w:r>
    </w:p>
    <w:p>
      <w:pPr>
        <w:spacing w:after="300"/>
        <w:jc w:val="center"/>
      </w:pPr>
      <w:r>
        <w:rPr>
          <w:color w:val="666666"/>
          <w:sz w:val="19"/>
          <w:szCs w:val="19"/>
        </w:rPr>
        <w:t xml:space="preserve">Curso: Análise de Dados · Professor: Danilo Cavalcanti · Aluno: Wilson A. Gomes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Sumário executivo</w:t>
      </w:r>
    </w:p>
    <w:p>
      <w:pPr>
        <w:spacing w:after="140" w:line="300"/>
      </w:pPr>
      <w:r>
        <w:rPr>
          <w:sz w:val="21"/>
          <w:szCs w:val="21"/>
        </w:rPr>
        <w:t xml:space="preserve">Em 2025, a base registrou 72.529 acidentes em rodovias federais brasileiras. Desse total, 5.210 (7,18%) foram acidentes fatais, com 6.043 mortes. Foram contabilizadas 89.593 vítimas, resultando em taxa de letalidade operacional de 6,74%. A EDA organiza a leitura em indicadores globais, rankings, séries temporais, associações bivariadas, combinações de fatores e correlações, usando acidente_fatal como variável-alvo.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c>
          <w:tcPr>
            <w:tcW w:type="dxa" w:w="2337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TOTAL DE REGISTROS</w:t>
            </w:r>
          </w:p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72.529</w:t>
            </w:r>
          </w:p>
        </w:tc>
        <w:tc>
          <w:tcPr>
            <w:tcW w:type="dxa" w:w="2337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EVENTOS-ALVO</w:t>
            </w:r>
          </w:p>
          <w:p>
            <w:pPr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5.210 (7,18%)</w:t>
            </w:r>
          </w:p>
        </w:tc>
        <w:tc>
          <w:tcPr>
            <w:tcW w:type="dxa" w:w="2337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TOTAL DE MORTOS</w:t>
            </w:r>
          </w:p>
          <w:p>
            <w:pPr>
              <w:jc w:val="center"/>
            </w:pPr>
            <w:r>
              <w:rPr>
                <w:b/>
                <w:bCs/>
                <w:color w:val="C0392B"/>
                <w:sz w:val="30"/>
                <w:szCs w:val="30"/>
              </w:rPr>
              <w:t xml:space="preserve">6.043</w:t>
            </w:r>
          </w:p>
        </w:tc>
        <w:tc>
          <w:tcPr>
            <w:tcW w:type="dxa" w:w="2337"/>
            <w:shd w:fill="F2F2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LETALIDADE / 100 VÍTIMAS</w:t>
            </w:r>
          </w:p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6,74</w:t>
            </w:r>
          </w:p>
        </w:tc>
      </w:tr>
    </w:tbl>
    <w:p>
      <w:pPr>
        <w:spacing w:after="160"/>
      </w:pPr>
    </w:p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Achado central: o maior volume de acidentes não coincide necessariamente com a maior proporção de fatalidade. Colisões traseiras são o tipo mais frequente (14.360 registros), mas apenas 4,31% são fatais; já colisões frontais (29,46%) e atropelamentos de pedestres (29,51%) apresentam proporção de fatalidade cerca de 4,1 vezes a taxa global. A mesma diferença aparece na infraestrutura: pistas simples têm 9,86% de acidentes fatais, contra 4,88% nas pistas duplas.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Estatística descritiva e indicadores globais</w:t>
      </w:r>
    </w:p>
    <w:p>
      <w:pPr>
        <w:spacing w:after="140" w:line="300"/>
      </w:pPr>
      <w:r>
        <w:rPr>
          <w:sz w:val="21"/>
          <w:szCs w:val="21"/>
        </w:rPr>
        <w:t xml:space="preserve">A tabela abaixo consolida os indicadores globais da base — o ponto de partida para qualquer leitura segmentada nas seções seguintes.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33"/>
        <w:gridCol w:w="3117"/>
      </w:tblGrid>
      <w:tr>
        <w:trPr>
          <w:tblHeader/>
        </w:trPr>
        <w:tc>
          <w:tcPr>
            <w:tcW w:type="dxa" w:w="623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2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de acidentes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72.529</w:t>
            </w:r>
          </w:p>
        </w:tc>
      </w:tr>
      <w:tr>
        <w:tc>
          <w:tcPr>
            <w:tcW w:type="dxa" w:w="623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Acidentes fatais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5.210</w:t>
            </w:r>
          </w:p>
        </w:tc>
      </w:tr>
      <w:tr>
        <w:tc>
          <w:tcPr>
            <w:tcW w:type="dxa" w:w="62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% de acidentes fatais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7,18%</w:t>
            </w:r>
          </w:p>
        </w:tc>
      </w:tr>
      <w:tr>
        <w:tc>
          <w:tcPr>
            <w:tcW w:type="dxa" w:w="623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de mortos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6.043</w:t>
            </w:r>
          </w:p>
        </w:tc>
      </w:tr>
      <w:tr>
        <w:tc>
          <w:tcPr>
            <w:tcW w:type="dxa" w:w="62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de feridos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83.550</w:t>
            </w:r>
          </w:p>
        </w:tc>
      </w:tr>
      <w:tr>
        <w:tc>
          <w:tcPr>
            <w:tcW w:type="dxa" w:w="6233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 de vítimas por acidente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1,24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1"/>
          <w:szCs w:val="21"/>
        </w:rPr>
        <w:t xml:space="preserve">As variáveis numéricas apresentam assimetria à direita e eventos extremos. O número de pessoas por acidente tem média de 2,60 e mediana de 2, com máximo de 76; veículos têm média de 2,00 e mediana de 2, com máximo de 82; e o total de vítimas tem média de 1,24, mediana de 1 e máximo de 53. Mortos por acidente têm mediana 0 e máximo 16. Como poucos eventos extremos elevam as médias, a análise prioriza proporções, medianas e comparações relativas junto ao volume absoluto.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Rankings — onde os eventos acontecem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Por Unidade da Federação (UF)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7"/>
      </w:tblGrid>
      <w:tr>
        <w:trPr>
          <w:tblHeader/>
        </w:trPr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UF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do total</w:t>
            </w:r>
          </w:p>
        </w:tc>
      </w:tr>
      <w:tr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MG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9.570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13,19%</w:t>
            </w:r>
          </w:p>
        </w:tc>
      </w:tr>
      <w:tr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8.186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11,29%</w:t>
            </w:r>
          </w:p>
        </w:tc>
      </w:tr>
      <w:tr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7.630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10,52%</w:t>
            </w:r>
          </w:p>
        </w:tc>
      </w:tr>
      <w:tr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RJ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6.428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8,86%</w:t>
            </w:r>
          </w:p>
        </w:tc>
      </w:tr>
    </w:tbl>
    <w:p>
      <w:pPr>
        <w:spacing w:after="120"/>
      </w:pPr>
    </w:p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Leitura: Minas Gerais concentra o maior volume (9.570; 13,19% do total), porém sua proporção fatal é 6,76%, abaixo da taxa global de 7,18%. Maranhão, com volume bem menor (1.262), apresenta a maior proporção observada de acidentes fatais: 18,70%. Bahia, com volume intermediário (4.108), apresenta 11,59% de acidentes fatais.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3.2 Por rodovia federal (BR)</w:t>
      </w:r>
    </w:p>
    <w:p>
      <w:pPr>
        <w:spacing w:after="140" w:line="300"/>
      </w:pPr>
      <w:r>
        <w:rPr>
          <w:sz w:val="21"/>
          <w:szCs w:val="21"/>
        </w:rPr>
        <w:t xml:space="preserve">Comparação entre volume e proporção fatal. Para o ranking proporcional foi adotado mínimo de 500 registros por BR, reduzindo a influência de percentuais instáveis em rodovias com poucas ocorrências.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7"/>
      </w:tblGrid>
      <w:tr>
        <w:trPr>
          <w:tblHeader/>
        </w:trPr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BR-101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13.014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5,24%</w:t>
            </w:r>
          </w:p>
        </w:tc>
      </w:tr>
      <w:tr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BR-116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11.021</w:t>
            </w:r>
          </w:p>
        </w:tc>
        <w:tc>
          <w:tcPr>
            <w:tcW w:type="dxa" w:w="3117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5,79%</w:t>
            </w:r>
          </w:p>
        </w:tc>
      </w:tr>
      <w:tr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BR-40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3.502</w:t>
            </w:r>
          </w:p>
        </w:tc>
        <w:tc>
          <w:tcPr>
            <w:tcW w:type="dxa" w:w="311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5,14%</w:t>
            </w:r>
          </w:p>
        </w:tc>
      </w:tr>
    </w:tbl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Atenção à confusão volume x proporção: BR-101 e BR-116 lideram o volume, com 13.014 e 11.021 acidentes, mas têm 5,24% e 5,79% de fatalidade. Entre BRs com pelo menos 500 registros, BR-222 (18,24%), BR-10 (17,00%) e BR-316 (14,72%) apresentam proporções fatais muito maiores.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3.3 Por macrorregião</w:t>
      </w:r>
    </w:p>
    <w:p>
      <w:pPr>
        <w:spacing w:after="140" w:line="300"/>
      </w:pPr>
      <w:r>
        <w:rPr>
          <w:sz w:val="21"/>
          <w:szCs w:val="21"/>
        </w:rPr>
        <w:t xml:space="preserve">Sudeste e Sul concentram juntos 60,72% dos acidentes registrados, mas têm proporções fatais de 5,59% e 5,60%. Norte e Nordeste concentram menos volume, porém apresentam 11,12% e 10,46% de acidentes fatais, respectivamente.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1 — volume de acidentes por macrorregião (esquerda) e proporção de acidentes fatais (direita), com a taxa global de 7,18% como referência.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Séries temporais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Série mensal</w:t>
      </w:r>
    </w:p>
    <w:p>
      <w:pPr>
        <w:spacing w:after="140" w:line="300"/>
      </w:pPr>
      <w:r>
        <w:rPr>
          <w:sz w:val="21"/>
          <w:szCs w:val="21"/>
        </w:rPr>
        <w:t xml:space="preserve">O volume mensal varia de 5.287 acidentes em fevereiro a 6.788 em dezembro. A proporção fatal não acompanha diretamente o volume: maio apresenta o maior percentual do ano (8,27%; 504 acidentes fatais), enquanto dezembro, apesar do maior volume, registra 7,07%, próximo da taxa global de 7,18%.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2 — volume mensal de acidentes (esquerda) e percentual mensal de acidentes fatais (direita), com a taxa global tracejada.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Dia da semana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2226"/>
        <w:gridCol w:w="2226"/>
        <w:gridCol w:w="2226"/>
      </w:tblGrid>
      <w:tr>
        <w:trPr>
          <w:tblHeader/>
        </w:trPr>
        <w:tc>
          <w:tcPr>
            <w:tcW w:type="dxa" w:w="26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22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2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Fatais</w:t>
            </w:r>
          </w:p>
        </w:tc>
        <w:tc>
          <w:tcPr>
            <w:tcW w:type="dxa" w:w="22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sexta-feira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11.197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766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6,84%</w:t>
            </w:r>
          </w:p>
        </w:tc>
      </w:tr>
      <w:tr>
        <w:tc>
          <w:tcPr>
            <w:tcW w:type="dxa" w:w="267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sábado</w:t>
            </w:r>
          </w:p>
        </w:tc>
        <w:tc>
          <w:tcPr>
            <w:tcW w:type="dxa" w:w="2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11.554</w:t>
            </w:r>
          </w:p>
        </w:tc>
        <w:tc>
          <w:tcPr>
            <w:tcW w:type="dxa" w:w="2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953</w:t>
            </w:r>
          </w:p>
        </w:tc>
        <w:tc>
          <w:tcPr>
            <w:tcW w:type="dxa" w:w="2226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8,25%</w:t>
            </w:r>
          </w:p>
        </w:tc>
      </w:tr>
      <w:tr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domingo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11.470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1.017</w:t>
            </w:r>
          </w:p>
        </w:tc>
        <w:tc>
          <w:tcPr>
            <w:tcW w:type="dxa" w:w="2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8,87%</w:t>
            </w:r>
          </w:p>
        </w:tc>
      </w:tr>
    </w:tbl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Leitura: o fim de semana se destaca — domingo apresenta 8,87% de acidentes fatais e sábado 8,25%, ambos acima da taxa global de 7,18%.</w:t>
      </w:r>
    </w:p>
    <w:p>
      <w:pPr>
        <w:spacing w:after="140" w:line="300"/>
      </w:pPr>
      <w:r>
        <w:rPr>
          <w:sz w:val="21"/>
          <w:szCs w:val="21"/>
        </w:rPr>
        <w:t xml:space="preserve">O sábado tem o maior volume semanal (11.554 acidentes), enquanto o domingo apresenta a maior proporção fatal (8,87%). Nos dias úteis, os percentuais ficam entre 6,36% e 6,85%, mostrando que volume e gravidade proporcional também diferem no recorte semanal.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3 — volume de acidentes e proporção de acidentes fatais por dia da semana.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Análise bivariada — o que mais se associa ao indicador-alvo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5.1 Tipo de acidente</w:t>
      </w:r>
    </w:p>
    <w:p>
      <w:pPr>
        <w:spacing w:after="140" w:line="300"/>
      </w:pPr>
      <w:r>
        <w:rPr>
          <w:sz w:val="21"/>
          <w:szCs w:val="21"/>
        </w:rPr>
        <w:t xml:space="preserve">Este é um dos achados mais fortes da base: colisão traseira é o tipo mais frequente, com 14.360 casos, mas somente 4,31% são fatais. Em contraste, atropelamento de pedestre (29,51%) e colisão frontal (29,46%) têm proporção fatal cerca de 4,1 vezes a taxa global de 7,18%.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1870"/>
        <w:gridCol w:w="1870"/>
        <w:gridCol w:w="1870"/>
      </w:tblGrid>
      <w:tr>
        <w:trPr>
          <w:tblHeader/>
        </w:trPr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acidente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Fatais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Colisão traseira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14.360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619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4,31%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de leito carroçável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10.209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605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5,93%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Colisão frontal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4.739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1.396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29,46%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Atropelamento de Pedestre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3.057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902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29,51%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4 — composição percentual entre acidentes fatais e não fatais nos tipos de acidente mais frequentes.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5.2 Causa do acidente</w:t>
      </w:r>
    </w:p>
    <w:p>
      <w:pPr>
        <w:spacing w:after="140" w:line="300"/>
      </w:pPr>
      <w:r>
        <w:rPr>
          <w:sz w:val="21"/>
          <w:szCs w:val="21"/>
        </w:rPr>
        <w:t xml:space="preserve">Foram consideradas causas com pelo menos 150 registros. As maiores proporções de acidentes fatais aparecem em suicídio presumido, pedestre andando na pista e entrada inopinada do pedestre, destacando situações com forte exposição humana e conflito direto com veículos.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1700"/>
        <w:gridCol w:w="1700"/>
        <w:gridCol w:w="1700"/>
      </w:tblGrid>
      <w:tr>
        <w:trPr>
          <w:tblHeader/>
        </w:trPr>
        <w:tc>
          <w:tcPr>
            <w:tcW w:type="dxa" w:w="4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(mín. 150 registros)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Fatais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4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Suicídio (presumido)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55,79%</w:t>
            </w:r>
          </w:p>
        </w:tc>
      </w:tr>
      <w:tr>
        <w:tc>
          <w:tcPr>
            <w:tcW w:type="dxa" w:w="4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Pedestre andava na pista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606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41,25%</w:t>
            </w:r>
          </w:p>
        </w:tc>
      </w:tr>
      <w:tr>
        <w:tc>
          <w:tcPr>
            <w:tcW w:type="dxa" w:w="4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 inopinada do pedestre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667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30,43%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5 — causas com maior proporção de acidentes fatais entre categorias com pelo menos 150 registros; linha tracejada indica a taxa global de 7,18%.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5.3 Condição meteorológica e fase do dia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805"/>
        <w:gridCol w:w="2805"/>
      </w:tblGrid>
      <w:tr>
        <w:trPr>
          <w:tblHeader/>
        </w:trPr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Nevoeiro/Neblina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553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10,85%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Céu Claro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46.375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7,37%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805"/>
        <w:gridCol w:w="2805"/>
      </w:tblGrid>
      <w:tr>
        <w:trPr>
          <w:tblHeader/>
        </w:trPr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do dia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3.447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11,20%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Plena Noite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24.781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10,18%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>O padrão mais robusto aparece na fase do dia: amanhecer (11,20%) e plena noite (10,18%) superam claramente o pleno dia (5,07%). Entre as condições meteorológicas com volume relevante, nevoeiro/neblina apresenta 10,85%, mas representa apenas 553 acidentes; céu claro concentra 46.375 registros e tem 7,37% de fatalidade.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6 — proporção de acidentes fatais por condição meteorológica (esquerda) e fase do dia (direita), com referência da taxa global.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5.4 Tipo de pista e uso do solo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805"/>
        <w:gridCol w:w="2805"/>
      </w:tblGrid>
      <w:tr>
        <w:trPr>
          <w:tblHeader/>
        </w:trPr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pista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Simples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34.733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9,86%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Dupla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30.782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4,88%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2805"/>
        <w:gridCol w:w="2805"/>
      </w:tblGrid>
      <w:tr>
        <w:trPr>
          <w:tblHeader/>
        </w:trPr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do solo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41.444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9,11%</w:t>
            </w:r>
          </w:p>
        </w:tc>
      </w:tr>
      <w:tr>
        <w:tc>
          <w:tcPr>
            <w:tcW w:type="dxa" w:w="37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31.085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4,62%</w:t>
            </w:r>
          </w:p>
        </w:tc>
      </w:tr>
    </w:tbl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Achados mais acionáveis do relatório: pistas simples registram 9,86% de acidentes fatais, aproximadamente o dobro das pistas duplas (4,88%). Registros com uso do solo = "Não" apresentam 9,11%, contra 4,62% quando = "Sim". Esses resultados sugerem diferenças de contexto viário, mas não demonstram causalidade sem controlar exposição, velocidade e características da via.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7 — percentual de acidentes fatais por macrorregião e fase do dia. A região foi derivada da UF registrada na base.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6. Combinações de fatores e correlação</w:t>
      </w:r>
    </w:p>
    <w:p>
      <w:pPr>
        <w:spacing w:after="140" w:line="300"/>
      </w:pPr>
      <w:r>
        <w:rPr>
          <w:sz w:val="21"/>
          <w:szCs w:val="21"/>
        </w:rPr>
        <w:t xml:space="preserve">Cruzando fase do dia e condição meteorológica, e exigindo pelo menos 100 registros por combinação, as maiores proporções fatais são observadas nas combinações abaixo: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2805"/>
        <w:gridCol w:w="1870"/>
        <w:gridCol w:w="1870"/>
      </w:tblGrid>
      <w:tr>
        <w:trPr>
          <w:tblHeader/>
        </w:trPr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do dia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 meteorológica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Plena Noite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Nevoeiro/Neblina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15,10%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Céu Claro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2.010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11,99%</w:t>
            </w:r>
          </w:p>
        </w:tc>
      </w:tr>
      <w:tr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Nevoeiro/Neblina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11,24%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sz w:val="21"/>
          <w:szCs w:val="21"/>
        </w:rPr>
        <w:t xml:space="preserve">Em um segundo cruzamento, região derivada da UF x fase do dia, com mínimo de 200 registros por combinação, destacam-se: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2805"/>
        <w:gridCol w:w="1870"/>
        <w:gridCol w:w="1870"/>
      </w:tblGrid>
      <w:tr>
        <w:trPr>
          <w:tblHeader/>
        </w:trPr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28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do dia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8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</w:t>
            </w:r>
          </w:p>
        </w:tc>
      </w:tr>
      <w:tr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</w:t>
            </w:r>
          </w:p>
        </w:tc>
        <w:tc>
          <w:tcPr>
            <w:tcW w:type="dxa" w:w="280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23,50%</w:t>
            </w:r>
          </w:p>
        </w:tc>
      </w:tr>
      <w:tr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Nordeste</w:t>
            </w:r>
          </w:p>
        </w:tc>
        <w:tc>
          <w:tcPr>
            <w:tcW w:type="dxa" w:w="280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654</w:t>
            </w:r>
          </w:p>
        </w:tc>
        <w:tc>
          <w:tcPr>
            <w:tcW w:type="dxa" w:w="187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19,72%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sz w:val="21"/>
          <w:szCs w:val="21"/>
        </w:rPr>
        <w:t xml:space="preserve">A matriz de correlação de Pearson complementa a análise: acidente_fatal e mortos apresentam correlação de 0,884, o que é esperado porque a variável-alvo é definida pela existência de morte. Feridos e total de vítimas também são fortemente correlacionados (0,958), indicando redundância conceitual entre variáveis de desfecho.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Gráfico 8 — matriz de correlação de Pearson entre variáveis numéricas e a variável-alvo acidente_fatal.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7. Síntese, hipóteses e limitações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2424"/>
        <w:gridCol w:w="2424"/>
        <w:gridCol w:w="2424"/>
      </w:tblGrid>
      <w:tr>
        <w:trPr>
          <w:tblHeader/>
        </w:trPr>
        <w:tc>
          <w:tcPr>
            <w:tcW w:type="dxa" w:w="207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42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42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 (a investigar)</w:t>
            </w:r>
          </w:p>
        </w:tc>
        <w:tc>
          <w:tcPr>
            <w:tcW w:type="dxa" w:w="242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20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Tipos de acidente têm perfis de gravidade muito distintos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Atropelamento de pedestre: 29,51% fatal; colisão frontal: 29,46%; colisão traseira: 4,31%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 energia de impacto e exposição de usuários vulneráveis podem elevar a gravidade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 base não controla velocidade, exposição ao tráfego ou uso de equipamentos de segurança</w:t>
            </w:r>
          </w:p>
        </w:tc>
      </w:tr>
      <w:tr>
        <w:tc>
          <w:tcPr>
            <w:tcW w:type="dxa" w:w="207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Pista simples está associada a maior proporção fatal</w:t>
            </w:r>
          </w:p>
        </w:tc>
        <w:tc>
          <w:tcPr>
            <w:tcW w:type="dxa" w:w="242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Simples: 9,86% fatal; dupla: 4,88%</w:t>
            </w:r>
          </w:p>
        </w:tc>
        <w:tc>
          <w:tcPr>
            <w:tcW w:type="dxa" w:w="242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de separação física e conflitos em ultrapassagens podem contribuir</w:t>
            </w:r>
          </w:p>
        </w:tc>
        <w:tc>
          <w:tcPr>
            <w:tcW w:type="dxa" w:w="242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controle por fluxo, extensão da via, limite de velocidade ou geometria</w:t>
            </w:r>
          </w:p>
        </w:tc>
      </w:tr>
      <w:tr>
        <w:tc>
          <w:tcPr>
            <w:tcW w:type="dxa" w:w="20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Períodos de baixa luminosidade concentram maior fatalidade proporcional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Amanhecer: 11,20%; plena noite: 10,18%; pleno dia: 5,07%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Visibilidade reduzida e fadiga podem aumentar a severidade</w:t>
            </w:r>
          </w:p>
        </w:tc>
        <w:tc>
          <w:tcPr>
            <w:tcW w:type="dxa" w:w="242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proporção considera somente acidentes registrados, não a exposição por horário</w:t>
            </w:r>
          </w:p>
        </w:tc>
      </w:tr>
    </w:tbl>
    <w:p>
      <w:pPr>
        <w:spacing w:after="180"/>
      </w:pP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Erros a evitar na leitura deste relatório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Confundir volume com proporção do indicador-alvo (o grupo com mais registros nem sempre é o mais associado ao alvo).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Tratar percentuais de categorias com poucos registros como conclusão robusta — sempre olhar o volume junto.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Tratar correlação como causalidade, especialmente entre variáveis que compõem, por definição, o próprio alvo.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Generalizar um achado de um subgrupo, causa ou horário para o total sem checar se ele se repete em outros recortes.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Limitações gerais da 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Cobertura: a base reúne acidentes registrados pela PRF em rodovias federais em 2025; não representa toda a malha viária brasileira nem acidentes não registrados pela PRF.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Qualidade de registro: campos como causa, condição meteorológica e classificação dependem do registro da ocorrência e podem conter valores "Ignorado" ou ausentes.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Natureza da análise: os resultados são descritivos e associativos; percentuais e correlações não demonstram relações causais e não devem embasar decisões isoladamente.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Tratamento: a variável-alvo foi definida por mortos ≥ 1; categorias não informadas foram preenchidas como "Ignorado" e mantidas nos registros, sendo excluídas de rankings quando abaixo do volume mínimo estabelecido.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8. Interpretação, hipóteses e limites</w:t>
      </w:r>
    </w:p>
    <w:p>
      <w:pPr>
        <w:spacing w:after="140" w:line="300"/>
      </w:pPr>
      <w:r>
        <w:rPr>
          <w:sz w:val="21"/>
          <w:szCs w:val="21"/>
        </w:rPr>
        <w:t xml:space="preserve">Cada achado relevante é resumido no formato:</w:t>
      </w:r>
    </w:p>
    <w:p>
      <w:pPr>
        <w:pBdr>
          <w:left w:val="single" w:color="1F3864" w:sz="24" w:space="8"/>
        </w:pBdr>
        <w:spacing w:after="200" w:before="120"/>
        <w:ind w:left="300"/>
      </w:pPr>
      <w:r>
        <w:rPr>
          <w:i/>
          <w:iCs/>
          <w:sz w:val="21"/>
          <w:szCs w:val="21"/>
        </w:rPr>
        <w:t xml:space="preserve">Achado → Evidência → Comparação com a taxa global → Hipótese → Limitação.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"/>
        <w:gridCol w:w="1781"/>
        <w:gridCol w:w="1781"/>
        <w:gridCol w:w="1558"/>
        <w:gridCol w:w="2004"/>
        <w:gridCol w:w="1781"/>
      </w:tblGrid>
      <w:tr>
        <w:trPr>
          <w:tblHeader/>
        </w:trPr>
        <w:tc>
          <w:tcPr>
            <w:tcW w:type="dxa" w:w="44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8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178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155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Comparação</w:t>
            </w:r>
          </w:p>
        </w:tc>
        <w:tc>
          <w:tcPr>
            <w:tcW w:type="dxa" w:w="20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</w:t>
            </w:r>
          </w:p>
        </w:tc>
        <w:tc>
          <w:tcPr>
            <w:tcW w:type="dxa" w:w="178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4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MG lidera volume, mas não fatalidade proporcional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9.570 acidentes; 6,76% fatais</w:t>
            </w:r>
          </w:p>
        </w:tc>
        <w:tc>
          <w:tcPr>
            <w:tcW w:type="dxa" w:w="155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da taxa global de 7,18%</w:t>
            </w:r>
          </w:p>
        </w:tc>
        <w:tc>
          <w:tcPr>
            <w:tcW w:type="dxa" w:w="2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de tráfego e infraestrutura pode diferir de estados com maior proporção fatal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medida de exposição por km rodado ou fluxo</w:t>
            </w:r>
          </w:p>
        </w:tc>
      </w:tr>
      <w:tr>
        <w:tc>
          <w:tcPr>
            <w:tcW w:type="dxa" w:w="4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MA combina volume moderado e altíssima proporção fatal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1.262 acidentes; 18,70% fatais</w:t>
            </w:r>
          </w:p>
        </w:tc>
        <w:tc>
          <w:tcPr>
            <w:tcW w:type="dxa" w:w="155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11,52 p.p. acima da taxa global</w:t>
            </w:r>
          </w:p>
        </w:tc>
        <w:tc>
          <w:tcPr>
            <w:tcW w:type="dxa" w:w="200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Características dos trechos e padrão de acidentes podem elevar a severidade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não controla extensão de rodovias nem tráfego</w:t>
            </w:r>
          </w:p>
        </w:tc>
      </w:tr>
      <w:tr>
        <w:tc>
          <w:tcPr>
            <w:tcW w:type="dxa" w:w="4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Colisão frontal é muito mais grave que colisão traseira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29,46% fatal vs. 4,31%</w:t>
            </w:r>
          </w:p>
        </w:tc>
        <w:tc>
          <w:tcPr>
            <w:tcW w:type="dxa" w:w="155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Frontal ≈ 4,1× a taxa global; traseira abaixo</w:t>
            </w:r>
          </w:p>
        </w:tc>
        <w:tc>
          <w:tcPr>
            <w:tcW w:type="dxa" w:w="2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Choques frontais envolvem maior energia de impacto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controla velocidade e ocupação dos veículos</w:t>
            </w:r>
          </w:p>
        </w:tc>
      </w:tr>
      <w:tr>
        <w:tc>
          <w:tcPr>
            <w:tcW w:type="dxa" w:w="4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Pista simples tem maior fatalidade proporcional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9,86% fatal; pista dupla 4,88%</w:t>
            </w:r>
          </w:p>
        </w:tc>
        <w:tc>
          <w:tcPr>
            <w:tcW w:type="dxa" w:w="155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2,68 p.p. acima da taxa global</w:t>
            </w:r>
          </w:p>
        </w:tc>
        <w:tc>
          <w:tcPr>
            <w:tcW w:type="dxa" w:w="200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segregação de fluxos pode aumentar conflitos graves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controle por tráfego, geometria e velocidade</w:t>
            </w:r>
          </w:p>
        </w:tc>
      </w:tr>
      <w:tr>
        <w:tc>
          <w:tcPr>
            <w:tcW w:type="dxa" w:w="4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Domingo apresenta maior % fatal da semana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1.017 fatais em 11.470 acidentes; 8,87%</w:t>
            </w:r>
          </w:p>
        </w:tc>
        <w:tc>
          <w:tcPr>
            <w:tcW w:type="dxa" w:w="155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1,69 p.p. acima da taxa global</w:t>
            </w:r>
          </w:p>
        </w:tc>
        <w:tc>
          <w:tcPr>
            <w:tcW w:type="dxa" w:w="2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de viagens e horários pode diferir dos dias úteis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denominador de exposição por dia da semana</w:t>
            </w:r>
          </w:p>
        </w:tc>
      </w:tr>
      <w:tr>
        <w:tc>
          <w:tcPr>
            <w:tcW w:type="dxa" w:w="445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Plena noite + nevoeiro/neblina é combinação crítica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245 acidentes; 15,10% fatais</w:t>
            </w:r>
          </w:p>
        </w:tc>
        <w:tc>
          <w:tcPr>
            <w:tcW w:type="dxa" w:w="1558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7,92 p.p. acima da taxa global</w:t>
            </w:r>
          </w:p>
        </w:tc>
        <w:tc>
          <w:tcPr>
            <w:tcW w:type="dxa" w:w="2004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visibilidade pode elevar a severidade</w:t>
            </w:r>
          </w:p>
        </w:tc>
        <w:tc>
          <w:tcPr>
            <w:tcW w:type="dxa" w:w="1781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menor; associação pode refletir outros fatores</w:t>
            </w:r>
          </w:p>
        </w:tc>
      </w:tr>
      <w:tr>
        <w:tc>
          <w:tcPr>
            <w:tcW w:type="dxa" w:w="4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Correlação alvo-mortos é alta por definição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 = 0,884</w:t>
            </w:r>
          </w:p>
        </w:tc>
        <w:tc>
          <w:tcPr>
            <w:tcW w:type="dxa" w:w="155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Muito superior às correlações com pessoas (0,11) e veículos (0,13)</w:t>
            </w:r>
          </w:p>
        </w:tc>
        <w:tc>
          <w:tcPr>
            <w:tcW w:type="dxa" w:w="200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 variável-alvo é construída a partir da existência de mortes</w:t>
            </w:r>
          </w:p>
        </w:tc>
        <w:tc>
          <w:tcPr>
            <w:tcW w:type="dxa" w:w="178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Correlação é parcialmente tautológica e não deve ser interpretada como causa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26c01ac487a345bb721d8b27bee2f4ff68e102.png"/><Relationship Id="rId8" Type="http://schemas.openxmlformats.org/officeDocument/2006/relationships/image" Target="media/fc13ffec92df21a46886b4e1c33ade98751e3f61.png"/><Relationship Id="rId9" Type="http://schemas.openxmlformats.org/officeDocument/2006/relationships/image" Target="media/6ad7f407752cb17c9972dbf98930459256c63496.png"/><Relationship Id="rId10" Type="http://schemas.openxmlformats.org/officeDocument/2006/relationships/image" Target="media/08b61d440e9efec310d4a337c2e79242c594f69e.png"/><Relationship Id="rId11" Type="http://schemas.openxmlformats.org/officeDocument/2006/relationships/image" Target="media/2e82aee0cb872c618ab73c3e7a30060eca9fe6bd.png"/><Relationship Id="rId12" Type="http://schemas.openxmlformats.org/officeDocument/2006/relationships/image" Target="media/9abead30430fd8fc9abad5877ffbf1f60c25162c.png"/><Relationship Id="rId13" Type="http://schemas.openxmlformats.org/officeDocument/2006/relationships/image" Target="media/1312430d1a1f1a1e0cc177d39f010b63f2c0d056.png"/><Relationship Id="rId14" Type="http://schemas.openxmlformats.org/officeDocument/2006/relationships/image" Target="media/930ed37d129ffa21c625471fd9a1073ddfd1806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2026-09-03T00:21:14.585Z</dcterms:created>
  <dcterms:modified xsi:type="dcterms:W3CDTF">2026-09-03T00:21:14.585Z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