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l_case_10</w:t>
      </w:r>
    </w:p>
    <w:p>
      <w:r>
        <w:t>Age: 59</w:t>
      </w:r>
    </w:p>
    <w:p>
      <w:r>
        <w:t>ECOG: 1</w:t>
      </w:r>
    </w:p>
    <w:p>
      <w:r>
        <w:t>Primary diagnosis:</w:t>
      </w:r>
    </w:p>
    <w:p>
      <w:r>
        <w:t>Acute lymphoblastic leukemia, BCR::ABL1-positive (common-B-ALL), ID 07/2022</w:t>
      </w:r>
    </w:p>
    <w:p>
      <w:r>
        <w:t>At initial diagnosis:</w:t>
      </w:r>
    </w:p>
    <w:p>
      <w:r>
        <w:t>PB: Hb 9,8 g/dl, Plt 95/nl, WBC 42,5/nl, 40% blasts</w:t>
      </w:r>
    </w:p>
    <w:p>
      <w:r>
        <w:t>Cytology (BM): blast percentage 65%</w:t>
      </w:r>
    </w:p>
    <w:p>
      <w:r>
        <w:t>Histology (BM): Blast infiltration of approx. 80%, marrow fibrosis WHO-Grade 1</w:t>
      </w:r>
    </w:p>
    <w:p>
      <w:r>
        <w:t>Cytogenetics (BM): 46,XY,t(9;22)(q34;q11.2)[5]/46,idem,-7[12]/46,XY[3], Detection the</w:t>
      </w:r>
    </w:p>
    <w:p>
      <w:r>
        <w:t>Philadelphia-translocation, subclone with monosomy 7</w:t>
      </w:r>
    </w:p>
    <w:p>
      <w:r>
        <w:t>Flow cytometry (BM): 72% blasts; LAIP with ED: CD45 low, SSC low, CD34+, CD19+, CD20-,</w:t>
      </w:r>
    </w:p>
    <w:p>
      <w:r>
        <w:t>CD22+, TdT+, CD10+, CD38+, CD33-/+</w:t>
      </w:r>
    </w:p>
    <w:p>
      <w:r>
        <w:t>Molecular genetics (BM): BCR::ABL1 positive (p190, e1a2); FLT3, NPM1, IDH1/2 WT</w:t>
      </w:r>
    </w:p>
    <w:p>
      <w:r>
        <w:t>MRD Marker (PB): Molecular MRD markers established: IGH VH-JH clonal V4-34 J4, IGK</w:t>
      </w:r>
    </w:p>
    <w:p>
      <w:r>
        <w:t>Vk-Kde clonal</w:t>
      </w:r>
    </w:p>
    <w:p>
      <w:r>
        <w:t>Cytology (CSF): Cell count 2/nl, no detection of atypical cells</w:t>
      </w:r>
    </w:p>
    <w:p>
      <w:r>
        <w:t>Secondary diagnoses:</w:t>
      </w:r>
    </w:p>
    <w:p>
      <w:r>
        <w:t>COPD</w:t>
      </w:r>
    </w:p>
    <w:p>
      <w:r>
        <w:t>Arterial hypertension</w:t>
      </w:r>
    </w:p>
    <w:p>
      <w:r>
        <w:t>Type 2 diabetes mellitus</w:t>
      </w:r>
    </w:p>
    <w:p>
      <w:r>
        <w:t>Treatment and course:</w:t>
      </w:r>
    </w:p>
    <w:p>
      <w:r>
        <w:t>Molecular genetic findings</w:t>
      </w:r>
    </w:p>
    <w:p>
      <w:r>
        <w:t>Question for the tumor board:</w:t>
      </w:r>
    </w:p>
    <w:p>
      <w:r>
        <w:t>Pathogenic variant? Targeted Therapy?</w:t>
      </w:r>
    </w:p>
    <w:p>
      <w:r>
        <w:t>Tumor board decision:</w:t>
      </w:r>
    </w:p>
    <w:p>
      <w:r>
        <w:t>Pathogenic variant. Study option with KRAS-G12D- / MEK-Inhibitor (Trametinib)</w:t>
      </w:r>
    </w:p>
    <w:p>
      <w:r>
        <w:t>recommended.</w:t>
      </w:r>
    </w:p>
    <w:p>
      <w:r>
        <w:t>================================================================================</w:t>
      </w:r>
    </w:p>
    <w:p>
      <w:r>
        <w:t>TREATMENT TIMELINE</w:t>
      </w:r>
    </w:p>
    <w:p>
      <w:r>
        <w:t>================================================================================</w:t>
      </w:r>
    </w:p>
    <w:p>
      <w:r>
        <w:t>02/2021 Initial diagnosis: common-B-ALL (BCR::ABL-positive).</w:t>
      </w:r>
    </w:p>
    <w:p>
      <w:r>
        <w:t>11.03.2021 D1 Pre-phase (GMALL): Dexamethason + Cyclophosphamid + intrathecal MTX.</w:t>
      </w:r>
    </w:p>
    <w:p>
      <w:r>
        <w:t>16.03.2021 Induction I (GMALL) + Dasatinib</w:t>
      </w:r>
    </w:p>
    <w:p>
      <w:r>
        <w:t>02.04.2021 Intrathecal MTX; CSF-FACS: no blasts.</w:t>
      </w:r>
    </w:p>
    <w:p>
      <w:r>
        <w:t>03.04.2021 D20 (readmission 02.04): Continuation Induction I + Dasatinib; D20</w:t>
      </w:r>
    </w:p>
    <w:p>
      <w:r>
        <w:t>Pegasparaginase, D21 Vincristin.</w:t>
      </w:r>
    </w:p>
    <w:p>
      <w:r>
        <w:t>05.04.2021 D22 Remission assessment: BM 2% blasts; FACS 0,4% (MRD+); Kiel MRD+;</w:t>
      </w:r>
    </w:p>
    <w:p>
      <w:r>
        <w:t>BCR::ABL approx. 9%.</w:t>
      </w:r>
    </w:p>
    <w:p>
      <w:r>
        <w:t>11.04.2021 D28 Vincristin; Dasatinib paused with acute pancreatitis.</w:t>
      </w:r>
    </w:p>
    <w:p>
      <w:r>
        <w:t>19.04.2021 D34 intrathecal MTX 15 mg.</w:t>
      </w:r>
    </w:p>
    <w:p>
      <w:r>
        <w:t>20.04.2021 D35 Vincristin 1 mg absolute.</w:t>
      </w:r>
    </w:p>
    <w:p>
      <w:r>
        <w:t>22.04.2021 Treatment continuation with Imatinib 600 mg/d.</w:t>
      </w:r>
    </w:p>
    <w:p>
      <w:r>
        <w:t>14.05.2021 Remission assessment: complete remission; BCR::ABL MRD ~2,0%.</w:t>
      </w:r>
    </w:p>
    <w:p>
      <w:r>
        <w:t>18.05.-22.05.2021 D61-65 Consolidation I: Vindesin d61, HD-MTX d61, Etoposid d64-65,</w:t>
      </w:r>
    </w:p>
    <w:p>
      <w:r>
        <w:t>Cytarabin 2x2 g/m2 d65.</w:t>
      </w:r>
    </w:p>
    <w:p>
      <w:r>
        <w:t>04.06.2021 D76 intrathecal Triple (AraC/MTX/Dexa).</w:t>
      </w:r>
    </w:p>
    <w:p>
      <w:r>
        <w:t>10.06.2021 BMA: cytol. CR, FACS MRD-; BCR::ABL ~0,07% (MVZ); Kiel: 1 Marker pos.</w:t>
      </w:r>
    </w:p>
    <w:p>
      <w:r>
        <w:t>(2E-05), BCR::ABL ~0,1%.</w:t>
      </w:r>
    </w:p>
    <w:p>
      <w:r>
        <w:t>18.06.2021 Blinatumomab Cycle 1 + Imatinib 600 mg/d.</w:t>
      </w:r>
    </w:p>
    <w:p>
      <w:r>
        <w:t>24.06.2021 Intrathecal Triple (fluoroscopy-guided).</w:t>
      </w:r>
    </w:p>
    <w:p>
      <w:r>
        <w:t>16.07.2021 BMA: cyCR (1% blasts), FACS MRD-, FISH no evidence t(9;22); Kiel MRD-</w:t>
      </w:r>
    </w:p>
    <w:p>
      <w:r>
        <w:t>(&lt;1E-05).</w:t>
      </w:r>
    </w:p>
    <w:p>
      <w:r>
        <w:t>29.07.2021 Blinatumomab Cycle 2 + Imatinib 600 mg/d.</w:t>
      </w:r>
    </w:p>
    <w:p/>
    <w:p>
      <w:r>
        <w:t>31.08.2021 BMA: cytol. CR, FACS MRD-; BCR::ABL ~0,009%.</w:t>
      </w:r>
    </w:p>
    <w:p>
      <w:r>
        <w:t>09.09.2021 Intrathecal Triple (fluoroscopy-guided): no blasts.</w:t>
      </w:r>
    </w:p>
    <w:p>
      <w:r>
        <w:t>10.09.2021 Blinatumomab Cycle 3 + Imatinib 600 mg/d.</w:t>
      </w:r>
    </w:p>
    <w:p>
      <w:r>
        <w:t>12.10.2021 BMA: cytol. CR, FISH neg.; BCR::ABL ~0,0025%.</w:t>
      </w:r>
    </w:p>
    <w:p>
      <w:r>
        <w:t>20.10.2021 Intrathecal Triple (fluoroscopy-guided): no blasts.</w:t>
      </w:r>
    </w:p>
    <w:p>
      <w:r>
        <w:t>22.10.2021 Blinatumomab Cycle 4 + Imatinib 600 mg/d.</w:t>
      </w:r>
    </w:p>
    <w:p>
      <w:r>
        <w:t>24.11.2021 BMA: cytol. CR, FISH neg.; BCR::ABL ~0,013%; Kiel MRD-.</w:t>
      </w:r>
    </w:p>
    <w:p>
      <w:r>
        <w:t>03.12.2021 Blinatumomab Cycle 5 + Imatinib 600 mg/d.</w:t>
      </w:r>
    </w:p>
    <w:p>
      <w:r>
        <w:t>27.12.2021 BMA: cytol. CR (3% blasts); BCR::ABL ~0,030%; FACS MRD-, Kiel MRD-.</w:t>
      </w:r>
    </w:p>
    <w:p>
      <w:r>
        <w:t>21.01.2022 Blinatumomab Cycle 6 + Imatinib 600 mg/d.</w:t>
      </w:r>
    </w:p>
    <w:p>
      <w:r>
        <w:t>22.02.2022 BMA: cytol. CR (4% blasts); BCR::ABL ~0,010%; FACS MRD-, Kiel MRD-.</w:t>
      </w:r>
    </w:p>
    <w:p>
      <w:r>
        <w:t>02.03.2022 Tumorboard: Blinatumomab maintenance every 12 weeks (to 1 year); Imatinib</w:t>
      </w:r>
    </w:p>
    <w:p>
      <w:r>
        <w:t>600 mg/d long-term to Relapse/Tox.</w:t>
      </w:r>
    </w:p>
    <w:p>
      <w:r>
        <w:t>14.04.2022 Intrathecal Triple CT-guided.</w:t>
      </w:r>
    </w:p>
    <w:p>
      <w:r>
        <w:t>18.04.2022 Blinatumomab Cycle 7 + Imatinib 600 mg/d.</w:t>
      </w:r>
    </w:p>
    <w:p>
      <w:r>
        <w:t>27.05.2022 Remission assessment (BMA): Punctio sicca; BCR::ABL ~0,041%; FACS MRD-,</w:t>
      </w:r>
    </w:p>
    <w:p>
      <w:r>
        <w:t>Kiel MRD-.</w:t>
      </w:r>
    </w:p>
    <w:p>
      <w:r>
        <w:t>08.07.2022 Blinatumomab Cycle 8 + Imatinib 600 mg/d.</w:t>
      </w:r>
    </w:p>
    <w:p>
      <w:r>
        <w:t>12.08.2022 Remission assessment (BMA): CR; BCR::ABL ~0,090%; FACS MRD-, Kiel MRD-.</w:t>
      </w:r>
    </w:p>
    <w:p>
      <w:r>
        <w:t>04.09.2022 Switch to Dasatinib 100 mg 1-0-0 with peripheral edema.</w:t>
      </w:r>
    </w:p>
    <w:p>
      <w:r>
        <w:t>29.09.2022 Remission assessment (PB): BCR::ABL ~0,03%; Kiel MRD-.</w:t>
      </w:r>
    </w:p>
    <w:p>
      <w:r>
        <w:t>18.10.2022 Switch to Bosutinib 200 mg 1-0-0 with rash/pruritus.</w:t>
      </w:r>
    </w:p>
    <w:p>
      <w:r>
        <w:t>20.11.2022 Remission assessment (BMA): CR; BCR::ABL ~0,011%; FACS MRD-, Kiel MRD-.</w:t>
      </w:r>
    </w:p>
    <w:p>
      <w:r>
        <w:t>11.03.2023 Remission assessment (BMA): CR; BCR::ABL ~0,145%; FACS MRD-, Kiel MRD-.</w:t>
      </w:r>
    </w:p>
    <w:p>
      <w:r>
        <w:t>25.03.2023 Currently: Suspected progression.</w:t>
      </w:r>
    </w:p>
    <w:p>
      <w:r>
        <w:t>================================================================================</w:t>
      </w:r>
    </w:p>
    <w:p>
      <w:r>
        <w:t>================================================================================</w:t>
      </w:r>
    </w:p>
    <w:p>
      <w:r>
        <w:t>TREATMENT TIMELINE</w:t>
      </w:r>
    </w:p>
    <w:p>
      <w:r>
        <w:t>================================================================================</w:t>
      </w:r>
    </w:p>
    <w:p>
      <w:r>
        <w:t>Gene Transcript CDS position Amino acid position Allele frequency (%) COSMIC ID</w:t>
      </w:r>
    </w:p>
    <w:p>
      <w:r>
        <w:t>cBio-Portal Pathogenicity</w:t>
      </w:r>
    </w:p>
    <w:p>
      <w:r>
        <w:t>KRAS NM_033360.4 c.35G&gt;A p.G12D 25-45 COSM521 yes pathogenic</w:t>
      </w:r>
    </w:p>
    <w:p>
      <w:r>
        <w:t>================================================================================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