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ly_case_13</w:t>
      </w:r>
    </w:p>
    <w:p>
      <w:r>
        <w:t>Age: 30</w:t>
      </w:r>
    </w:p>
    <w:p>
      <w:r>
        <w:t>ECOG: 1</w:t>
      </w:r>
    </w:p>
    <w:p>
      <w:r>
        <w:t>Primary diagnosis:</w:t>
      </w:r>
    </w:p>
    <w:p>
      <w:r>
        <w:t>Hodgkin lymphoma ID 01/2026</w:t>
      </w:r>
    </w:p>
    <w:p>
      <w:r>
        <w:t>Pathology: classical Hodgkin lymphoma</w:t>
      </w:r>
    </w:p>
    <w:p>
      <w:r>
        <w:t>Stage: Ann Arbor IIBE</w:t>
      </w:r>
    </w:p>
    <w:p>
      <w:r>
        <w:t>CT head/thorax/abdomen: Mediastinal mass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None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Initial diagnosis of classical Hodgkin lymphoma. For stage IIBE, recommendation for</w:t>
      </w:r>
    </w:p>
    <w:p>
      <w:r>
        <w:t>BrECADD. In case of PET positivity, radiation therapy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