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ly_case_15</w:t>
      </w:r>
    </w:p>
    <w:p>
      <w:r>
        <w:t>Age: 40</w:t>
      </w:r>
    </w:p>
    <w:p>
      <w:r>
        <w:t>ECOG: 1</w:t>
      </w:r>
    </w:p>
    <w:p>
      <w:r>
        <w:t>Primary diagnosis:</w:t>
      </w:r>
    </w:p>
    <w:p>
      <w:r>
        <w:t>DLBCL ID 01/2025</w:t>
      </w:r>
    </w:p>
    <w:p>
      <w:r>
        <w:t>Stage IIB, mediastinal bulk</w:t>
      </w:r>
    </w:p>
    <w:p>
      <w:r>
        <w:t>IPI: 2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Early relapse of DLBCL. Recommendation for CAR-T cell therapy. R-DHAP initially to</w:t>
      </w:r>
    </w:p>
    <w:p>
      <w:r>
        <w:t>continue.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