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mm_case_11</w:t>
      </w:r>
    </w:p>
    <w:p>
      <w:r>
        <w:t>Age: 68</w:t>
      </w:r>
    </w:p>
    <w:p>
      <w:r>
        <w:t>ECOG: 1</w:t>
      </w:r>
    </w:p>
    <w:p>
      <w:r>
        <w:t>Primary diagnosis:</w:t>
      </w:r>
    </w:p>
    <w:p>
      <w:r>
        <w:t>Multiple myeloma, type IgG kappa, ID 01/2026</w:t>
      </w:r>
    </w:p>
    <w:p>
      <w:r>
        <w:t>Stage: R-ISS II</w:t>
      </w:r>
    </w:p>
    <w:p>
      <w:r>
        <w:t>Treatment indication: Anemia, Osteolytic lesions, Hypercalcemia</w:t>
      </w:r>
    </w:p>
    <w:p>
      <w:r>
        <w:t>Secondary diagnoses / Comorbidities:</w:t>
      </w:r>
    </w:p>
    <w:p>
      <w:r>
        <w:t>Allergies: none</w:t>
      </w:r>
    </w:p>
    <w:p>
      <w:r>
        <w:t>Graves' disease</w:t>
      </w:r>
    </w:p>
    <w:p>
      <w:r>
        <w:t>CVI grade III</w:t>
      </w:r>
    </w:p>
    <w:p>
      <w:r>
        <w:t>Prognostic factors:</w:t>
      </w:r>
    </w:p>
    <w:p>
      <w:r>
        <w:t>Initial with MM: no evidence of del(17p), t(4;14) or t(14;16)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Continuation of bridging therapy with IsaKd. Referral to CAR-T outpatient clinic for</w:t>
      </w:r>
    </w:p>
    <w:p>
      <w:r>
        <w:t>BCMA-directed CAR-T cell therapy in the further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