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mm_case_3</w:t>
      </w:r>
    </w:p>
    <w:p>
      <w:r>
        <w:t>Age: 74</w:t>
      </w:r>
    </w:p>
    <w:p>
      <w:r>
        <w:t>ECOG: 0</w:t>
      </w:r>
    </w:p>
    <w:p>
      <w:r>
        <w:t>Primary diagnosis:</w:t>
      </w:r>
    </w:p>
    <w:p>
      <w:r>
        <w:t>Multiple myeloma, type IgA lambda, ID 08/2023</w:t>
      </w:r>
    </w:p>
    <w:p>
      <w:r>
        <w:t>Treatment indication: Progressive focal lesions</w:t>
      </w:r>
    </w:p>
    <w:p>
      <w:r>
        <w:t>Secondary diagnoses / Comorbidities:</w:t>
      </w:r>
    </w:p>
    <w:p>
      <w:r>
        <w:t>CIPN grade II</w:t>
      </w:r>
    </w:p>
    <w:p>
      <w:r>
        <w:t>Allergies: none known</w:t>
      </w:r>
    </w:p>
    <w:p>
      <w:r>
        <w:t>Prognostic factors:</w:t>
      </w:r>
    </w:p>
    <w:p>
      <w:r>
        <w:t>ss2MG 3,0 mg/l, Albumin 42 g/l, LDH 198'</w:t>
      </w:r>
    </w:p>
    <w:p>
      <w:r>
        <w:t>ISS 1; R-ISS 1</w:t>
      </w:r>
    </w:p>
    <w:p>
      <w:r>
        <w:t>Cytogenetics: Translocation t(11;14), one deletion 13q and one 1q gain</w:t>
      </w:r>
    </w:p>
    <w:p>
      <w:r>
        <w:t>Prognostic score (Mayo Clinic criteria): 1</w:t>
      </w:r>
    </w:p>
    <w:p>
      <w:r>
        <w:t>* M-Protein &gt; 15g/l, Non-IgG, Serum free light chain ratio &lt; 0.26 or &gt; 1.65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KCD Therapy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