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l_case_3</w:t>
      </w:r>
    </w:p>
    <w:p>
      <w:r>
        <w:t>Age: 58</w:t>
      </w:r>
    </w:p>
    <w:p>
      <w:r>
        <w:t>ECOG: 0</w:t>
      </w:r>
    </w:p>
    <w:p>
      <w:r>
        <w:t>Primary diagnosis:</w:t>
      </w:r>
    </w:p>
    <w:p>
      <w:r>
        <w:t>Acute myeloid leukemia, ID 01/2026</w:t>
      </w:r>
    </w:p>
    <w:p>
      <w:r>
        <w:t>ICC 2022: AML with MDS-associated gene mutations (SF3B1)</w:t>
      </w:r>
    </w:p>
    <w:p>
      <w:r>
        <w:t>WHO 2022: AML, therapy-related (t-AML)</w:t>
      </w:r>
    </w:p>
    <w:p>
      <w:r>
        <w:t>L 1,6/nl, Hb 8,2 g/dl, Plt 68/nl, blasts 2%, LDH 195 U/l</w:t>
      </w:r>
    </w:p>
    <w:p>
      <w:r>
        <w:t>BM histology: hypercellular, signs of dysplasia</w:t>
      </w:r>
    </w:p>
    <w:p>
      <w:r>
        <w:t>BM cytology: 35% myeloblasts, trilineage dysplasia</w:t>
      </w:r>
    </w:p>
    <w:p>
      <w:r>
        <w:t>FACS: 15% blasts, LAIP: CD45 low' SSC low, CD34+' CD117+' HLA-DR+' CD38+/-, CD33+'</w:t>
      </w:r>
    </w:p>
    <w:p>
      <w:r>
        <w:t>CD13-, CD56+/-</w:t>
      </w:r>
    </w:p>
    <w:p>
      <w:r>
        <w:t>Molecular genetics: NPM1 WT, FLT3-ITD/TKD neg., IDH1 neg., IDH2 neg., TP53 WT</w:t>
      </w:r>
    </w:p>
    <w:p>
      <w:r>
        <w:t>FISH: unremarkable</w:t>
      </w:r>
    </w:p>
    <w:p>
      <w:r>
        <w:t>NGS: SF3B1 Mutation positive (38,7%)</w:t>
      </w:r>
    </w:p>
    <w:p>
      <w:r>
        <w:t>Karyotype: 46,XY,del(7)(q31q36)[6]/46,XY,del(20)(q11.2)[2]/46,XY[12]</w:t>
      </w:r>
    </w:p>
    <w:p>
      <w:r>
        <w:t>Risk profile: adverse</w:t>
      </w:r>
    </w:p>
    <w:p>
      <w:r>
        <w:t>Secondary diagnoses:</w:t>
      </w:r>
    </w:p>
    <w:p>
      <w:r>
        <w:t>Breast carcinoma, right, ID 05/2019</w:t>
      </w:r>
    </w:p>
    <w:p>
      <w:r>
        <w:t>Stage: pT1c, pN0 (0/3 sn), L0, G2, R0, cM0, History of adjuvant chemotherapy and</w:t>
      </w:r>
    </w:p>
    <w:p>
      <w:r>
        <w:t>radiation</w:t>
      </w:r>
    </w:p>
    <w:p>
      <w:r>
        <w:t>Treatment and course:</w:t>
      </w:r>
    </w:p>
    <w:p>
      <w:r>
        <w:t>ED AML 05.01.2026</w:t>
      </w:r>
    </w:p>
    <w:p>
      <w:r>
        <w:t>Question for the tumor board:</w:t>
      </w:r>
    </w:p>
    <w:p>
      <w:r>
        <w:t>Treatment initiation?</w:t>
      </w:r>
    </w:p>
    <w:p>
      <w:r>
        <w:t>Tumor board decision:</w:t>
      </w:r>
    </w:p>
    <w:p>
      <w:r>
        <w:t>Induction with Vyxeos, prospectively allogeneic stem cell transplantation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