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ly_case_05</w:t>
      </w:r>
    </w:p>
    <w:p>
      <w:r>
        <w:t>Age: 56</w:t>
      </w:r>
    </w:p>
    <w:p>
      <w:r>
        <w:t>ECOG: 1</w:t>
      </w:r>
    </w:p>
    <w:p>
      <w:r>
        <w:t>Primary diagnosis:</w:t>
      </w:r>
    </w:p>
    <w:p>
      <w:r>
        <w:t>Diffuse large B-cell lymphoma(DLBCL) (Activated B-cell type),</w:t>
      </w:r>
    </w:p>
    <w:p>
      <w:r>
        <w:t>Stage II BE, ID 03/2024</w:t>
      </w:r>
    </w:p>
    <w:p>
      <w:r>
        <w:t>- Nodal involvement: cervical, supraclavicular; Extralymphatic involvement: Mass in</w:t>
      </w:r>
    </w:p>
    <w:p>
      <w:r>
        <w:t>paranasal sinuses</w:t>
      </w:r>
    </w:p>
    <w:p>
      <w:r>
        <w:t>- B symptoms: Night sweats, Fever</w:t>
      </w:r>
    </w:p>
    <w:p>
      <w:r>
        <w:t>- Risk factors: extranodal involvement</w:t>
      </w:r>
    </w:p>
    <w:p>
      <w:r>
        <w:t>Secondary diagnoses / Comorbidities:</w:t>
      </w:r>
    </w:p>
    <w:p>
      <w:r>
        <w:t>Arterial hypertension</w:t>
      </w:r>
    </w:p>
    <w:p>
      <w:r>
        <w:t>Type 2 diabetes mellitus</w:t>
      </w:r>
    </w:p>
    <w:p>
      <w:r>
        <w:t>Treatment and course:</w:t>
      </w:r>
    </w:p>
    <w:p>
      <w:r>
        <w:t>Question for the tumor board:</w:t>
      </w:r>
    </w:p>
    <w:p>
      <w:r>
        <w:t>Indication for CAR-T cell therapy in early relapse?</w:t>
      </w:r>
    </w:p>
    <w:p>
      <w:r>
        <w:t>Tumor board decision:</w:t>
      </w:r>
    </w:p>
    <w:p>
      <w:r>
        <w:t>Evaluate re-biopsy. If DLBCL confirmed, CAR-T indication 2nd line (Axicel). Bridging</w:t>
      </w:r>
    </w:p>
    <w:p>
      <w:r>
        <w:t>with radiation therapy. Molecular tumor board indication.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