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ly_case_06</w:t>
      </w:r>
    </w:p>
    <w:p>
      <w:r>
        <w:t>Age: 61</w:t>
      </w:r>
    </w:p>
    <w:p>
      <w:r>
        <w:t>ECOG: 2</w:t>
      </w:r>
    </w:p>
    <w:p>
      <w:r>
        <w:t>Primary diagnosis:</w:t>
      </w:r>
    </w:p>
    <w:p>
      <w:r>
        <w:t>Diffuse large B-cell lymphoma (DLBCL-NOS, GCB type), ID 12/2021 stage IV A (pulmonary</w:t>
      </w:r>
    </w:p>
    <w:p>
      <w:r>
        <w:t>involvement); IPI high (LDH 500, age, stage, performance status, extranodal sites),</w:t>
      </w:r>
    </w:p>
    <w:p>
      <w:r>
        <w:t>transformed from a</w:t>
      </w:r>
    </w:p>
    <w:p>
      <w:r>
        <w:t>Splenic marginal zone lymphoma, ID 12/2021 stage IVAE</w:t>
      </w:r>
    </w:p>
    <w:p>
      <w:r>
        <w:t>Nodal involvement: Spleen; Extralymphatic involvement: Liver</w:t>
      </w:r>
    </w:p>
    <w:p>
      <w:r>
        <w:t>Risk factors: extranodal involvement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Recommendation for BiTE (Glofitamab versus Epcoritamab). Re-biopsy (persistent CD20</w:t>
      </w:r>
    </w:p>
    <w:p>
      <w:r>
        <w:t>expression?) to be pursued. Molecular tumor board indication.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