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ly_case_08</w:t>
      </w:r>
    </w:p>
    <w:p>
      <w:r>
        <w:t>Age: 58</w:t>
      </w:r>
    </w:p>
    <w:p>
      <w:r>
        <w:t>ECOG: 1</w:t>
      </w:r>
    </w:p>
    <w:p>
      <w:r>
        <w:t>Primary diagnosis:</w:t>
      </w:r>
    </w:p>
    <w:p>
      <w:r>
        <w:t>Follicular lymphoma (C82.1-4), ID 11/2020</w:t>
      </w:r>
    </w:p>
    <w:p>
      <w:r>
        <w:t>Nodal involvement: abdominal, cervical, axillary, mediastinal</w:t>
      </w:r>
    </w:p>
    <w:p>
      <w:r>
        <w:t>Bone marrow infiltration</w:t>
      </w:r>
    </w:p>
    <w:p>
      <w:r>
        <w:t>Risk factors: Bulk &gt; 10 cm</w:t>
      </w:r>
    </w:p>
    <w:p>
      <w:r>
        <w:t>FLIPI: 4 (advanced stage, elevated LDH, Anemia Hb &lt;12 g/dl, &gt;4 lymph node regions</w:t>
      </w:r>
    </w:p>
    <w:p>
      <w:r>
        <w:t>involved)</w:t>
      </w:r>
    </w:p>
    <w:p>
      <w:r>
        <w:t>Secondary diagnoses / Comorbidities:</w:t>
      </w:r>
    </w:p>
    <w:p>
      <w:r>
        <w:t>Arterial hypertension</w:t>
      </w:r>
    </w:p>
    <w:p>
      <w:r>
        <w:t>Hypothyroidism</w:t>
      </w:r>
    </w:p>
    <w:p>
      <w:r>
        <w:t>Treatment and course:</w:t>
      </w:r>
    </w:p>
    <w:p>
      <w:r>
        <w:t>Molecular genetic findings</w:t>
      </w:r>
    </w:p>
    <w:p>
      <w:r>
        <w:t>Question for the tumor board:</w:t>
      </w:r>
    </w:p>
    <w:p>
      <w:r>
        <w:t>Pathogenic variant? Targeted therapy?</w:t>
      </w:r>
    </w:p>
    <w:p>
      <w:r>
        <w:t>Tumor board decision:</w:t>
      </w:r>
    </w:p>
    <w:p>
      <w:r>
        <w:t>Recommendation for EZH2 inhibitor therapy (Tazemetostat).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