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Tumor Board Case — ly_case_10</w:t>
      </w:r>
    </w:p>
    <w:p>
      <w:r>
        <w:t>Age: 50</w:t>
      </w:r>
    </w:p>
    <w:p>
      <w:r>
        <w:t>ECOG: 2</w:t>
      </w:r>
    </w:p>
    <w:p>
      <w:r>
        <w:t>Primary diagnosis:</w:t>
      </w:r>
    </w:p>
    <w:p>
      <w:r>
        <w:t>Diffuse large B-cell (non-Hodgkin) lymphoma, ID 04/2023</w:t>
      </w:r>
    </w:p>
    <w:p>
      <w:r>
        <w:t>EBV-positive</w:t>
      </w:r>
    </w:p>
    <w:p>
      <w:r>
        <w:t>Stage: IVBE+S</w:t>
      </w:r>
    </w:p>
    <w:p>
      <w:r>
        <w:t>Manifestations: bipulmonary, mediastinal/hilar, pleural, bilateral renal, splenic,</w:t>
      </w:r>
    </w:p>
    <w:p>
      <w:r>
        <w:t>retroperitoneal, inguinal, osseous, bone marrow</w:t>
      </w:r>
    </w:p>
    <w:p>
      <w:r>
        <w:t>IPI: 2 (stage, extranodal manifestations)</w:t>
      </w:r>
    </w:p>
    <w:p>
      <w:r>
        <w:t>CNS-IPI: 3 (stage, extranodal manifestation, renal involvement)</w:t>
      </w:r>
    </w:p>
    <w:p>
      <w:r>
        <w:t>Secondary diagnoses / Comorbidities:</w:t>
      </w:r>
    </w:p>
    <w:p>
      <w:r>
        <w:t>Hashimoto thyroiditis</w:t>
      </w:r>
    </w:p>
    <w:p>
      <w:r>
        <w:t>Treatment and course:</w:t>
      </w:r>
    </w:p>
    <w:p>
      <w:r>
        <w:t>Molecular genetic findings</w:t>
      </w:r>
    </w:p>
    <w:p>
      <w:r>
        <w:t>Question for the tumor board:</w:t>
      </w:r>
    </w:p>
    <w:p>
      <w:r>
        <w:t>Pathogenic variant? Targeted therapy?</w:t>
      </w:r>
    </w:p>
    <w:p>
      <w:r>
        <w:t>Tumor board decision:</w:t>
      </w:r>
    </w:p>
    <w:p>
      <w:r>
        <w:t>Venetoclax-based therapy (e.g. ViPOR).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