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mm_case_10</w:t>
      </w:r>
    </w:p>
    <w:p>
      <w:r>
        <w:t>Age: 64</w:t>
      </w:r>
    </w:p>
    <w:p>
      <w:r>
        <w:t>ECOG: 1</w:t>
      </w:r>
    </w:p>
    <w:p>
      <w:r>
        <w:t>Primary diagnoses:</w:t>
      </w:r>
    </w:p>
    <w:p>
      <w:r>
        <w:t>Plasma cell leukemia with multiple myeloma IgG Kappa, stage III A per Salmon and</w:t>
      </w:r>
    </w:p>
    <w:p>
      <w:r>
        <w:t>Durie, ID 01/2012</w:t>
      </w:r>
    </w:p>
    <w:p>
      <w:r>
        <w:t>Secondary diagnoses / Comorbidities:</w:t>
      </w:r>
    </w:p>
    <w:p>
      <w:r>
        <w:t>History of Appendectomy</w:t>
      </w:r>
    </w:p>
    <w:p>
      <w:r>
        <w:t>Allergies: Hay fever</w:t>
      </w:r>
    </w:p>
    <w:p>
      <w:r>
        <w:t>Prognostic factors:</w:t>
      </w:r>
    </w:p>
    <w:p>
      <w:r>
        <w:t>Initial: 2,6 mg/l; Albumin 33,1 g/l; ISS II</w:t>
      </w:r>
    </w:p>
    <w:p>
      <w:r>
        <w:t>Cytogenetics (09/12): No High-risk genetics.</w:t>
      </w:r>
    </w:p>
    <w:p>
      <w:r>
        <w:t>Treatment and course:</w:t>
      </w:r>
    </w:p>
    <w:p>
      <w:r>
        <w:t>Molecular genetic findings</w:t>
      </w:r>
    </w:p>
    <w:p>
      <w:r>
        <w:t>FISH findings:</w:t>
      </w:r>
    </w:p>
    <w:p>
      <w:r>
        <w:t>Deletion 1q21 (22%) and 13q14 (20%), Gain 11q22.3 (34%, three copies),</w:t>
      </w:r>
    </w:p>
    <w:p>
      <w:r>
        <w:t>IgH-Rearrangement (33%) as Translocation t(11;14) (36%) Incidentally Deletion 14q32</w:t>
      </w:r>
    </w:p>
    <w:p>
      <w:r>
        <w:t>(35%).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No variant on NGS. t(11;14) in current FISH findings. Therefore, Venetoclax-based</w:t>
      </w:r>
    </w:p>
    <w:p>
      <w:r>
        <w:t>therapy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