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mm_case_13</w:t>
      </w:r>
    </w:p>
    <w:p>
      <w:r>
        <w:t>Age: 70</w:t>
      </w:r>
    </w:p>
    <w:p>
      <w:r>
        <w:t>ECOG: 0</w:t>
      </w:r>
    </w:p>
    <w:p>
      <w:r>
        <w:t>Primary diagnosis:</w:t>
      </w:r>
    </w:p>
    <w:p>
      <w:r>
        <w:t>Suspected Waldenstrom macroglobulinemia with IgM gammopathy 01/26</w:t>
      </w:r>
    </w:p>
    <w:p>
      <w:r>
        <w:t>MYD88 negative</w:t>
      </w:r>
    </w:p>
    <w:p>
      <w:r>
        <w:t>Whole-body CT and bone marrow biopsy unremarkable</w:t>
      </w:r>
    </w:p>
    <w:p>
      <w:r>
        <w:t>No light chain restriction</w:t>
      </w:r>
    </w:p>
    <w:p>
      <w:r>
        <w:t>Secondary diagnoses / Comorbidities:</w:t>
      </w:r>
    </w:p>
    <w:p>
      <w:r>
        <w:t>Allergies: none known</w:t>
      </w:r>
    </w:p>
    <w:p>
      <w:r>
        <w:t>AIHA</w:t>
      </w:r>
    </w:p>
    <w:p>
      <w:r>
        <w:t>Treatment and course:</w:t>
      </w:r>
    </w:p>
    <w:p>
      <w:r>
        <w:t>Suspected Waldenstrom macroglobulinemia 01/26</w:t>
      </w:r>
    </w:p>
    <w:p>
      <w:r>
        <w:t>Question for the tumor board:</w:t>
      </w:r>
    </w:p>
    <w:p>
      <w:r>
        <w:t>Recommended management?</w:t>
      </w:r>
    </w:p>
    <w:p>
      <w:r>
        <w:t>Tumor board decision:</w:t>
      </w:r>
    </w:p>
    <w:p>
      <w:r>
        <w:t>Complete diagnostics. Evaluation of therapy with Rituximab in case of persistent</w:t>
      </w:r>
    </w:p>
    <w:p>
      <w:r>
        <w:t>hemolysis / R-Bendamustin upon diagnosis of Waldenstrom macroglobulinemia.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