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mm_case_15</w:t>
      </w:r>
    </w:p>
    <w:p>
      <w:r>
        <w:t>Age: 56</w:t>
      </w:r>
    </w:p>
    <w:p>
      <w:r>
        <w:t>ECOG: 1</w:t>
      </w:r>
    </w:p>
    <w:p>
      <w:r>
        <w:t>Primary diagnosis:</w:t>
      </w:r>
    </w:p>
    <w:p>
      <w:r>
        <w:t>Multiple myeloma, IgG lambda type, ID 06/2025, from solitary plasmacytoma BWK 10</w:t>
      </w:r>
    </w:p>
    <w:p>
      <w:r>
        <w:t>(01/2024), R-ISS II, standard-risk cytogenetics</w:t>
      </w:r>
    </w:p>
    <w:p>
      <w:r>
        <w:t>SLiM-CRAB: disseminated Osteolytic lesions</w:t>
      </w:r>
    </w:p>
    <w:p>
      <w:r>
        <w:t>Secondary diagnoses / Comorbidities:</w:t>
      </w:r>
    </w:p>
    <w:p>
      <w:r>
        <w:t>History of Pulmonary embolism 12/2025</w:t>
      </w:r>
    </w:p>
    <w:p>
      <w:r>
        <w:t>Allergies: none known</w:t>
      </w:r>
    </w:p>
    <w:p>
      <w:r>
        <w:t>Prognostic factors:</w:t>
      </w:r>
    </w:p>
    <w:p>
      <w:r>
        <w:t>Cytogenetics (01/2026): Standard risk</w:t>
      </w:r>
    </w:p>
    <w:p>
      <w:r>
        <w:t>Treatment and course:</w:t>
      </w:r>
    </w:p>
    <w:p>
      <w:r>
        <w:t>01/2024 ID solitary plasmacytoma BWK 10</w:t>
      </w:r>
    </w:p>
    <w:p>
      <w:r>
        <w:t>01/2024 Laminectomy BWK 10</w:t>
      </w:r>
    </w:p>
    <w:p>
      <w:r>
        <w:t>04-05/2024 Radiation therapy BWK 9-11, GD 36 Gy</w:t>
      </w:r>
    </w:p>
    <w:p>
      <w:r>
        <w:t>01/2026 Whole-body MRI: Progression to MM</w:t>
      </w:r>
    </w:p>
    <w:p>
      <w:r>
        <w:t>Question for the tumor board:</w:t>
      </w:r>
    </w:p>
    <w:p>
      <w:r>
        <w:t>Treatment initiation for initial diagnosis of MM from solitary plasmacytoma</w:t>
      </w:r>
    </w:p>
    <w:p>
      <w:r>
        <w:t>Tumor board decision:</w:t>
      </w:r>
    </w:p>
    <w:p>
      <w:r>
        <w:t>Treatment initiation with Dara-VRd with continuation of anticoagulation. Reduction of</w:t>
      </w:r>
    </w:p>
    <w:p>
      <w:r>
        <w:t>Lenalidomid dosage due to the recent PE in the first cycle. Principally eligible for</w:t>
      </w:r>
    </w:p>
    <w:p>
      <w:r>
        <w:t>high-dose therapy, consolidation and maintenance therapy in the further course.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