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mm_case_5</w:t>
      </w:r>
    </w:p>
    <w:p>
      <w:r>
        <w:t>Age: 55</w:t>
      </w:r>
    </w:p>
    <w:p>
      <w:r>
        <w:t>ECOG: 1</w:t>
      </w:r>
    </w:p>
    <w:p>
      <w:r>
        <w:t>Primary diagnosis:</w:t>
      </w:r>
    </w:p>
    <w:p>
      <w:r>
        <w:t>Multiple myeloma, type IgG type Lambda, ID 11/17</w:t>
      </w:r>
    </w:p>
    <w:p>
      <w:r>
        <w:t>Stage IIA after Salmon and Durie</w:t>
      </w:r>
    </w:p>
    <w:p>
      <w:r>
        <w:t>Treatment indication: Osteolytic lesions</w:t>
      </w:r>
    </w:p>
    <w:p>
      <w:r>
        <w:t>Secondary diagnoses / Comorbidities:</w:t>
      </w:r>
    </w:p>
    <w:p>
      <w:r>
        <w:t>Drug allergies: none</w:t>
      </w:r>
    </w:p>
    <w:p>
      <w:r>
        <w:t>History of Tobacco use 15py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MEK Inhibitor Therapy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