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mm_case_6</w:t>
      </w:r>
    </w:p>
    <w:p>
      <w:r>
        <w:t>Age: 59</w:t>
      </w:r>
    </w:p>
    <w:p>
      <w:r>
        <w:t>ECOG: 1</w:t>
      </w:r>
    </w:p>
    <w:p>
      <w:r>
        <w:t>Primary diagnosis:</w:t>
      </w:r>
    </w:p>
    <w:p>
      <w:r>
        <w:t>Multiple myeloma, light chain type Kappa, ID 07/2021</w:t>
      </w:r>
    </w:p>
    <w:p>
      <w:r>
        <w:t>ISS-Stage: III; R2-ISS: III</w:t>
      </w:r>
    </w:p>
    <w:p>
      <w:r>
        <w:t>Treatment indication: Renal insufficiency, Osteolytic lesions</w:t>
      </w:r>
    </w:p>
    <w:p>
      <w:r>
        <w:t>Secondary diagnoses / Comorbidities:</w:t>
      </w:r>
    </w:p>
    <w:p>
      <w:r>
        <w:t>Drug allergies: Metamizol</w:t>
      </w:r>
    </w:p>
    <w:p>
      <w:r>
        <w:t>Chemotherapy-associated PNP</w:t>
      </w:r>
    </w:p>
    <w:p>
      <w:r>
        <w:t>Chronic hemodialysis for end-stage renal disease</w:t>
      </w:r>
    </w:p>
    <w:p>
      <w:r>
        <w:t>Secondary anemia</w:t>
      </w:r>
    </w:p>
    <w:p>
      <w:r>
        <w:t>Arterial hypertension</w:t>
      </w:r>
    </w:p>
    <w:p>
      <w:r>
        <w:t>Prognostic factors:</w:t>
      </w:r>
    </w:p>
    <w:p>
      <w:r>
        <w:t>Initial with MM:</w:t>
      </w:r>
    </w:p>
    <w:p>
      <w:r>
        <w:t>ss2MG 42,3 mg/l, Albumin 28g/l, LDH 295U/l, ISS III, R2 ISS III</w:t>
      </w:r>
    </w:p>
    <w:p>
      <w:r>
        <w:t>Treatment and course: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Indication for CAR- Therapy. Referral to Cell Therapy 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