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mm_case_9</w:t>
      </w:r>
    </w:p>
    <w:p>
      <w:r>
        <w:t>Age: 66</w:t>
      </w:r>
    </w:p>
    <w:p>
      <w:r>
        <w:t>ECOG: 1</w:t>
      </w:r>
    </w:p>
    <w:p>
      <w:r>
        <w:t>Primary diagnoses:</w:t>
      </w:r>
    </w:p>
    <w:p>
      <w:r>
        <w:t>Plasma cell leukemia with multiple myeloma IgG Kappa, stage III A per Salmon and</w:t>
      </w:r>
    </w:p>
    <w:p>
      <w:r>
        <w:t>Durie, ID 01/2012</w:t>
      </w:r>
    </w:p>
    <w:p>
      <w:r>
        <w:t>Secondary diagnoses / Comorbidities:</w:t>
      </w:r>
    </w:p>
    <w:p>
      <w:r>
        <w:t>History of Appendectomy</w:t>
      </w:r>
    </w:p>
    <w:p>
      <w:r>
        <w:t>Allergies: Hay fever</w:t>
      </w:r>
    </w:p>
    <w:p>
      <w:r>
        <w:t>Prognostic factors:</w:t>
      </w:r>
    </w:p>
    <w:p>
      <w:r>
        <w:t>Initial: 2,4 mg/l; Albumin 31,1 g/l; ISS II</w:t>
      </w:r>
    </w:p>
    <w:p>
      <w:r>
        <w:t>Cytogenetics (09/12): No High-risk genetics.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The NRAS variant is pathogenic. We recommend MEK inhibitor-based therapy.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