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Tumor Board Case — l_case_1</w:t>
      </w:r>
    </w:p>
    <w:p>
      <w:r>
        <w:t>Age: 51</w:t>
      </w:r>
    </w:p>
    <w:p>
      <w:r>
        <w:t>ECOG: 1</w:t>
      </w:r>
    </w:p>
    <w:p>
      <w:r>
        <w:t>Primary diagnosis:</w:t>
      </w:r>
    </w:p>
    <w:p>
      <w:r>
        <w:t>Acute myeloid leukemia, ID 01/2026</w:t>
      </w:r>
    </w:p>
    <w:p>
      <w:r>
        <w:t>Classification according to WHO 2022: AML with CEBPA-Mutation</w:t>
      </w:r>
    </w:p>
    <w:p>
      <w:r>
        <w:t>Classification according to ICC: AML with in-frame bZIP CEBPA-Mutation</w:t>
      </w:r>
    </w:p>
    <w:p>
      <w:r>
        <w:t>At initial diagnosis:</w:t>
      </w:r>
    </w:p>
    <w:p>
      <w:r>
        <w:t>Peripheral blood: Hb 9,4 g/dl, Plt 42/nl, WBC 62/nl, 88% blasts</w:t>
      </w:r>
    </w:p>
    <w:p>
      <w:r>
        <w:t>Bone marrow aspiration and biopsy from 01.01.2026:</w:t>
      </w:r>
    </w:p>
    <w:p>
      <w:r>
        <w:t>Cytology: Detection of 72% myeloid blasts</w:t>
      </w:r>
    </w:p>
    <w:p>
      <w:r>
        <w:t>FACS: CD45 low' SSC low, CD34+' CD117+' HLA-DR+' CD38+, CD33+' CD13+, CD7-, CD56+/-,</w:t>
      </w:r>
    </w:p>
    <w:p>
      <w:r>
        <w:t>CD64+</w:t>
      </w:r>
    </w:p>
    <w:p>
      <w:r>
        <w:t>LAIP in the blast gate: 91 %</w:t>
      </w:r>
    </w:p>
    <w:p>
      <w:r>
        <w:t>LAIP of CD45+ cells: 82 %</w:t>
      </w:r>
    </w:p>
    <w:p>
      <w:r>
        <w:t>Karyotype (BM/PB): 46, XX [20] normal female karyotype</w:t>
      </w:r>
    </w:p>
    <w:p>
      <w:r>
        <w:t>FISH (BM): Exclusion MECOM-, KMT2A- and CBFB-Rearrangement; no Detection of t(8;21),</w:t>
      </w:r>
    </w:p>
    <w:p>
      <w:r>
        <w:t>t(9;22), t(15;17); no deletions 5q, 7q, 17p</w:t>
      </w:r>
    </w:p>
    <w:p>
      <w:r>
        <w:t>Molecular genetics (BM): NPM1 neg., CEBPA pos. (biallelic: in-frame bZIP-Mutation +</w:t>
      </w:r>
    </w:p>
    <w:p>
      <w:r>
        <w:t>N-terminal Frameshift-Mutation), FLT3-ITD neg., FLT3-TKD neg., IDH1/2 neg., BCR::ABL1</w:t>
      </w:r>
    </w:p>
    <w:p>
      <w:r>
        <w:t>neg., DDX41 neg., TP53 WT, MLL-PTD neg.</w:t>
      </w:r>
    </w:p>
    <w:p>
      <w:r>
        <w:t>Risk score (after ELN): Favorable risk</w:t>
      </w:r>
    </w:p>
    <w:p>
      <w:r>
        <w:t>Secondary diagnoses:</w:t>
      </w:r>
    </w:p>
    <w:p>
      <w:r>
        <w:t>None</w:t>
      </w:r>
    </w:p>
    <w:p>
      <w:r>
        <w:t>Treatment and course:</w:t>
      </w:r>
    </w:p>
    <w:p>
      <w:r>
        <w:t>Cytoreductive therapy with Hydroxyurea from 03.01.-12.01.26</w:t>
      </w:r>
    </w:p>
    <w:p>
      <w:r>
        <w:t>Question for the tumor board:</w:t>
      </w:r>
    </w:p>
    <w:p>
      <w:r>
        <w:t>Treatment initiation?</w:t>
      </w:r>
    </w:p>
    <w:p>
      <w:r>
        <w:t>Tumor board decision:</w:t>
      </w:r>
    </w:p>
    <w:p>
      <w:r>
        <w:t>Treatment initiation with Daunorubicin/Cytarabin (7+3 regimen). With Detection of a</w:t>
      </w:r>
    </w:p>
    <w:p>
      <w:r>
        <w:t>In-Frame-Mutation in the bZIP-domain of CEBPA, additional administration of GO. In</w:t>
      </w:r>
    </w:p>
    <w:p>
      <w:r>
        <w:t>case of response no indication for consolidating allogeneic stem cell transplantation.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