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数据挖掘项目报告——个人信用评估</w:t>
      </w:r>
    </w:p>
    <w:p>
      <w:pPr>
        <w:rPr>
          <w:rFonts w:hint="default"/>
          <w:lang w:val="en-US" w:eastAsia="zh-CN"/>
        </w:rPr>
      </w:pPr>
    </w:p>
    <w:p>
      <w:pPr>
        <w:rPr>
          <w:rFonts w:hint="default"/>
          <w:lang w:val="en-US" w:eastAsia="zh-CN"/>
        </w:rPr>
      </w:pPr>
    </w:p>
    <w:p>
      <w:pPr>
        <w:numPr>
          <w:ilvl w:val="0"/>
          <w:numId w:val="1"/>
        </w:numPr>
        <w:rPr>
          <w:rFonts w:hint="eastAsia"/>
          <w:lang w:val="en-US" w:eastAsia="zh-CN"/>
        </w:rPr>
      </w:pPr>
      <w:r>
        <w:rPr>
          <w:rFonts w:hint="eastAsia"/>
          <w:lang w:val="en-US" w:eastAsia="zh-CN"/>
        </w:rPr>
        <w:t>项目介绍</w:t>
      </w:r>
    </w:p>
    <w:p>
      <w:pPr>
        <w:widowControl w:val="0"/>
        <w:numPr>
          <w:ilvl w:val="0"/>
          <w:numId w:val="0"/>
        </w:numPr>
        <w:ind w:firstLine="420" w:firstLineChars="0"/>
        <w:jc w:val="both"/>
        <w:rPr>
          <w:rFonts w:hint="default"/>
          <w:lang w:val="en-US" w:eastAsia="zh-CN"/>
        </w:rPr>
      </w:pPr>
      <w:r>
        <w:rPr>
          <w:rFonts w:hint="eastAsia"/>
          <w:lang w:val="en-US" w:eastAsia="zh-CN"/>
        </w:rPr>
        <w:t>在银行贷款行为中，银行最关心的就是贷款人是否会违约从而造成贷款损失。而避免贷款被发放给可能违约的贷款人的主要手段就是对贷款人进行信用评估。</w:t>
      </w:r>
    </w:p>
    <w:p>
      <w:pPr>
        <w:widowControl w:val="0"/>
        <w:numPr>
          <w:ilvl w:val="0"/>
          <w:numId w:val="0"/>
        </w:numPr>
        <w:ind w:firstLine="420" w:firstLineChars="0"/>
        <w:jc w:val="both"/>
        <w:rPr>
          <w:rFonts w:hint="eastAsia"/>
          <w:lang w:val="en-US" w:eastAsia="zh-CN"/>
        </w:rPr>
      </w:pPr>
      <w:r>
        <w:rPr>
          <w:rFonts w:hint="eastAsia"/>
          <w:lang w:val="en-US" w:eastAsia="zh-CN"/>
        </w:rPr>
        <w:t>信用评估是银行对借款人信用情况进行评估的一种活动。银行贷款的最基本条件是信用，信用好就容易取得银行贷款支持，信用差就难以取得银行贷款支持。而借款人信用是由多种因素构成的，包括借款人资产负债状况、经营管理水平、产品经济效益及市场发展趋势等等。为了对借款人信用状况有一个统一的基本的正确的估价，以便正确掌握银行贷款，就必须对借款人信用状况进行评估。</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lang w:val="en-US" w:eastAsia="zh-CN"/>
        </w:rPr>
      </w:pPr>
      <w:r>
        <w:rPr>
          <w:rFonts w:hint="eastAsia"/>
          <w:lang w:val="en-US" w:eastAsia="zh-CN"/>
        </w:rPr>
        <w:t>（添加进入贷款违约预测的重要性）</w:t>
      </w:r>
    </w:p>
    <w:p>
      <w:pPr>
        <w:widowControl w:val="0"/>
        <w:numPr>
          <w:ilvl w:val="0"/>
          <w:numId w:val="0"/>
        </w:numPr>
        <w:ind w:firstLine="420" w:firstLineChars="0"/>
        <w:jc w:val="both"/>
        <w:rPr>
          <w:rFonts w:hint="default"/>
          <w:lang w:val="en-US" w:eastAsia="zh-CN"/>
        </w:rPr>
      </w:pPr>
      <w:r>
        <w:rPr>
          <w:rFonts w:hint="default"/>
          <w:lang w:val="en-US" w:eastAsia="zh-CN"/>
        </w:rPr>
        <w:t>赛题以金融风控中的个人信贷为背景，要求选手根据贷款申请人的数据信息预测其是否有违约的可能，以此判断是否通过此项贷款</w:t>
      </w:r>
    </w:p>
    <w:p>
      <w:pPr>
        <w:widowControl w:val="0"/>
        <w:numPr>
          <w:ilvl w:val="0"/>
          <w:numId w:val="0"/>
        </w:numPr>
        <w:ind w:firstLine="420" w:firstLineChars="0"/>
        <w:jc w:val="both"/>
        <w:rPr>
          <w:rFonts w:hint="default"/>
          <w:lang w:val="en-US" w:eastAsia="zh-CN"/>
        </w:rPr>
      </w:pPr>
    </w:p>
    <w:p>
      <w:pPr>
        <w:widowControl w:val="0"/>
        <w:numPr>
          <w:ilvl w:val="0"/>
          <w:numId w:val="2"/>
        </w:numPr>
        <w:jc w:val="both"/>
        <w:rPr>
          <w:rFonts w:hint="eastAsia"/>
          <w:lang w:val="en-US" w:eastAsia="zh-CN"/>
        </w:rPr>
      </w:pPr>
      <w:r>
        <w:rPr>
          <w:rFonts w:hint="eastAsia"/>
          <w:lang w:val="en-US" w:eastAsia="zh-CN"/>
        </w:rPr>
        <w:t>（介绍实际生活中，发放贷款前关于贷款违约预测流程，以及一般会参考贷款人哪些方面的资料）</w:t>
      </w:r>
    </w:p>
    <w:p>
      <w:pPr>
        <w:widowControl w:val="0"/>
        <w:numPr>
          <w:ilvl w:val="0"/>
          <w:numId w:val="0"/>
        </w:numPr>
        <w:ind w:firstLine="420" w:firstLineChars="0"/>
        <w:jc w:val="both"/>
        <w:rPr>
          <w:rFonts w:hint="default"/>
          <w:lang w:val="en-US" w:eastAsia="zh-CN"/>
        </w:rPr>
      </w:pPr>
      <w:r>
        <w:rPr>
          <w:rFonts w:hint="eastAsia"/>
          <w:lang w:val="en-US" w:eastAsia="zh-CN"/>
        </w:rPr>
        <w:t>信用评估包括个人信用评分、企业信用评级和职业信用评价等。其中个人信用评分指信用评估机构利用信用评分模型对消费者个人信用信息进行量化分析，以分值形式表述。除此之外，还有个人综合信用评分，指通过使用科学严谨的分析方法，综合考察影响个人及其家庭的内在和外在的主客观环境，并对其履行各种经济承诺的能力进行全面的判断和评估。</w:t>
      </w:r>
    </w:p>
    <w:p>
      <w:pPr>
        <w:bidi w:val="0"/>
        <w:ind w:firstLine="420" w:firstLineChars="0"/>
        <w:rPr>
          <w:rFonts w:hint="default"/>
          <w:lang w:val="en-US" w:eastAsia="zh-CN"/>
        </w:rPr>
      </w:pPr>
      <w:r>
        <w:rPr>
          <w:rFonts w:hint="eastAsia"/>
          <w:lang w:val="en-US" w:eastAsia="zh-CN"/>
        </w:rPr>
        <w:t>一般针对个人信用评分时，会主要参考诸如</w:t>
      </w:r>
      <w:r>
        <w:t>个人基本信息、银行信用信息、个人缴费信息、个人资本状况四类变量，其中，银行信用信息所占权重最大，接近50%，其余三类变量所占权重大致相当。</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数据集</w:t>
      </w:r>
    </w:p>
    <w:p>
      <w:pPr>
        <w:widowControl w:val="0"/>
        <w:numPr>
          <w:ilvl w:val="0"/>
          <w:numId w:val="0"/>
        </w:numPr>
        <w:ind w:firstLine="420" w:firstLineChars="0"/>
        <w:jc w:val="both"/>
        <w:rPr>
          <w:rFonts w:hint="eastAsia"/>
          <w:lang w:val="en-US" w:eastAsia="zh-CN"/>
        </w:rPr>
      </w:pPr>
      <w:r>
        <w:rPr>
          <w:rFonts w:hint="eastAsia"/>
          <w:lang w:val="en-US" w:eastAsia="zh-CN"/>
        </w:rPr>
        <w:t>（介绍数据集来源）</w:t>
      </w:r>
    </w:p>
    <w:p>
      <w:pPr>
        <w:widowControl w:val="0"/>
        <w:numPr>
          <w:ilvl w:val="0"/>
          <w:numId w:val="0"/>
        </w:numPr>
        <w:ind w:firstLine="420" w:firstLineChars="0"/>
        <w:jc w:val="both"/>
        <w:rPr>
          <w:rFonts w:hint="eastAsia"/>
          <w:lang w:val="en-US" w:eastAsia="zh-CN"/>
        </w:rPr>
      </w:pPr>
      <w:r>
        <w:rPr>
          <w:rFonts w:hint="eastAsia"/>
          <w:lang w:val="en-US" w:eastAsia="zh-CN"/>
        </w:rPr>
        <w:t>（简略介绍数据集内容）</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p>
    <w:p>
      <w:pPr>
        <w:rPr>
          <w:rFonts w:hint="default"/>
          <w:lang w:val="en-US" w:eastAsia="zh-CN"/>
        </w:rPr>
      </w:pPr>
      <w:r>
        <w:rPr>
          <w:rFonts w:hint="default"/>
          <w:lang w:val="en-US" w:eastAsia="zh-CN"/>
        </w:rPr>
        <w:br w:type="page"/>
      </w:r>
    </w:p>
    <w:p>
      <w:pPr>
        <w:widowControl w:val="0"/>
        <w:numPr>
          <w:ilvl w:val="0"/>
          <w:numId w:val="1"/>
        </w:numPr>
        <w:ind w:left="0" w:leftChars="0" w:firstLine="0" w:firstLineChars="0"/>
        <w:jc w:val="both"/>
        <w:rPr>
          <w:rFonts w:hint="eastAsia"/>
          <w:lang w:val="en-US" w:eastAsia="zh-CN"/>
        </w:rPr>
      </w:pPr>
      <w:r>
        <w:rPr>
          <w:rFonts w:hint="eastAsia"/>
          <w:lang w:val="en-US" w:eastAsia="zh-CN"/>
        </w:rPr>
        <w:t>数据处理</w:t>
      </w:r>
    </w:p>
    <w:p>
      <w:pPr>
        <w:widowControl w:val="0"/>
        <w:numPr>
          <w:ilvl w:val="0"/>
          <w:numId w:val="3"/>
        </w:numPr>
        <w:jc w:val="both"/>
        <w:rPr>
          <w:rFonts w:hint="eastAsia"/>
          <w:lang w:val="en-US" w:eastAsia="zh-CN"/>
        </w:rPr>
      </w:pPr>
      <w:r>
        <w:rPr>
          <w:rFonts w:hint="eastAsia"/>
          <w:lang w:val="en-US" w:eastAsia="zh-CN"/>
        </w:rPr>
        <w:t>数据各项特征含义</w:t>
      </w:r>
    </w:p>
    <w:tbl>
      <w:tblPr>
        <w:tblStyle w:val="5"/>
        <w:tblW w:w="0" w:type="auto"/>
        <w:tblInd w:w="0" w:type="dxa"/>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80"/>
        <w:gridCol w:w="6566"/>
      </w:tblGrid>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Field</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Description</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id</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为贷款清单分配的唯一信用证标识</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loanAmnt</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贷款金额</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term</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贷款期限（year）</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interestRate</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贷款利率</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installment</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分期付款金额</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grade</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贷款等级</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subGrade</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贷款等级之子级</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employmentTitle</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就业职称</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employmentLength</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就业年限（年）</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homeOwnership</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借款人在登记时提供的房屋所有权状况</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annualIncome</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年收入</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verificationStatus</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验证状态</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issueDate</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贷款发放的月份</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purpose</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借款人在贷款申请时的贷款用途类别</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postCode</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借款人在贷款申请中提供的邮政编码的前3位数字</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regionCode</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地区编码</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dti</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债务收入比</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delinquency_2years</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借款人过去2年信用档案中逾期30天以上的违约事件数</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ficoRangeLow</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借款人在贷款发放时的fico所属的下限范围</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ficoRangeHigh</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借款人在贷款发放时的fico所属的上限范围</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openAcc</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借款人信用档案中未结信用额度的数量</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pubRec</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贬损公共记录的数量</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pubRecBankruptcies</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公开记录清除的数量</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revolBal</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信贷周转余额合计</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revolUtil</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循环额度利用率，或借款人使用的相对于所有可用循环信贷的信贷金额</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totalAcc</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借款人信用档案中当前的信用额度总数</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initialListStatus</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贷款的初始列表状态</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applicationType</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表明贷款是个人申请还是与两个共同借款人的联合申请</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earliesCreditLine</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借款人最早报告的信用额度开立的月份</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title</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借款人提供的贷款名称</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policyCode</w:t>
            </w:r>
          </w:p>
        </w:tc>
        <w:tc>
          <w:tcPr>
            <w:tcW w:w="0" w:type="auto"/>
            <w:tcBorders>
              <w:top w:val="single" w:color="E8E8E8" w:sz="6" w:space="0"/>
              <w:left w:val="single" w:color="E8E8E8" w:sz="6" w:space="0"/>
              <w:bottom w:val="single" w:color="E8E8E8" w:sz="6" w:space="0"/>
              <w:right w:val="single" w:color="E8E8E8" w:sz="6" w:space="0"/>
            </w:tcBorders>
            <w:shd w:val="clear" w:color="auto" w:fill="FFFFFF"/>
            <w:tcMar>
              <w:top w:w="90" w:type="dxa"/>
              <w:left w:w="120" w:type="dxa"/>
              <w:bottom w:w="90" w:type="dxa"/>
              <w:right w:w="120" w:type="dxa"/>
            </w:tcMar>
            <w:vAlign w:val="center"/>
          </w:tcPr>
          <w:p>
            <w:pPr>
              <w:bidi w:val="0"/>
            </w:pPr>
            <w:r>
              <w:rPr>
                <w:lang w:val="en-US" w:eastAsia="zh-CN"/>
              </w:rPr>
              <w:t>公开可用的策略_代码=1新产品不公开可用的策略_代码=2</w:t>
            </w:r>
          </w:p>
        </w:tc>
      </w:tr>
      <w:tr>
        <w:tblPrEx>
          <w:tblBorders>
            <w:top w:val="single" w:color="E8E8E8"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n系列匿名特征</w:t>
            </w:r>
          </w:p>
        </w:tc>
        <w:tc>
          <w:tcPr>
            <w:tcW w:w="0" w:type="auto"/>
            <w:tcBorders>
              <w:top w:val="single" w:color="E8E8E8" w:sz="6" w:space="0"/>
              <w:left w:val="single" w:color="E8E8E8" w:sz="6" w:space="0"/>
              <w:bottom w:val="single" w:color="E8E8E8" w:sz="6" w:space="0"/>
              <w:right w:val="single" w:color="E8E8E8" w:sz="6" w:space="0"/>
            </w:tcBorders>
            <w:shd w:val="clear" w:color="auto" w:fill="FAFAFA"/>
            <w:tcMar>
              <w:top w:w="90" w:type="dxa"/>
              <w:left w:w="120" w:type="dxa"/>
              <w:bottom w:w="90" w:type="dxa"/>
              <w:right w:w="120" w:type="dxa"/>
            </w:tcMar>
            <w:vAlign w:val="center"/>
          </w:tcPr>
          <w:p>
            <w:pPr>
              <w:bidi w:val="0"/>
            </w:pPr>
            <w:r>
              <w:rPr>
                <w:lang w:val="en-US" w:eastAsia="zh-CN"/>
              </w:rPr>
              <w:t>匿名特征n0-n14，为一些贷款人行为计数特征的处理</w:t>
            </w:r>
          </w:p>
        </w:tc>
      </w:tr>
    </w:tbl>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数据缺失项的处理</w:t>
      </w:r>
    </w:p>
    <w:p>
      <w:pPr>
        <w:widowControl w:val="0"/>
        <w:numPr>
          <w:ilvl w:val="0"/>
          <w:numId w:val="0"/>
        </w:numPr>
        <w:jc w:val="both"/>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"https://www.jianshu.com/p/b797b043e9b6" </w:instrText>
      </w:r>
      <w:r>
        <w:rPr>
          <w:rFonts w:ascii="宋体" w:hAnsi="宋体" w:eastAsia="宋体" w:cs="宋体"/>
          <w:sz w:val="24"/>
          <w:szCs w:val="24"/>
        </w:rPr>
        <w:fldChar w:fldCharType="separate"/>
      </w:r>
      <w:r>
        <w:rPr>
          <w:rStyle w:val="10"/>
          <w:rFonts w:ascii="宋体" w:hAnsi="宋体" w:eastAsia="宋体" w:cs="宋体"/>
          <w:sz w:val="24"/>
          <w:szCs w:val="24"/>
        </w:rPr>
        <w:t>贷款违约预测2-完整的数据分析 - 简书 (jianshu.com)</w:t>
      </w:r>
      <w:r>
        <w:rPr>
          <w:rFonts w:ascii="宋体" w:hAnsi="宋体" w:eastAsia="宋体" w:cs="宋体"/>
          <w:sz w:val="24"/>
          <w:szCs w:val="24"/>
        </w:rPr>
        <w:fldChar w:fldCharType="end"/>
      </w:r>
    </w:p>
    <w:p>
      <w:pPr>
        <w:numPr>
          <w:ilvl w:val="0"/>
          <w:numId w:val="3"/>
        </w:numPr>
        <w:ind w:left="0" w:leftChars="0" w:firstLine="0" w:firstLineChars="0"/>
        <w:rPr>
          <w:rFonts w:hint="default"/>
          <w:lang w:val="en-US" w:eastAsia="zh-CN"/>
        </w:rPr>
      </w:pPr>
      <w:r>
        <w:rPr>
          <w:rFonts w:hint="eastAsia"/>
          <w:lang w:val="en-US" w:eastAsia="zh-CN"/>
        </w:rPr>
        <w:t>离散特征的处理</w:t>
      </w:r>
    </w:p>
    <w:p>
      <w:pPr>
        <w:widowControl w:val="0"/>
        <w:numPr>
          <w:ilvl w:val="0"/>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分类特征的编码</w:t>
      </w:r>
    </w:p>
    <w:p>
      <w:pPr>
        <w:widowControl w:val="0"/>
        <w:numPr>
          <w:ilvl w:val="0"/>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时间特征的处理</w:t>
      </w:r>
    </w:p>
    <w:p>
      <w:pPr>
        <w:widowControl w:val="0"/>
        <w:numPr>
          <w:ilvl w:val="0"/>
          <w:numId w:val="0"/>
        </w:numPr>
        <w:jc w:val="both"/>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br w:type="page"/>
      </w:r>
    </w:p>
    <w:p>
      <w:pPr>
        <w:widowControl w:val="0"/>
        <w:numPr>
          <w:ilvl w:val="0"/>
          <w:numId w:val="1"/>
        </w:numPr>
        <w:ind w:left="0" w:leftChars="0" w:firstLine="0" w:firstLineChars="0"/>
        <w:jc w:val="both"/>
        <w:rPr>
          <w:rFonts w:hint="eastAsia"/>
          <w:lang w:val="en-US" w:eastAsia="zh-CN"/>
        </w:rPr>
      </w:pPr>
      <w:r>
        <w:rPr>
          <w:rFonts w:hint="eastAsia"/>
          <w:lang w:val="en-US" w:eastAsia="zh-CN"/>
        </w:rPr>
        <w:t>模型选择</w:t>
      </w:r>
    </w:p>
    <w:p>
      <w:pPr>
        <w:widowControl w:val="0"/>
        <w:numPr>
          <w:ilvl w:val="0"/>
          <w:numId w:val="4"/>
        </w:numPr>
        <w:jc w:val="both"/>
        <w:rPr>
          <w:rFonts w:hint="eastAsia"/>
          <w:lang w:val="en-US" w:eastAsia="zh-CN"/>
        </w:rPr>
      </w:pPr>
      <w:r>
        <w:rPr>
          <w:rFonts w:hint="eastAsia"/>
          <w:lang w:val="en-US" w:eastAsia="zh-CN"/>
        </w:rPr>
        <w:t>GBDT</w:t>
      </w:r>
    </w:p>
    <w:p>
      <w:pPr>
        <w:widowControl w:val="0"/>
        <w:numPr>
          <w:ilvl w:val="0"/>
          <w:numId w:val="0"/>
        </w:numPr>
        <w:ind w:firstLine="420" w:firstLineChars="0"/>
        <w:jc w:val="both"/>
        <w:rPr>
          <w:rFonts w:hint="eastAsia"/>
          <w:lang w:val="en-US" w:eastAsia="zh-CN"/>
        </w:rPr>
      </w:pPr>
      <w:r>
        <w:rPr>
          <w:rFonts w:hint="eastAsia"/>
          <w:lang w:val="en-US" w:eastAsia="zh-CN"/>
        </w:rPr>
        <w:t>GBDT (Gradient Boosting Decision Tree) 是机器学习中一个长盛不衰的模型，其主要思想是利用弱分类器（决策树）迭代训练以得到最优模型，该模型具有训练效果好、不易过拟合等优点。GBDT不仅在工业界应用广泛，通常被用于多分类、点击率预测、搜索排序等任务；在各种数据挖掘竞赛中也是致命武器，据统计Kaggle上的比赛有一半以上的冠军方案都是基于GBDT。</w:t>
      </w:r>
    </w:p>
    <w:p>
      <w:pPr>
        <w:widowControl w:val="0"/>
        <w:numPr>
          <w:ilvl w:val="0"/>
          <w:numId w:val="0"/>
        </w:numPr>
        <w:ind w:firstLine="420" w:firstLineChars="0"/>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XGBoost</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GBDT (Gradient Boosting Decision Tree) 是机器学习中一个长盛不衰的模型，其主要思想是利用弱分类器（决策树）迭代训练以得到最优模型，该模型具有训练效果好、不易过拟合等优点。GBDT不仅在工业界应用广泛，通常被用于多分类、点击率预测、搜索排序等任务；在各种数据挖掘竞赛中也是致命武器，据统计Kaggle上的比赛有一半以上的冠军方案都是基于GBDT。</w:t>
      </w:r>
    </w:p>
    <w:p>
      <w:pPr>
        <w:widowControl w:val="0"/>
        <w:numPr>
          <w:ilvl w:val="0"/>
          <w:numId w:val="0"/>
        </w:numPr>
        <w:tabs>
          <w:tab w:val="left" w:pos="312"/>
        </w:tabs>
        <w:jc w:val="both"/>
        <w:rPr>
          <w:rFonts w:hint="default"/>
          <w:lang w:val="en-US" w:eastAsia="zh-CN"/>
        </w:rPr>
      </w:pPr>
    </w:p>
    <w:p>
      <w:pPr>
        <w:widowControl w:val="0"/>
        <w:numPr>
          <w:ilvl w:val="0"/>
          <w:numId w:val="4"/>
        </w:numPr>
        <w:jc w:val="both"/>
        <w:rPr>
          <w:rFonts w:hint="eastAsia"/>
          <w:lang w:val="en-US" w:eastAsia="zh-CN"/>
        </w:rPr>
      </w:pPr>
      <w:r>
        <w:rPr>
          <w:rFonts w:hint="eastAsia"/>
          <w:lang w:val="en-US" w:eastAsia="zh-CN"/>
        </w:rPr>
        <w:t>LGBMRegressor</w:t>
      </w:r>
    </w:p>
    <w:p>
      <w:pPr>
        <w:widowControl w:val="0"/>
        <w:numPr>
          <w:ilvl w:val="0"/>
          <w:numId w:val="0"/>
        </w:numPr>
        <w:jc w:val="both"/>
        <w:rPr>
          <w:rFonts w:hint="default"/>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"https://zhuanlan.zhihu.com/p/99069186" </w:instrText>
      </w:r>
      <w:r>
        <w:rPr>
          <w:rFonts w:ascii="宋体" w:hAnsi="宋体" w:eastAsia="宋体" w:cs="宋体"/>
          <w:sz w:val="24"/>
          <w:szCs w:val="24"/>
        </w:rPr>
        <w:fldChar w:fldCharType="separate"/>
      </w:r>
      <w:r>
        <w:rPr>
          <w:rStyle w:val="10"/>
          <w:rFonts w:ascii="宋体" w:hAnsi="宋体" w:eastAsia="宋体" w:cs="宋体"/>
          <w:sz w:val="24"/>
          <w:szCs w:val="24"/>
        </w:rPr>
        <w:t>深入理解LightGBM - 知乎 (zhihu.com)</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LightGBM（Light Gradient Boosting Machine）是一个实现GBDT算法的框架，支持高效率的并行训练，并且具有更快的训练速度、更低的内存消耗、更好的准确率、支持分布式可以快速处理海量数据等优点。</w:t>
      </w:r>
    </w:p>
    <w:p>
      <w:pPr>
        <w:widowControl w:val="0"/>
        <w:numPr>
          <w:ilvl w:val="0"/>
          <w:numId w:val="0"/>
        </w:numPr>
        <w:ind w:firstLine="420" w:firstLineChars="0"/>
        <w:jc w:val="both"/>
        <w:rPr>
          <w:rFonts w:hint="eastAsia" w:ascii="宋体" w:hAnsi="宋体" w:eastAsia="宋体" w:cs="宋体"/>
          <w:sz w:val="24"/>
          <w:szCs w:val="24"/>
        </w:rPr>
      </w:pP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为了避免上述XGBoost的缺陷，并且能够在不损害准确率的条件下加快GBDT模型的训练速度，lightGBM在传统的GBDT算法上进行了如下优化：</w:t>
      </w:r>
    </w:p>
    <w:p>
      <w:pPr>
        <w:widowControl w:val="0"/>
        <w:numPr>
          <w:ilvl w:val="0"/>
          <w:numId w:val="0"/>
        </w:numPr>
        <w:ind w:firstLine="420" w:firstLineChars="0"/>
        <w:jc w:val="both"/>
        <w:rPr>
          <w:rFonts w:hint="eastAsia" w:ascii="宋体" w:hAnsi="宋体" w:eastAsia="宋体" w:cs="宋体"/>
          <w:sz w:val="24"/>
          <w:szCs w:val="24"/>
        </w:rPr>
      </w:pP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基于Histogram的决策树算法。</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单边梯度采样 Gradient-based One-Side Sampling(GOSS)：使用GOSS可以减少大量只具有小梯度的数据实例，这样在计算信息增益的时候只利用剩下的具有高梯度的数据就可以了，相比XGBoost遍历所有特征值节省了不少时间和空间上的开销。</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互斥特征捆绑 Exclusive Feature Bundling(EFB)：使用EFB可以将许多互斥的特征绑定为一个特征，这样达到了降维的目的。</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带深度限制的Leaf-wise的叶子生长策略：大多数GBDT工具使用低效的按层生长 (level-wise) 的决策树生长策略，因为它不加区分的对待同一层的叶子，带来了很多没必要的开销。实际上很多叶子的分裂增益较低，没必要进行搜索和分裂。LightGBM使用了带有深度限制的按叶子生长 (leaf-wise) 算法。</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直接支持类别特征(Categorical Feature)</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支持高效并行</w:t>
      </w:r>
    </w:p>
    <w:p>
      <w:pPr>
        <w:widowControl w:val="0"/>
        <w:numPr>
          <w:ilvl w:val="0"/>
          <w:numId w:val="0"/>
        </w:numPr>
        <w:ind w:firstLine="420" w:firstLineChars="0"/>
        <w:jc w:val="both"/>
        <w:rPr>
          <w:rFonts w:hint="eastAsia" w:ascii="宋体" w:hAnsi="宋体" w:eastAsia="宋体" w:cs="宋体"/>
          <w:sz w:val="24"/>
          <w:szCs w:val="24"/>
        </w:rPr>
      </w:pPr>
      <w:r>
        <w:rPr>
          <w:rFonts w:hint="eastAsia" w:ascii="宋体" w:hAnsi="宋体" w:eastAsia="宋体" w:cs="宋体"/>
          <w:sz w:val="24"/>
          <w:szCs w:val="24"/>
        </w:rPr>
        <w:t>Cache命中率优化</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实验效果分析</w:t>
      </w:r>
    </w:p>
    <w:p>
      <w:pPr>
        <w:widowControl w:val="0"/>
        <w:numPr>
          <w:ilvl w:val="0"/>
          <w:numId w:val="5"/>
        </w:numPr>
        <w:jc w:val="both"/>
        <w:rPr>
          <w:rFonts w:hint="eastAsia"/>
          <w:lang w:val="en-US" w:eastAsia="zh-CN"/>
        </w:rPr>
      </w:pPr>
      <w:r>
        <w:rPr>
          <w:rFonts w:hint="eastAsia"/>
          <w:lang w:val="en-US" w:eastAsia="zh-CN"/>
        </w:rPr>
        <w:t>第一次试验</w:t>
      </w:r>
    </w:p>
    <w:p>
      <w:pPr>
        <w:widowControl w:val="0"/>
        <w:numPr>
          <w:ilvl w:val="0"/>
          <w:numId w:val="0"/>
        </w:numPr>
        <w:ind w:firstLine="420" w:firstLineChars="0"/>
        <w:jc w:val="both"/>
        <w:rPr>
          <w:rFonts w:hint="eastAsia"/>
          <w:lang w:val="en-US" w:eastAsia="zh-CN"/>
        </w:rPr>
      </w:pPr>
      <w:r>
        <w:rPr>
          <w:rFonts w:hint="eastAsia"/>
          <w:lang w:val="en-US" w:eastAsia="zh-CN"/>
        </w:rPr>
        <w:t>直接对所有特征进行回归计算</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实验结果：</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localAuth is :</w:t>
      </w:r>
    </w:p>
    <w:p>
      <w:pPr>
        <w:widowControl w:val="0"/>
        <w:numPr>
          <w:ilvl w:val="0"/>
          <w:numId w:val="0"/>
        </w:numPr>
        <w:ind w:firstLine="420" w:firstLineChars="0"/>
        <w:jc w:val="both"/>
        <w:rPr>
          <w:rFonts w:hint="default"/>
          <w:lang w:val="en-US" w:eastAsia="zh-CN"/>
        </w:rPr>
      </w:pPr>
      <w:r>
        <w:rPr>
          <w:rFonts w:hint="default"/>
          <w:lang w:val="en-US" w:eastAsia="zh-CN"/>
        </w:rPr>
        <w:t>0.7249421218515957</w:t>
      </w:r>
    </w:p>
    <w:p>
      <w:pPr>
        <w:widowControl w:val="0"/>
        <w:numPr>
          <w:ilvl w:val="0"/>
          <w:numId w:val="0"/>
        </w:numPr>
        <w:ind w:firstLine="420" w:firstLineChars="0"/>
        <w:jc w:val="both"/>
        <w:rPr>
          <w:rFonts w:hint="default"/>
          <w:lang w:val="en-US" w:eastAsia="zh-CN"/>
        </w:rPr>
      </w:pPr>
      <w:r>
        <w:rPr>
          <w:rFonts w:hint="default"/>
          <w:lang w:val="en-US" w:eastAsia="zh-CN"/>
        </w:rPr>
        <w:t>Prediction auc is :</w:t>
      </w:r>
    </w:p>
    <w:p>
      <w:pPr>
        <w:ind w:firstLine="420" w:firstLineChars="0"/>
        <w:rPr>
          <w:rFonts w:hint="default"/>
          <w:lang w:val="en-US" w:eastAsia="zh-CN"/>
        </w:rPr>
      </w:pPr>
      <w:r>
        <w:rPr>
          <w:rFonts w:hint="default"/>
          <w:lang w:val="en-US" w:eastAsia="zh-CN"/>
        </w:rPr>
        <w:t>0.7241445091503432</w:t>
      </w:r>
    </w:p>
    <w:p>
      <w:pPr>
        <w:ind w:firstLine="420" w:firstLineChars="0"/>
        <w:rPr>
          <w:rFonts w:hint="eastAsia"/>
          <w:lang w:val="en-US" w:eastAsia="zh-CN"/>
        </w:rPr>
      </w:pPr>
      <w:r>
        <w:rPr>
          <w:rFonts w:hint="eastAsia"/>
          <w:lang w:val="en-US" w:eastAsia="zh-CN"/>
        </w:rPr>
        <w:br w:type="page"/>
      </w:r>
    </w:p>
    <w:p>
      <w:pPr>
        <w:widowControl w:val="0"/>
        <w:numPr>
          <w:ilvl w:val="0"/>
          <w:numId w:val="5"/>
        </w:numPr>
        <w:ind w:left="0" w:leftChars="0" w:firstLine="0" w:firstLineChars="0"/>
        <w:jc w:val="both"/>
        <w:rPr>
          <w:rFonts w:hint="eastAsia"/>
          <w:lang w:val="en-US" w:eastAsia="zh-CN"/>
        </w:rPr>
      </w:pPr>
      <w:r>
        <w:rPr>
          <w:rFonts w:hint="eastAsia"/>
          <w:lang w:val="en-US" w:eastAsia="zh-CN"/>
        </w:rPr>
        <w:t>第二次试验</w:t>
      </w:r>
    </w:p>
    <w:p>
      <w:pPr>
        <w:widowControl w:val="0"/>
        <w:numPr>
          <w:ilvl w:val="0"/>
          <w:numId w:val="0"/>
        </w:numPr>
        <w:ind w:firstLine="420" w:firstLineChars="0"/>
        <w:jc w:val="both"/>
        <w:rPr>
          <w:rFonts w:hint="default"/>
          <w:lang w:val="en-US" w:eastAsia="zh-CN"/>
        </w:rPr>
      </w:pPr>
      <w:r>
        <w:rPr>
          <w:rFonts w:hint="eastAsia"/>
          <w:lang w:val="en-US" w:eastAsia="zh-CN"/>
        </w:rPr>
        <w:t xml:space="preserve">（降维：对具有强线性关系的多对特征选择性保留） +  </w:t>
      </w:r>
      <w:r>
        <w:rPr>
          <w:rFonts w:hint="default"/>
          <w:lang w:val="en-US" w:eastAsia="zh-CN"/>
        </w:rPr>
        <w:t>pca降维</w:t>
      </w:r>
    </w:p>
    <w:p>
      <w:pPr>
        <w:widowControl w:val="0"/>
        <w:numPr>
          <w:ilvl w:val="0"/>
          <w:numId w:val="0"/>
        </w:numPr>
        <w:jc w:val="both"/>
        <w:rPr>
          <w:rFonts w:hint="default"/>
          <w:lang w:val="en-US" w:eastAsia="zh-CN"/>
        </w:rPr>
      </w:pPr>
      <w:r>
        <w:rPr>
          <w:rFonts w:hint="eastAsia"/>
          <w:lang w:val="en-US" w:eastAsia="zh-CN"/>
        </w:rPr>
        <w:t>（1）检查数据分布</w:t>
      </w:r>
    </w:p>
    <w:p>
      <w:pPr>
        <w:widowControl w:val="0"/>
        <w:numPr>
          <w:ilvl w:val="0"/>
          <w:numId w:val="0"/>
        </w:numPr>
        <w:ind w:firstLine="420" w:firstLineChars="0"/>
        <w:jc w:val="both"/>
        <w:rPr>
          <w:rFonts w:hint="eastAsia"/>
          <w:lang w:val="en-US" w:eastAsia="zh-CN"/>
        </w:rPr>
      </w:pPr>
      <w:r>
        <w:rPr>
          <w:rFonts w:hint="eastAsia"/>
          <w:lang w:val="en-US" w:eastAsia="zh-CN"/>
        </w:rPr>
        <w:t>policyCode, annualIncome, applicationType, n11, n12, n13数据上没有变化，删去</w:t>
      </w:r>
    </w:p>
    <w:p>
      <w:pPr>
        <w:widowControl w:val="0"/>
        <w:numPr>
          <w:ilvl w:val="0"/>
          <w:numId w:val="0"/>
        </w:numPr>
        <w:ind w:firstLine="420" w:firstLineChars="0"/>
        <w:jc w:val="both"/>
      </w:pPr>
      <w:r>
        <w:drawing>
          <wp:inline distT="0" distB="0" distL="114300" distR="114300">
            <wp:extent cx="2110740" cy="1361440"/>
            <wp:effectExtent l="0" t="0" r="381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2110740" cy="1361440"/>
                    </a:xfrm>
                    <a:prstGeom prst="rect">
                      <a:avLst/>
                    </a:prstGeom>
                    <a:noFill/>
                    <a:ln>
                      <a:noFill/>
                    </a:ln>
                  </pic:spPr>
                </pic:pic>
              </a:graphicData>
            </a:graphic>
          </wp:inline>
        </w:drawing>
      </w:r>
      <w:r>
        <w:drawing>
          <wp:inline distT="0" distB="0" distL="114300" distR="114300">
            <wp:extent cx="2099310" cy="1368425"/>
            <wp:effectExtent l="0" t="0" r="152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099310" cy="1368425"/>
                    </a:xfrm>
                    <a:prstGeom prst="rect">
                      <a:avLst/>
                    </a:prstGeom>
                    <a:noFill/>
                    <a:ln>
                      <a:noFill/>
                    </a:ln>
                  </pic:spPr>
                </pic:pic>
              </a:graphicData>
            </a:graphic>
          </wp:inline>
        </w:drawing>
      </w:r>
    </w:p>
    <w:p>
      <w:pPr>
        <w:widowControl w:val="0"/>
        <w:numPr>
          <w:ilvl w:val="0"/>
          <w:numId w:val="0"/>
        </w:numPr>
        <w:ind w:firstLine="420" w:firstLineChars="0"/>
        <w:jc w:val="both"/>
      </w:pPr>
      <w:r>
        <w:drawing>
          <wp:inline distT="0" distB="0" distL="114300" distR="114300">
            <wp:extent cx="2136775" cy="1374775"/>
            <wp:effectExtent l="0" t="0" r="1587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136775" cy="1374775"/>
                    </a:xfrm>
                    <a:prstGeom prst="rect">
                      <a:avLst/>
                    </a:prstGeom>
                    <a:noFill/>
                    <a:ln>
                      <a:noFill/>
                    </a:ln>
                  </pic:spPr>
                </pic:pic>
              </a:graphicData>
            </a:graphic>
          </wp:inline>
        </w:drawing>
      </w:r>
      <w:r>
        <w:drawing>
          <wp:inline distT="0" distB="0" distL="114300" distR="114300">
            <wp:extent cx="2145030" cy="138303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45030" cy="1383030"/>
                    </a:xfrm>
                    <a:prstGeom prst="rect">
                      <a:avLst/>
                    </a:prstGeom>
                    <a:noFill/>
                    <a:ln>
                      <a:noFill/>
                    </a:ln>
                  </pic:spPr>
                </pic:pic>
              </a:graphicData>
            </a:graphic>
          </wp:inline>
        </w:drawing>
      </w:r>
    </w:p>
    <w:p>
      <w:pPr>
        <w:widowControl w:val="0"/>
        <w:numPr>
          <w:ilvl w:val="0"/>
          <w:numId w:val="0"/>
        </w:numPr>
        <w:ind w:firstLine="420" w:firstLineChars="0"/>
        <w:jc w:val="both"/>
      </w:pPr>
      <w:r>
        <w:drawing>
          <wp:inline distT="0" distB="0" distL="114300" distR="114300">
            <wp:extent cx="2151380" cy="1370965"/>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151380" cy="1370965"/>
                    </a:xfrm>
                    <a:prstGeom prst="rect">
                      <a:avLst/>
                    </a:prstGeom>
                    <a:noFill/>
                    <a:ln>
                      <a:noFill/>
                    </a:ln>
                  </pic:spPr>
                </pic:pic>
              </a:graphicData>
            </a:graphic>
          </wp:inline>
        </w:drawing>
      </w:r>
      <w:r>
        <w:drawing>
          <wp:inline distT="0" distB="0" distL="114300" distR="114300">
            <wp:extent cx="2152015" cy="1435100"/>
            <wp:effectExtent l="0" t="0" r="63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152015" cy="1435100"/>
                    </a:xfrm>
                    <a:prstGeom prst="rect">
                      <a:avLst/>
                    </a:prstGeom>
                    <a:noFill/>
                    <a:ln>
                      <a:noFill/>
                    </a:ln>
                  </pic:spPr>
                </pic:pic>
              </a:graphicData>
            </a:graphic>
          </wp:inline>
        </w:drawing>
      </w:r>
    </w:p>
    <w:p>
      <w:pPr>
        <w:rPr>
          <w:rFonts w:hint="default"/>
          <w:lang w:val="en-US" w:eastAsia="zh-CN"/>
        </w:rPr>
      </w:pPr>
      <w:r>
        <w:rPr>
          <w:rFonts w:hint="default"/>
          <w:lang w:val="en-US" w:eastAsia="zh-CN"/>
        </w:rPr>
        <w:br w:type="page"/>
      </w:r>
    </w:p>
    <w:p>
      <w:pPr>
        <w:widowControl w:val="0"/>
        <w:numPr>
          <w:ilvl w:val="0"/>
          <w:numId w:val="6"/>
        </w:numPr>
        <w:jc w:val="both"/>
        <w:rPr>
          <w:rFonts w:hint="default"/>
          <w:lang w:val="en-US" w:eastAsia="zh-CN"/>
        </w:rPr>
      </w:pPr>
      <w:r>
        <w:rPr>
          <w:rFonts w:hint="eastAsia"/>
          <w:lang w:val="en-US" w:eastAsia="zh-CN"/>
        </w:rPr>
        <w:t>分析特征间线性关系</w:t>
      </w:r>
    </w:p>
    <w:p>
      <w:pPr>
        <w:widowControl w:val="0"/>
        <w:numPr>
          <w:ilvl w:val="0"/>
          <w:numId w:val="0"/>
        </w:numPr>
        <w:ind w:firstLine="420" w:firstLineChars="0"/>
        <w:jc w:val="both"/>
        <w:rPr>
          <w:rFonts w:hint="default"/>
          <w:lang w:val="en-US" w:eastAsia="zh-CN"/>
        </w:rPr>
      </w:pPr>
      <w:r>
        <w:rPr>
          <w:rFonts w:hint="eastAsia"/>
          <w:lang w:val="en-US" w:eastAsia="zh-CN"/>
        </w:rPr>
        <w:t>先画出所有特征的热力图：</w:t>
      </w:r>
    </w:p>
    <w:p>
      <w:pPr>
        <w:widowControl w:val="0"/>
        <w:numPr>
          <w:ilvl w:val="0"/>
          <w:numId w:val="0"/>
        </w:numPr>
        <w:jc w:val="both"/>
      </w:pPr>
      <w:r>
        <w:drawing>
          <wp:inline distT="0" distB="0" distL="114300" distR="114300">
            <wp:extent cx="5264150" cy="5480050"/>
            <wp:effectExtent l="0" t="0" r="1270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4150" cy="548005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图中policyCode, annualIncome, applicationType, n11, n12, n13项的异常是由于其有效数据过少而造成的，由于在上一步中决定删去这些特征，因此此处不再进行讨论。</w:t>
      </w:r>
    </w:p>
    <w:p>
      <w:pPr>
        <w:widowControl w:val="0"/>
        <w:numPr>
          <w:ilvl w:val="0"/>
          <w:numId w:val="0"/>
        </w:numPr>
        <w:ind w:firstLine="420" w:firstLineChars="0"/>
        <w:jc w:val="both"/>
        <w:rPr>
          <w:rFonts w:hint="eastAsia"/>
          <w:lang w:val="en-US" w:eastAsia="zh-CN"/>
        </w:rPr>
      </w:pPr>
      <w:r>
        <w:rPr>
          <w:rFonts w:hint="eastAsia"/>
          <w:lang w:val="en-US" w:eastAsia="zh-CN"/>
        </w:rPr>
        <w:t>打印出相关系数较高的服务对：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feature_x</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feature_y</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corr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loanAmnt</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installment</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0.9533692932239131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interestRate</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grade</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0.9532685750717439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interestRate</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subGrade</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0.9708469479718348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grade</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subGrade</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0.9939067441072746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ficoRangeLow</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ficoRangeHigh</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0.9999999288414679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openAcc</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n7</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0.817523495370809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openAcc</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n10</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0.9838900341270191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n2</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0.8081573447236511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n3</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0.801243568608452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n4</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0.8266510426867069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n9</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0.801243568608452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n3</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n9</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0.9820448979716367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n9</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0.838420270694751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w:t>
            </w:r>
            <w:r>
              <w:rPr>
                <w:rFonts w:hint="eastAsia"/>
                <w:vertAlign w:val="baseline"/>
                <w:lang w:val="en-US" w:eastAsia="zh-CN"/>
              </w:rPr>
              <w:t>5</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n8</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0.838420270694751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840" w:type="dxa"/>
          </w:tcPr>
          <w:p>
            <w:pPr>
              <w:widowControl w:val="0"/>
              <w:numPr>
                <w:ilvl w:val="0"/>
                <w:numId w:val="0"/>
              </w:numPr>
              <w:jc w:val="both"/>
              <w:rPr>
                <w:rFonts w:hint="default"/>
                <w:vertAlign w:val="baseline"/>
                <w:lang w:val="en-US" w:eastAsia="zh-CN"/>
              </w:rPr>
            </w:pPr>
            <w:r>
              <w:rPr>
                <w:rFonts w:hint="default"/>
                <w:vertAlign w:val="baseline"/>
                <w:lang w:val="en-US" w:eastAsia="zh-CN"/>
              </w:rPr>
              <w:t>n</w:t>
            </w:r>
            <w:r>
              <w:rPr>
                <w:rFonts w:hint="eastAsia"/>
                <w:vertAlign w:val="baseline"/>
                <w:lang w:val="en-US" w:eastAsia="zh-CN"/>
              </w:rPr>
              <w:t>7</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n10</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0.826807072189599</w:t>
            </w:r>
          </w:p>
        </w:tc>
      </w:tr>
    </w:tbl>
    <w:p>
      <w:pPr>
        <w:widowControl w:val="0"/>
        <w:numPr>
          <w:ilvl w:val="0"/>
          <w:numId w:val="0"/>
        </w:numPr>
        <w:ind w:firstLine="420" w:firstLineChars="0"/>
        <w:jc w:val="both"/>
        <w:rPr>
          <w:rFonts w:hint="eastAsia"/>
          <w:lang w:val="en-US" w:eastAsia="zh-CN"/>
        </w:rPr>
      </w:pPr>
      <w:r>
        <w:rPr>
          <w:rFonts w:hint="eastAsia"/>
          <w:lang w:val="en-US" w:eastAsia="zh-CN"/>
        </w:rPr>
        <w:t>继续分析其各自间相关性，绘制其分布关系如下：</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2400300" cy="1800225"/>
            <wp:effectExtent l="0" t="0" r="0" b="9525"/>
            <wp:docPr id="10" name="图片 10" descr="ficoRangeHigh-ficoRang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coRangeHigh-ficoRangeLow"/>
                    <pic:cNvPicPr>
                      <a:picLocks noChangeAspect="1"/>
                    </pic:cNvPicPr>
                  </pic:nvPicPr>
                  <pic:blipFill>
                    <a:blip r:embed="rId11"/>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1" name="图片 11" descr="grade-sub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rade-subGrade"/>
                    <pic:cNvPicPr>
                      <a:picLocks noChangeAspect="1"/>
                    </pic:cNvPicPr>
                  </pic:nvPicPr>
                  <pic:blipFill>
                    <a:blip r:embed="rId12"/>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2" name="图片 12" descr="interestRate-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terestRate-grade"/>
                    <pic:cNvPicPr>
                      <a:picLocks noChangeAspect="1"/>
                    </pic:cNvPicPr>
                  </pic:nvPicPr>
                  <pic:blipFill>
                    <a:blip r:embed="rId13"/>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24" name="图片 24" descr="interestRate-sub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nterestRate-subGrade"/>
                    <pic:cNvPicPr>
                      <a:picLocks noChangeAspect="1"/>
                    </pic:cNvPicPr>
                  </pic:nvPicPr>
                  <pic:blipFill>
                    <a:blip r:embed="rId14"/>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23" name="图片 23" descr="loanAmnt-insta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oanAmnt-installment"/>
                    <pic:cNvPicPr>
                      <a:picLocks noChangeAspect="1"/>
                    </pic:cNvPicPr>
                  </pic:nvPicPr>
                  <pic:blipFill>
                    <a:blip r:embed="rId15"/>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22" name="图片 22" descr="n1-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n1-n2"/>
                    <pic:cNvPicPr>
                      <a:picLocks noChangeAspect="1"/>
                    </pic:cNvPicPr>
                  </pic:nvPicPr>
                  <pic:blipFill>
                    <a:blip r:embed="rId16"/>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21" name="图片 21" descr="n1-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1-n3"/>
                    <pic:cNvPicPr>
                      <a:picLocks noChangeAspect="1"/>
                    </pic:cNvPicPr>
                  </pic:nvPicPr>
                  <pic:blipFill>
                    <a:blip r:embed="rId17"/>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20" name="图片 20" descr="n1-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n1-n4"/>
                    <pic:cNvPicPr>
                      <a:picLocks noChangeAspect="1"/>
                    </pic:cNvPicPr>
                  </pic:nvPicPr>
                  <pic:blipFill>
                    <a:blip r:embed="rId18"/>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9" name="图片 19" descr="n1-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n1-n9"/>
                    <pic:cNvPicPr>
                      <a:picLocks noChangeAspect="1"/>
                    </pic:cNvPicPr>
                  </pic:nvPicPr>
                  <pic:blipFill>
                    <a:blip r:embed="rId19"/>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8" name="图片 18" descr="n2-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2-n3"/>
                    <pic:cNvPicPr>
                      <a:picLocks noChangeAspect="1"/>
                    </pic:cNvPicPr>
                  </pic:nvPicPr>
                  <pic:blipFill>
                    <a:blip r:embed="rId20"/>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7" name="图片 17" descr="n2-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2-n9"/>
                    <pic:cNvPicPr>
                      <a:picLocks noChangeAspect="1"/>
                    </pic:cNvPicPr>
                  </pic:nvPicPr>
                  <pic:blipFill>
                    <a:blip r:embed="rId21"/>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6" name="图片 16" descr="n3-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n3-n9"/>
                    <pic:cNvPicPr>
                      <a:picLocks noChangeAspect="1"/>
                    </pic:cNvPicPr>
                  </pic:nvPicPr>
                  <pic:blipFill>
                    <a:blip r:embed="rId22"/>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5" name="图片 15" descr="openAcc-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openAcc-n7"/>
                    <pic:cNvPicPr>
                      <a:picLocks noChangeAspect="1"/>
                    </pic:cNvPicPr>
                  </pic:nvPicPr>
                  <pic:blipFill>
                    <a:blip r:embed="rId23"/>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4" name="图片 14" descr="openAcc-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openAcc-n9"/>
                    <pic:cNvPicPr>
                      <a:picLocks noChangeAspect="1"/>
                    </pic:cNvPicPr>
                  </pic:nvPicPr>
                  <pic:blipFill>
                    <a:blip r:embed="rId24"/>
                    <a:stretch>
                      <a:fillRect/>
                    </a:stretch>
                  </pic:blipFill>
                  <pic:spPr>
                    <a:xfrm>
                      <a:off x="0" y="0"/>
                      <a:ext cx="2400300" cy="1800225"/>
                    </a:xfrm>
                    <a:prstGeom prst="rect">
                      <a:avLst/>
                    </a:prstGeom>
                  </pic:spPr>
                </pic:pic>
              </a:graphicData>
            </a:graphic>
          </wp:inline>
        </w:drawing>
      </w:r>
      <w:r>
        <w:rPr>
          <w:rFonts w:hint="default"/>
          <w:lang w:val="en-US" w:eastAsia="zh-CN"/>
        </w:rPr>
        <w:drawing>
          <wp:inline distT="0" distB="0" distL="114300" distR="114300">
            <wp:extent cx="2400300" cy="1800225"/>
            <wp:effectExtent l="0" t="0" r="0" b="9525"/>
            <wp:docPr id="13" name="图片 13" descr="openAcc-total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openAcc-totalAcc"/>
                    <pic:cNvPicPr>
                      <a:picLocks noChangeAspect="1"/>
                    </pic:cNvPicPr>
                  </pic:nvPicPr>
                  <pic:blipFill>
                    <a:blip r:embed="rId25"/>
                    <a:stretch>
                      <a:fillRect/>
                    </a:stretch>
                  </pic:blipFill>
                  <pic:spPr>
                    <a:xfrm>
                      <a:off x="0" y="0"/>
                      <a:ext cx="2400300" cy="1800225"/>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分析后决定，loanAmnt-installment特征均保留；interestRate-grade-subgrade中删除grade；n1-n2-n3-n4-n9均保留；n2-n3均保留；openAcc-totalAcc-n7-n9中均保留。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6"/>
        </w:numPr>
        <w:jc w:val="both"/>
        <w:rPr>
          <w:rFonts w:hint="default"/>
          <w:lang w:val="en-US" w:eastAsia="zh-CN"/>
        </w:rPr>
      </w:pPr>
      <w:r>
        <w:rPr>
          <w:rFonts w:hint="eastAsia"/>
          <w:lang w:val="en-US" w:eastAsia="zh-CN"/>
        </w:rPr>
        <w:t>pca降维</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"https://zhuanlan.zhihu.com/p/77151308" </w:instrText>
      </w:r>
      <w:r>
        <w:rPr>
          <w:rFonts w:ascii="宋体" w:hAnsi="宋体" w:eastAsia="宋体" w:cs="宋体"/>
          <w:sz w:val="24"/>
          <w:szCs w:val="24"/>
        </w:rPr>
        <w:fldChar w:fldCharType="separate"/>
      </w:r>
      <w:r>
        <w:rPr>
          <w:rStyle w:val="9"/>
          <w:rFonts w:ascii="宋体" w:hAnsi="宋体" w:eastAsia="宋体" w:cs="宋体"/>
          <w:sz w:val="24"/>
          <w:szCs w:val="24"/>
        </w:rPr>
        <w:t>【机器学习】降维——PCA（非常详细） - 知乎 (zhihu.com)</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上一步中发现了具有强相关关系的三组特征["openAcc", "totalAcc", "n1", "n2", "n3", "n4", "n7", "n9"], ["loanAmnt", "installment"], ["interestRate", "subGrade"]</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准备使用pca对这三组数据进行降维处理。其中第二三组均降至一维即可。而对于第一组特征的降维目标参数需要斟酌。</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以下是对第一组数据降维后能保留的信息，由图可知，在仅保留3个维度的特征前提下，仍然能保证整体信息丢失较少。</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954780"/>
            <wp:effectExtent l="0" t="0" r="3810" b="7620"/>
            <wp:docPr id="1" name="图片 1" descr="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ca"/>
                    <pic:cNvPicPr>
                      <a:picLocks noChangeAspect="1"/>
                    </pic:cNvPicPr>
                  </pic:nvPicPr>
                  <pic:blipFill>
                    <a:blip r:embed="rId26"/>
                    <a:stretch>
                      <a:fillRect/>
                    </a:stretch>
                  </pic:blipFill>
                  <pic:spPr>
                    <a:xfrm>
                      <a:off x="0" y="0"/>
                      <a:ext cx="5273040" cy="3954780"/>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sz w:val="24"/>
          <w:szCs w:val="24"/>
          <w:lang w:val="en-US" w:eastAsia="zh-CN"/>
        </w:rPr>
      </w:pPr>
      <w:bookmarkStart w:id="0" w:name="_GoBack"/>
      <w:bookmarkEnd w:id="0"/>
    </w:p>
    <w:p>
      <w:pPr>
        <w:widowControl w:val="0"/>
        <w:numPr>
          <w:ilvl w:val="0"/>
          <w:numId w:val="0"/>
        </w:numPr>
        <w:ind w:firstLine="420" w:firstLineChars="0"/>
        <w:jc w:val="both"/>
        <w:rPr>
          <w:rFonts w:hint="default"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pca参数</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"https://blog.csdn.net/weixin_41857483/article/details/109604239" </w:instrText>
      </w:r>
      <w:r>
        <w:rPr>
          <w:rFonts w:ascii="宋体" w:hAnsi="宋体" w:eastAsia="宋体" w:cs="宋体"/>
          <w:sz w:val="24"/>
          <w:szCs w:val="24"/>
        </w:rPr>
        <w:fldChar w:fldCharType="separate"/>
      </w:r>
      <w:r>
        <w:rPr>
          <w:rStyle w:val="10"/>
          <w:rFonts w:ascii="宋体" w:hAnsi="宋体" w:eastAsia="宋体" w:cs="宋体"/>
          <w:sz w:val="24"/>
          <w:szCs w:val="24"/>
        </w:rPr>
        <w:t>(31条消息) PCA中n_components的设置_林下月光的博客-CSDN博客</w:t>
      </w:r>
      <w:r>
        <w:rPr>
          <w:rFonts w:ascii="宋体" w:hAnsi="宋体" w:eastAsia="宋体" w:cs="宋体"/>
          <w:sz w:val="24"/>
          <w:szCs w:val="24"/>
        </w:rPr>
        <w:fldChar w:fldCharType="end"/>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实验结果：</w:t>
      </w:r>
    </w:p>
    <w:p>
      <w:pPr>
        <w:widowControl w:val="0"/>
        <w:numPr>
          <w:ilvl w:val="0"/>
          <w:numId w:val="0"/>
        </w:numPr>
        <w:ind w:firstLine="420" w:firstLineChars="0"/>
        <w:jc w:val="both"/>
        <w:rPr>
          <w:rFonts w:hint="default"/>
          <w:lang w:val="en-US" w:eastAsia="zh-CN"/>
        </w:rPr>
      </w:pPr>
      <w:r>
        <w:rPr>
          <w:rFonts w:hint="default"/>
          <w:lang w:val="en-US" w:eastAsia="zh-CN"/>
        </w:rPr>
        <w:t>localAuth is :</w:t>
      </w:r>
    </w:p>
    <w:p>
      <w:pPr>
        <w:widowControl w:val="0"/>
        <w:numPr>
          <w:ilvl w:val="0"/>
          <w:numId w:val="0"/>
        </w:numPr>
        <w:ind w:firstLine="420" w:firstLineChars="0"/>
        <w:jc w:val="both"/>
        <w:rPr>
          <w:rFonts w:hint="default"/>
          <w:lang w:val="en-US" w:eastAsia="zh-CN"/>
        </w:rPr>
      </w:pPr>
      <w:r>
        <w:rPr>
          <w:rFonts w:hint="default"/>
          <w:lang w:val="en-US" w:eastAsia="zh-CN"/>
        </w:rPr>
        <w:t>0.7268395109024496</w:t>
      </w:r>
    </w:p>
    <w:p>
      <w:pPr>
        <w:widowControl w:val="0"/>
        <w:numPr>
          <w:ilvl w:val="0"/>
          <w:numId w:val="0"/>
        </w:numPr>
        <w:ind w:firstLine="420" w:firstLineChars="0"/>
        <w:jc w:val="both"/>
        <w:rPr>
          <w:rFonts w:hint="default"/>
          <w:lang w:val="en-US" w:eastAsia="zh-CN"/>
        </w:rPr>
      </w:pPr>
      <w:r>
        <w:rPr>
          <w:rFonts w:hint="default"/>
          <w:lang w:val="en-US" w:eastAsia="zh-CN"/>
        </w:rPr>
        <w:t>Prediction auc is :</w:t>
      </w:r>
    </w:p>
    <w:p>
      <w:pPr>
        <w:widowControl w:val="0"/>
        <w:numPr>
          <w:ilvl w:val="0"/>
          <w:numId w:val="0"/>
        </w:numPr>
        <w:ind w:firstLine="420" w:firstLineChars="0"/>
        <w:jc w:val="both"/>
        <w:rPr>
          <w:rFonts w:hint="default"/>
          <w:lang w:val="en-US" w:eastAsia="zh-CN"/>
        </w:rPr>
      </w:pPr>
      <w:r>
        <w:rPr>
          <w:rFonts w:hint="default"/>
          <w:lang w:val="en-US" w:eastAsia="zh-CN"/>
        </w:rPr>
        <w:t>0.7256975890664609</w:t>
      </w:r>
    </w:p>
    <w:p>
      <w:pPr>
        <w:widowControl w:val="0"/>
        <w:numPr>
          <w:ilvl w:val="0"/>
          <w:numId w:val="0"/>
        </w:numPr>
        <w:ind w:firstLine="420" w:firstLineChars="0"/>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center"/>
        <w:rPr>
          <w:rFonts w:hint="eastAsia"/>
          <w:lang w:val="en-US" w:eastAsia="zh-CN"/>
        </w:rPr>
      </w:pP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第三次试验</w:t>
      </w:r>
    </w:p>
    <w:p>
      <w:pPr>
        <w:widowControl w:val="0"/>
        <w:numPr>
          <w:ilvl w:val="0"/>
          <w:numId w:val="0"/>
        </w:numPr>
        <w:ind w:firstLine="420" w:firstLineChars="0"/>
        <w:jc w:val="both"/>
        <w:rPr>
          <w:rFonts w:hint="default"/>
          <w:lang w:val="en-US" w:eastAsia="zh-CN"/>
        </w:rPr>
      </w:pPr>
      <w:r>
        <w:rPr>
          <w:rFonts w:hint="eastAsia"/>
          <w:lang w:val="en-US" w:eastAsia="zh-CN"/>
        </w:rPr>
        <w:t>调整模型参数</w:t>
      </w:r>
    </w:p>
    <w:p>
      <w:pPr>
        <w:widowControl w:val="0"/>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4DF94"/>
    <w:multiLevelType w:val="singleLevel"/>
    <w:tmpl w:val="A384DF94"/>
    <w:lvl w:ilvl="0" w:tentative="0">
      <w:start w:val="1"/>
      <w:numFmt w:val="decimal"/>
      <w:lvlText w:val="%1."/>
      <w:lvlJc w:val="left"/>
      <w:pPr>
        <w:tabs>
          <w:tab w:val="left" w:pos="312"/>
        </w:tabs>
      </w:pPr>
    </w:lvl>
  </w:abstractNum>
  <w:abstractNum w:abstractNumId="1">
    <w:nsid w:val="C68465F8"/>
    <w:multiLevelType w:val="singleLevel"/>
    <w:tmpl w:val="C68465F8"/>
    <w:lvl w:ilvl="0" w:tentative="0">
      <w:start w:val="1"/>
      <w:numFmt w:val="decimal"/>
      <w:lvlText w:val="%1."/>
      <w:lvlJc w:val="left"/>
      <w:pPr>
        <w:tabs>
          <w:tab w:val="left" w:pos="312"/>
        </w:tabs>
      </w:pPr>
    </w:lvl>
  </w:abstractNum>
  <w:abstractNum w:abstractNumId="2">
    <w:nsid w:val="D130DB8C"/>
    <w:multiLevelType w:val="singleLevel"/>
    <w:tmpl w:val="D130DB8C"/>
    <w:lvl w:ilvl="0" w:tentative="0">
      <w:start w:val="1"/>
      <w:numFmt w:val="decimal"/>
      <w:lvlText w:val="%1."/>
      <w:lvlJc w:val="left"/>
      <w:pPr>
        <w:tabs>
          <w:tab w:val="left" w:pos="312"/>
        </w:tabs>
      </w:pPr>
    </w:lvl>
  </w:abstractNum>
  <w:abstractNum w:abstractNumId="3">
    <w:nsid w:val="DD6D2010"/>
    <w:multiLevelType w:val="singleLevel"/>
    <w:tmpl w:val="DD6D2010"/>
    <w:lvl w:ilvl="0" w:tentative="0">
      <w:start w:val="1"/>
      <w:numFmt w:val="chineseCounting"/>
      <w:suff w:val="nothing"/>
      <w:lvlText w:val="%1、"/>
      <w:lvlJc w:val="left"/>
      <w:rPr>
        <w:rFonts w:hint="eastAsia"/>
      </w:rPr>
    </w:lvl>
  </w:abstractNum>
  <w:abstractNum w:abstractNumId="4">
    <w:nsid w:val="EEFD13FC"/>
    <w:multiLevelType w:val="singleLevel"/>
    <w:tmpl w:val="EEFD13FC"/>
    <w:lvl w:ilvl="0" w:tentative="0">
      <w:start w:val="1"/>
      <w:numFmt w:val="decimal"/>
      <w:lvlText w:val="%1."/>
      <w:lvlJc w:val="left"/>
      <w:pPr>
        <w:tabs>
          <w:tab w:val="left" w:pos="312"/>
        </w:tabs>
      </w:pPr>
    </w:lvl>
  </w:abstractNum>
  <w:abstractNum w:abstractNumId="5">
    <w:nsid w:val="7C666C8B"/>
    <w:multiLevelType w:val="singleLevel"/>
    <w:tmpl w:val="7C666C8B"/>
    <w:lvl w:ilvl="0" w:tentative="0">
      <w:start w:val="2"/>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3ZGY4MzY2MGZhYzIwYWI3NzQ0Nzg5M2FmMTFmZWEifQ=="/>
  </w:docVars>
  <w:rsids>
    <w:rsidRoot w:val="00000000"/>
    <w:rsid w:val="00DC62A3"/>
    <w:rsid w:val="01561925"/>
    <w:rsid w:val="016918A7"/>
    <w:rsid w:val="01A54FD7"/>
    <w:rsid w:val="021D04ED"/>
    <w:rsid w:val="02BE247E"/>
    <w:rsid w:val="03293C1B"/>
    <w:rsid w:val="04651CD8"/>
    <w:rsid w:val="04BB33D5"/>
    <w:rsid w:val="04E30B01"/>
    <w:rsid w:val="05691B19"/>
    <w:rsid w:val="06134143"/>
    <w:rsid w:val="063162BD"/>
    <w:rsid w:val="073B0BC6"/>
    <w:rsid w:val="07B4479C"/>
    <w:rsid w:val="08877AF4"/>
    <w:rsid w:val="08971F79"/>
    <w:rsid w:val="095342DA"/>
    <w:rsid w:val="09A64E10"/>
    <w:rsid w:val="0AC01703"/>
    <w:rsid w:val="0B4F6FDE"/>
    <w:rsid w:val="0CED3576"/>
    <w:rsid w:val="0D720C66"/>
    <w:rsid w:val="0DDB6F15"/>
    <w:rsid w:val="0EDE4AFD"/>
    <w:rsid w:val="0FAC51EB"/>
    <w:rsid w:val="0FFB2E40"/>
    <w:rsid w:val="10330CA8"/>
    <w:rsid w:val="108A31F2"/>
    <w:rsid w:val="10D65199"/>
    <w:rsid w:val="10D82836"/>
    <w:rsid w:val="1114797E"/>
    <w:rsid w:val="113D0264"/>
    <w:rsid w:val="11AD0ACB"/>
    <w:rsid w:val="11C552A9"/>
    <w:rsid w:val="12110957"/>
    <w:rsid w:val="12380713"/>
    <w:rsid w:val="12380806"/>
    <w:rsid w:val="132D4308"/>
    <w:rsid w:val="13CF05BB"/>
    <w:rsid w:val="147E48D8"/>
    <w:rsid w:val="14CA63AE"/>
    <w:rsid w:val="15E2762C"/>
    <w:rsid w:val="16F47617"/>
    <w:rsid w:val="16F8536E"/>
    <w:rsid w:val="17396B7A"/>
    <w:rsid w:val="17C30790"/>
    <w:rsid w:val="18354ACF"/>
    <w:rsid w:val="18623212"/>
    <w:rsid w:val="18864A37"/>
    <w:rsid w:val="191E2EA7"/>
    <w:rsid w:val="19CB2347"/>
    <w:rsid w:val="1AA85213"/>
    <w:rsid w:val="1B1C1DD7"/>
    <w:rsid w:val="1B2047C2"/>
    <w:rsid w:val="1B2A4B54"/>
    <w:rsid w:val="1B9905DC"/>
    <w:rsid w:val="1C105994"/>
    <w:rsid w:val="1CB610B6"/>
    <w:rsid w:val="1CE046C9"/>
    <w:rsid w:val="1CFF5E79"/>
    <w:rsid w:val="1D284BA0"/>
    <w:rsid w:val="1D78786F"/>
    <w:rsid w:val="1D9220A3"/>
    <w:rsid w:val="1EB03145"/>
    <w:rsid w:val="1EF429FD"/>
    <w:rsid w:val="1F2448BB"/>
    <w:rsid w:val="1F822271"/>
    <w:rsid w:val="1F996BF4"/>
    <w:rsid w:val="202764B4"/>
    <w:rsid w:val="20D12777"/>
    <w:rsid w:val="20EB3D3B"/>
    <w:rsid w:val="220021C9"/>
    <w:rsid w:val="222E0EDD"/>
    <w:rsid w:val="223E7931"/>
    <w:rsid w:val="22DF598C"/>
    <w:rsid w:val="22E5075C"/>
    <w:rsid w:val="25380421"/>
    <w:rsid w:val="265210BF"/>
    <w:rsid w:val="27793FA1"/>
    <w:rsid w:val="27C21B35"/>
    <w:rsid w:val="27F5342E"/>
    <w:rsid w:val="28927BEE"/>
    <w:rsid w:val="28FD07B3"/>
    <w:rsid w:val="29E92E52"/>
    <w:rsid w:val="2A357468"/>
    <w:rsid w:val="2C18357B"/>
    <w:rsid w:val="2C9101FF"/>
    <w:rsid w:val="2E7C6F6A"/>
    <w:rsid w:val="2E90180C"/>
    <w:rsid w:val="305D3535"/>
    <w:rsid w:val="30C4295E"/>
    <w:rsid w:val="30D90E27"/>
    <w:rsid w:val="311461DA"/>
    <w:rsid w:val="31412D53"/>
    <w:rsid w:val="31805A17"/>
    <w:rsid w:val="320904D1"/>
    <w:rsid w:val="326C7162"/>
    <w:rsid w:val="32E04C28"/>
    <w:rsid w:val="3302356A"/>
    <w:rsid w:val="33B9231A"/>
    <w:rsid w:val="33E30779"/>
    <w:rsid w:val="342E5A95"/>
    <w:rsid w:val="34B74AAA"/>
    <w:rsid w:val="34E95ACC"/>
    <w:rsid w:val="352930DB"/>
    <w:rsid w:val="367714D5"/>
    <w:rsid w:val="36A253EA"/>
    <w:rsid w:val="3819572B"/>
    <w:rsid w:val="38701D47"/>
    <w:rsid w:val="38907CA1"/>
    <w:rsid w:val="38A2353F"/>
    <w:rsid w:val="397E7E09"/>
    <w:rsid w:val="3A454299"/>
    <w:rsid w:val="3B0F548F"/>
    <w:rsid w:val="3B11613A"/>
    <w:rsid w:val="3BC646E5"/>
    <w:rsid w:val="3C087E92"/>
    <w:rsid w:val="3E424AC7"/>
    <w:rsid w:val="40512B4C"/>
    <w:rsid w:val="40E23BE4"/>
    <w:rsid w:val="40E572B5"/>
    <w:rsid w:val="40F90DBC"/>
    <w:rsid w:val="428F1CD0"/>
    <w:rsid w:val="42FA5706"/>
    <w:rsid w:val="43163CC4"/>
    <w:rsid w:val="44094A48"/>
    <w:rsid w:val="44D16614"/>
    <w:rsid w:val="45432070"/>
    <w:rsid w:val="45603F46"/>
    <w:rsid w:val="46744DE3"/>
    <w:rsid w:val="484E66B6"/>
    <w:rsid w:val="485B4F92"/>
    <w:rsid w:val="48CB025F"/>
    <w:rsid w:val="48F77700"/>
    <w:rsid w:val="49A01FC5"/>
    <w:rsid w:val="4A44223F"/>
    <w:rsid w:val="4AEA0E3B"/>
    <w:rsid w:val="4B02287F"/>
    <w:rsid w:val="4BD92322"/>
    <w:rsid w:val="4CBE1458"/>
    <w:rsid w:val="4D0F6379"/>
    <w:rsid w:val="4D3551E6"/>
    <w:rsid w:val="4E292AD0"/>
    <w:rsid w:val="4EEF1380"/>
    <w:rsid w:val="4F386709"/>
    <w:rsid w:val="4FAF721C"/>
    <w:rsid w:val="4FB875C8"/>
    <w:rsid w:val="4FCB6460"/>
    <w:rsid w:val="4FF20C57"/>
    <w:rsid w:val="50336663"/>
    <w:rsid w:val="509B5BC8"/>
    <w:rsid w:val="52267E08"/>
    <w:rsid w:val="52534991"/>
    <w:rsid w:val="52DF11EA"/>
    <w:rsid w:val="5325232B"/>
    <w:rsid w:val="53907462"/>
    <w:rsid w:val="53EE69FA"/>
    <w:rsid w:val="53FD147E"/>
    <w:rsid w:val="55FC415F"/>
    <w:rsid w:val="56190D2D"/>
    <w:rsid w:val="56D83DF0"/>
    <w:rsid w:val="584572E3"/>
    <w:rsid w:val="58DA01FA"/>
    <w:rsid w:val="5ABD72ED"/>
    <w:rsid w:val="5AF42405"/>
    <w:rsid w:val="5B0816ED"/>
    <w:rsid w:val="5B61590A"/>
    <w:rsid w:val="5C391A9C"/>
    <w:rsid w:val="5CD75ECC"/>
    <w:rsid w:val="5CFC0A90"/>
    <w:rsid w:val="5FF3183C"/>
    <w:rsid w:val="6006114B"/>
    <w:rsid w:val="61D54F1C"/>
    <w:rsid w:val="61E671FB"/>
    <w:rsid w:val="621D67F6"/>
    <w:rsid w:val="623E36DF"/>
    <w:rsid w:val="647D214B"/>
    <w:rsid w:val="64B93B1C"/>
    <w:rsid w:val="64BC4534"/>
    <w:rsid w:val="65BB2C15"/>
    <w:rsid w:val="6703126A"/>
    <w:rsid w:val="67F96C22"/>
    <w:rsid w:val="682D61F5"/>
    <w:rsid w:val="69386BFD"/>
    <w:rsid w:val="69C769D8"/>
    <w:rsid w:val="6AD063BC"/>
    <w:rsid w:val="6AF54DE7"/>
    <w:rsid w:val="6B3E6EB5"/>
    <w:rsid w:val="6BDB75D3"/>
    <w:rsid w:val="6C0F37CD"/>
    <w:rsid w:val="6CDE381F"/>
    <w:rsid w:val="6D0107FB"/>
    <w:rsid w:val="6D0B71E2"/>
    <w:rsid w:val="6D25144D"/>
    <w:rsid w:val="6D9479C6"/>
    <w:rsid w:val="6E6C6677"/>
    <w:rsid w:val="6EFF64A4"/>
    <w:rsid w:val="6F284A38"/>
    <w:rsid w:val="6F3A12FE"/>
    <w:rsid w:val="72D251A7"/>
    <w:rsid w:val="73666F0F"/>
    <w:rsid w:val="74613030"/>
    <w:rsid w:val="74631D9C"/>
    <w:rsid w:val="75B8438B"/>
    <w:rsid w:val="761115B8"/>
    <w:rsid w:val="764D6F77"/>
    <w:rsid w:val="76DA7273"/>
    <w:rsid w:val="7705270B"/>
    <w:rsid w:val="77ED0A5E"/>
    <w:rsid w:val="78E90BC9"/>
    <w:rsid w:val="7A7A20E2"/>
    <w:rsid w:val="7A7F4948"/>
    <w:rsid w:val="7BB876E4"/>
    <w:rsid w:val="7C232FFC"/>
    <w:rsid w:val="7C2C431A"/>
    <w:rsid w:val="7C502790"/>
    <w:rsid w:val="7C963CB3"/>
    <w:rsid w:val="7D4E2DAF"/>
    <w:rsid w:val="7D655BE2"/>
    <w:rsid w:val="7DD93A16"/>
    <w:rsid w:val="7F077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keepNext/>
      <w:keepLines/>
      <w:spacing w:beforeLines="0" w:beforeAutospacing="0" w:afterLines="0" w:afterAutospacing="0" w:line="240"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2352</Words>
  <Characters>3810</Characters>
  <Lines>0</Lines>
  <Paragraphs>0</Paragraphs>
  <TotalTime>32</TotalTime>
  <ScaleCrop>false</ScaleCrop>
  <LinksUpToDate>false</LinksUpToDate>
  <CharactersWithSpaces>3881</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2021-10-27T13:27:00Z</dcterms:created>
  <dc:creator>WilsonPC</dc:creator>
  <cp:lastModifiedBy>unbearable bear</cp:lastModifiedBy>
  <dcterms:modified xsi:type="dcterms:W3CDTF">2022-06-17T08:39:31Z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81B130441BD740D396EB68E5A9A33CE8</vt:lpwstr>
  </property>
</Properties>
</file>