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Ind w:w="0" w:type="dxa"/>
        <w:tblLayout w:type="fixed"/>
        <w:tblBorders>
          <w:top w:val="single" w:sz="0" w:space="0" w:color="4C1D95"/>
          <w:left w:val="single" w:sz="0" w:space="0" w:color="4C1D95"/>
          <w:bottom w:val="single" w:sz="0" w:space="0" w:color="4C1D95"/>
          <w:right w:val="single" w:sz="0" w:space="0" w:color="4C1D95"/>
        </w:tblBorders>
      </w:tblPr>
      <w:tblGrid>
        <w:gridCol w:w="2200"/>
        <w:gridCol w:w="7160"/>
      </w:tblGrid>
      <w:tr>
        <w:tc>
          <w:tcPr>
            <w:tcW w:type="dxa" w:w="2200"/>
            <w:tcMar>
              <w:top w:w="180" w:type="dxa"/>
              <w:start w:w="180" w:type="dxa"/>
              <w:bottom w:w="180" w:type="dxa"/>
              <w:end w:w="180" w:type="dxa"/>
            </w:tcMar>
            <w:shd w:fill="4C1D95" w:val="clear"/>
          </w:tcPr>
          <w:p>
            <w:r>
              <w:rPr>
                <w:rFonts w:ascii="Calibri" w:hAnsi="Calibri" w:eastAsia="Calibri"/>
                <w:b/>
                <w:color w:val="FFFFFF"/>
                <w:sz w:val="26"/>
              </w:rPr>
              <w:t>RADAR</w:t>
              <w:br/>
              <w:t>PDDE 2026</w:t>
            </w:r>
          </w:p>
        </w:tc>
        <w:tc>
          <w:tcPr>
            <w:tcW w:type="dxa" w:w="7160"/>
            <w:tcMar>
              <w:top w:w="180" w:type="dxa"/>
              <w:start w:w="220" w:type="dxa"/>
              <w:bottom w:w="180" w:type="dxa"/>
              <w:end w:w="220" w:type="dxa"/>
            </w:tcMar>
            <w:shd w:fill="F8FAFC" w:val="clear"/>
          </w:tcPr>
          <w:p>
            <w:r>
              <w:rPr>
                <w:rFonts w:ascii="Calibri" w:hAnsi="Calibri" w:eastAsia="Calibri"/>
                <w:b/>
                <w:color w:val="6D28D9"/>
                <w:sz w:val="20"/>
              </w:rPr>
              <w:t>PLANO MESTRE DE CORREÇÕES</w:t>
            </w:r>
          </w:p>
          <w:p>
            <w:r>
              <w:rPr>
                <w:rFonts w:ascii="Calibri" w:hAnsi="Calibri" w:eastAsia="Calibri"/>
                <w:color w:val="667085"/>
                <w:sz w:val="18"/>
              </w:rPr>
              <w:t>Versão final sequencial · 24 de agosto de 2026</w:t>
            </w:r>
          </w:p>
        </w:tc>
      </w:tr>
    </w:tbl>
    <w:p>
      <w:pPr>
        <w:spacing w:after="0"/>
      </w:pPr>
    </w:p>
    <w:p>
      <w:pPr>
        <w:pStyle w:val="Title"/>
      </w:pPr>
      <w:r>
        <w:t>Plano mestre sequencial de correções do RADAR PDDE</w:t>
      </w:r>
    </w:p>
    <w:p>
      <w:pPr>
        <w:pStyle w:val="Subtitle"/>
      </w:pPr>
      <w:r>
        <w:t>Correções operacionais, coerência da Assessoria, prontidão crítica, gestão de pendências e desempenho estrutural</w:t>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insideH w:val="single" w:sz="6" w:space="0" w:color="E4E7EC"/>
          <w:insideV w:val="single" w:sz="6" w:space="0" w:color="E4E7EC"/>
        </w:tblBorders>
      </w:tblPr>
      <w:tblGrid>
        <w:gridCol w:w="2500"/>
        <w:gridCol w:w="6860"/>
      </w:tblGrid>
      <w:tr>
        <w:trPr>
          <w:cantSplit/>
        </w:trPr>
        <w:tc>
          <w:tcPr>
            <w:tcW w:type="dxa" w:w="2500"/>
            <w:tcMar>
              <w:top w:w="80" w:type="dxa"/>
              <w:start w:w="120" w:type="dxa"/>
              <w:bottom w:w="80" w:type="dxa"/>
              <w:end w:w="120" w:type="dxa"/>
            </w:tcMar>
            <w:shd w:fill="F2F4F7" w:val="clear"/>
          </w:tcPr>
          <w:p>
            <w:r>
              <w:rPr>
                <w:rFonts w:ascii="Calibri" w:hAnsi="Calibri" w:eastAsia="Calibri"/>
                <w:b/>
                <w:color w:val="1F4D78"/>
                <w:sz w:val="17"/>
              </w:rPr>
              <w:t>SISTEMA</w:t>
            </w:r>
          </w:p>
        </w:tc>
        <w:tc>
          <w:tcPr>
            <w:tcW w:type="dxa" w:w="6860"/>
            <w:tcMar>
              <w:top w:w="80" w:type="dxa"/>
              <w:start w:w="120" w:type="dxa"/>
              <w:bottom w:w="80" w:type="dxa"/>
              <w:end w:w="120" w:type="dxa"/>
            </w:tcMar>
          </w:tcPr>
          <w:p>
            <w:r>
              <w:rPr>
                <w:rFonts w:ascii="Calibri" w:hAnsi="Calibri" w:eastAsia="Calibri"/>
                <w:color w:val="172033"/>
                <w:sz w:val="19"/>
              </w:rPr>
              <w:t>RADAR PDDE 2026</w:t>
            </w:r>
          </w:p>
        </w:tc>
      </w:tr>
      <w:tr>
        <w:trPr>
          <w:cantSplit/>
        </w:trPr>
        <w:tc>
          <w:tcPr>
            <w:tcW w:type="dxa" w:w="2500"/>
            <w:tcMar>
              <w:top w:w="80" w:type="dxa"/>
              <w:start w:w="120" w:type="dxa"/>
              <w:bottom w:w="80" w:type="dxa"/>
              <w:end w:w="120" w:type="dxa"/>
            </w:tcMar>
            <w:shd w:fill="F2F4F7" w:val="clear"/>
          </w:tcPr>
          <w:p>
            <w:r>
              <w:rPr>
                <w:rFonts w:ascii="Calibri" w:hAnsi="Calibri" w:eastAsia="Calibri"/>
                <w:b/>
                <w:color w:val="1F4D78"/>
                <w:sz w:val="17"/>
              </w:rPr>
              <w:t>BASE DE CÓDIGO</w:t>
            </w:r>
          </w:p>
        </w:tc>
        <w:tc>
          <w:tcPr>
            <w:tcW w:type="dxa" w:w="6860"/>
            <w:tcMar>
              <w:top w:w="80" w:type="dxa"/>
              <w:start w:w="120" w:type="dxa"/>
              <w:bottom w:w="80" w:type="dxa"/>
              <w:end w:w="120" w:type="dxa"/>
            </w:tcMar>
          </w:tcPr>
          <w:p>
            <w:r>
              <w:rPr>
                <w:rFonts w:ascii="Calibri" w:hAnsi="Calibri" w:eastAsia="Calibri"/>
                <w:color w:val="172033"/>
                <w:sz w:val="19"/>
              </w:rPr>
              <w:t>Commit 4542bbfdba7b4a6073445c8f3ea6ceafbb660dba</w:t>
            </w:r>
          </w:p>
        </w:tc>
      </w:tr>
      <w:tr>
        <w:trPr>
          <w:cantSplit/>
        </w:trPr>
        <w:tc>
          <w:tcPr>
            <w:tcW w:type="dxa" w:w="2500"/>
            <w:tcMar>
              <w:top w:w="80" w:type="dxa"/>
              <w:start w:w="120" w:type="dxa"/>
              <w:bottom w:w="80" w:type="dxa"/>
              <w:end w:w="120" w:type="dxa"/>
            </w:tcMar>
            <w:shd w:fill="F2F4F7" w:val="clear"/>
          </w:tcPr>
          <w:p>
            <w:r>
              <w:rPr>
                <w:rFonts w:ascii="Calibri" w:hAnsi="Calibri" w:eastAsia="Calibri"/>
                <w:b/>
                <w:color w:val="1F4D78"/>
                <w:sz w:val="17"/>
              </w:rPr>
              <w:t>EVIDÊNCIAS</w:t>
            </w:r>
          </w:p>
        </w:tc>
        <w:tc>
          <w:tcPr>
            <w:tcW w:type="dxa" w:w="6860"/>
            <w:tcMar>
              <w:top w:w="80" w:type="dxa"/>
              <w:start w:w="120" w:type="dxa"/>
              <w:bottom w:w="80" w:type="dxa"/>
              <w:end w:w="120" w:type="dxa"/>
            </w:tcMar>
          </w:tcPr>
          <w:p>
            <w:r>
              <w:rPr>
                <w:rFonts w:ascii="Calibri" w:hAnsi="Calibri" w:eastAsia="Calibri"/>
                <w:color w:val="172033"/>
                <w:sz w:val="19"/>
              </w:rPr>
              <w:t>Código oficial, documentação, testes, Supabase Production e 13 capturas de tela</w:t>
            </w:r>
          </w:p>
        </w:tc>
      </w:tr>
      <w:tr>
        <w:trPr>
          <w:cantSplit/>
        </w:trPr>
        <w:tc>
          <w:tcPr>
            <w:tcW w:type="dxa" w:w="2500"/>
            <w:tcMar>
              <w:top w:w="80" w:type="dxa"/>
              <w:start w:w="120" w:type="dxa"/>
              <w:bottom w:w="80" w:type="dxa"/>
              <w:end w:w="120" w:type="dxa"/>
            </w:tcMar>
            <w:shd w:fill="F2F4F7" w:val="clear"/>
          </w:tcPr>
          <w:p>
            <w:r>
              <w:rPr>
                <w:rFonts w:ascii="Calibri" w:hAnsi="Calibri" w:eastAsia="Calibri"/>
                <w:b/>
                <w:color w:val="1F4D78"/>
                <w:sz w:val="17"/>
              </w:rPr>
              <w:t>STATUS</w:t>
            </w:r>
          </w:p>
        </w:tc>
        <w:tc>
          <w:tcPr>
            <w:tcW w:type="dxa" w:w="6860"/>
            <w:tcMar>
              <w:top w:w="80" w:type="dxa"/>
              <w:start w:w="120" w:type="dxa"/>
              <w:bottom w:w="80" w:type="dxa"/>
              <w:end w:w="120" w:type="dxa"/>
            </w:tcMar>
          </w:tcPr>
          <w:p>
            <w:r>
              <w:rPr>
                <w:rFonts w:ascii="Calibri" w:hAnsi="Calibri" w:eastAsia="Calibri"/>
                <w:color w:val="172033"/>
                <w:sz w:val="19"/>
              </w:rPr>
              <w:t>Plano de correção — nenhuma mudança de código, dado ou produção executada</w:t>
            </w:r>
          </w:p>
        </w:tc>
      </w:tr>
    </w:tbl>
    <w:p>
      <w:pPr>
        <w:spacing w:after="0"/>
      </w:pPr>
    </w:p>
    <w:tbl>
      <w:tblPr>
        <w:tblW w:type="dxa" w:w="9360"/>
        <w:jc w:val="center"/>
        <w:tblLook w:firstColumn="1" w:firstRow="1" w:lastColumn="0" w:lastRow="0" w:noHBand="0" w:noVBand="1" w:val="04A0"/>
        <w:tblInd w:w="0" w:type="dxa"/>
        <w:tblLayout w:type="fixed"/>
        <w:tblBorders>
          <w:top w:val="single" w:sz="0" w:space="0" w:color="F3E8FF"/>
          <w:left w:val="single" w:sz="0" w:space="0" w:color="F3E8FF"/>
          <w:bottom w:val="single" w:sz="0" w:space="0" w:color="F3E8FF"/>
          <w:right w:val="single" w:sz="0" w:space="0" w:color="F3E8FF"/>
        </w:tblBorders>
      </w:tblPr>
      <w:tblGrid>
        <w:gridCol w:w="120"/>
        <w:gridCol w:w="9240"/>
      </w:tblGrid>
      <w:tr>
        <w:tc>
          <w:tcPr>
            <w:tcW w:type="dxa" w:w="120"/>
            <w:tcMar>
              <w:top w:w="120" w:type="dxa"/>
              <w:start w:w="0" w:type="dxa"/>
              <w:bottom w:w="120" w:type="dxa"/>
              <w:end w:w="0" w:type="dxa"/>
            </w:tcMar>
            <w:shd w:fill="6D28D9" w:val="clear"/>
          </w:tcPr>
          <w:p/>
        </w:tc>
        <w:tc>
          <w:tcPr>
            <w:tcW w:type="dxa" w:w="9240"/>
            <w:tcMar>
              <w:top w:w="150" w:type="dxa"/>
              <w:start w:w="180" w:type="dxa"/>
              <w:bottom w:w="150" w:type="dxa"/>
              <w:end w:w="180" w:type="dxa"/>
            </w:tcMar>
            <w:shd w:fill="F3E8FF" w:val="clear"/>
          </w:tcPr>
          <w:p>
            <w:pPr>
              <w:spacing w:after="80"/>
            </w:pPr>
            <w:r>
              <w:rPr>
                <w:rFonts w:ascii="Calibri" w:hAnsi="Calibri" w:eastAsia="Calibri"/>
                <w:b/>
                <w:color w:val="6D28D9"/>
                <w:sz w:val="22"/>
              </w:rPr>
              <w:t>Decisão principal</w:t>
            </w:r>
          </w:p>
          <w:p>
            <w:pPr>
              <w:widowControl/>
              <w:spacing w:after="0"/>
            </w:pPr>
            <w:r>
              <w:t>Manter a regra recente que exibe pendências de todas as competências. O trabalho necessário é organizar o volume, corrigir inconsistências funcionais e orientar cada perfil para a próxima ação correta.</w:t>
            </w:r>
          </w:p>
        </w:tc>
      </w:tr>
    </w:tbl>
    <w:p>
      <w:pPr>
        <w:spacing w:after="0"/>
      </w:pPr>
    </w:p>
    <w:tbl>
      <w:tblPr>
        <w:tblW w:type="dxa" w:w="9360"/>
        <w:jc w:val="center"/>
        <w:tblLook w:firstColumn="1" w:firstRow="1" w:lastColumn="0" w:lastRow="0" w:noHBand="0" w:noVBand="1" w:val="04A0"/>
        <w:tblInd w:w="0" w:type="dxa"/>
        <w:tblLayout w:type="fixed"/>
        <w:tblBorders>
          <w:top w:val="single" w:sz="0" w:space="0" w:color="EAF2F8"/>
          <w:left w:val="single" w:sz="0" w:space="0" w:color="EAF2F8"/>
          <w:bottom w:val="single" w:sz="0" w:space="0" w:color="EAF2F8"/>
          <w:right w:val="single" w:sz="0" w:space="0" w:color="EAF2F8"/>
        </w:tblBorders>
      </w:tblPr>
      <w:tblGrid>
        <w:gridCol w:w="120"/>
        <w:gridCol w:w="9240"/>
      </w:tblGrid>
      <w:tr>
        <w:tc>
          <w:tcPr>
            <w:tcW w:type="dxa" w:w="120"/>
            <w:tcMar>
              <w:top w:w="120" w:type="dxa"/>
              <w:start w:w="0" w:type="dxa"/>
              <w:bottom w:w="120" w:type="dxa"/>
              <w:end w:w="0" w:type="dxa"/>
            </w:tcMar>
            <w:shd w:fill="2E74B5" w:val="clear"/>
          </w:tcPr>
          <w:p/>
        </w:tc>
        <w:tc>
          <w:tcPr>
            <w:tcW w:type="dxa" w:w="9240"/>
            <w:tcMar>
              <w:top w:w="150" w:type="dxa"/>
              <w:start w:w="180" w:type="dxa"/>
              <w:bottom w:w="150" w:type="dxa"/>
              <w:end w:w="180" w:type="dxa"/>
            </w:tcMar>
            <w:shd w:fill="EAF2F8" w:val="clear"/>
          </w:tcPr>
          <w:p>
            <w:pPr>
              <w:spacing w:after="80"/>
            </w:pPr>
            <w:r>
              <w:rPr>
                <w:rFonts w:ascii="Calibri" w:hAnsi="Calibri" w:eastAsia="Calibri"/>
                <w:b/>
                <w:color w:val="2E74B5"/>
                <w:sz w:val="22"/>
              </w:rPr>
              <w:t>Nota de escopo</w:t>
            </w:r>
          </w:p>
          <w:p>
            <w:pPr>
              <w:widowControl/>
              <w:spacing w:after="0"/>
            </w:pPr>
            <w:r>
              <w:t>O PR 195 permanece integralmente fora desta análise e deste plano. Ele foi fechado sem merge e não tem relação com as correções propostas.</w:t>
            </w:r>
          </w:p>
        </w:tc>
      </w:tr>
    </w:tbl>
    <w:p>
      <w:pPr>
        <w:spacing w:after="0"/>
      </w:pPr>
    </w:p>
    <w:p>
      <w:pPr>
        <w:spacing w:before="240"/>
        <w:jc w:val="center"/>
      </w:pPr>
      <w:r>
        <w:rPr>
          <w:rFonts w:ascii="Calibri" w:hAnsi="Calibri" w:eastAsia="Calibri"/>
          <w:i/>
          <w:color w:val="667085"/>
          <w:sz w:val="18"/>
        </w:rPr>
        <w:t>Documento preparado para decisão de produto, desenvolvimento, testes e implantação controlada.</w:t>
      </w:r>
    </w:p>
    <w:p>
      <w:r>
        <w:br w:type="page"/>
      </w:r>
    </w:p>
    <w:p>
      <w:pPr>
        <w:pStyle w:val="Heading1"/>
        <w:keepNext/>
        <w:keepLines/>
        <w:widowControl/>
      </w:pPr>
      <w:r>
        <w:t>Síntese executiva</w:t>
      </w:r>
    </w:p>
    <w:p>
      <w:pPr>
        <w:widowControl/>
      </w:pPr>
      <w:r>
        <w:t>A análise consolidada separa regras válidas de defeitos reais. O resultado é um plano que corrige primeiro os riscos operacionais e, em seguida, melhora a experiência sem ampliar desnecessariamente o escopo técnico.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2300"/>
        <w:gridCol w:w="3760"/>
        <w:gridCol w:w="1400"/>
      </w:tblGrid>
      <w:tr>
        <w:trPr>
          <w:tblHeader w:val="true"/>
          <w:cantSplit/>
        </w:trPr>
        <w:tc>
          <w:tcPr>
            <w:tcW w:type="dxa" w:w="19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Tema</w:t>
            </w:r>
          </w:p>
        </w:tc>
        <w:tc>
          <w:tcPr>
            <w:tcW w:type="dxa" w:w="23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Conclusão</w:t>
            </w:r>
          </w:p>
        </w:tc>
        <w:tc>
          <w:tcPr>
            <w:tcW w:type="dxa" w:w="37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Resposta recomendada</w:t>
            </w:r>
          </w:p>
        </w:tc>
        <w:tc>
          <w:tcPr>
            <w:tcW w:type="dxa" w:w="14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Prioridade</w:t>
            </w:r>
          </w:p>
        </w:tc>
      </w:tr>
      <w:tr>
        <w:trPr>
          <w:cantSplit/>
        </w:trPr>
        <w:tc>
          <w:tcPr>
            <w:tcW w:type="dxa" w:w="1900"/>
            <w:vAlign w:val="center"/>
          </w:tcPr>
          <w:p>
            <w:pPr>
              <w:spacing w:after="0"/>
            </w:pPr>
            <w:r>
              <w:rPr>
                <w:rFonts w:ascii="Calibri" w:hAnsi="Calibri" w:eastAsia="Calibri"/>
                <w:color w:val="172033"/>
                <w:sz w:val="17"/>
              </w:rPr>
              <w:t>Envio duplicado</w:t>
            </w:r>
          </w:p>
        </w:tc>
        <w:tc>
          <w:tcPr>
            <w:tcW w:type="dxa" w:w="2300"/>
            <w:vAlign w:val="center"/>
          </w:tcPr>
          <w:p>
            <w:pPr>
              <w:spacing w:after="0"/>
            </w:pPr>
            <w:r>
              <w:rPr>
                <w:rFonts w:ascii="Calibri" w:hAnsi="Calibri" w:eastAsia="Calibri"/>
                <w:color w:val="172033"/>
                <w:sz w:val="17"/>
              </w:rPr>
              <w:t>Defeito/fragilidade confirmada</w:t>
            </w:r>
          </w:p>
        </w:tc>
        <w:tc>
          <w:tcPr>
            <w:tcW w:type="dxa" w:w="3760"/>
            <w:vAlign w:val="center"/>
          </w:tcPr>
          <w:p>
            <w:pPr>
              <w:spacing w:after="0"/>
            </w:pPr>
            <w:r>
              <w:rPr>
                <w:rFonts w:ascii="Calibri" w:hAnsi="Calibri" w:eastAsia="Calibri"/>
                <w:color w:val="172033"/>
                <w:sz w:val="17"/>
              </w:rPr>
              <w:t>Trava imediata; idempotência no servidor em etapa própria</w:t>
            </w:r>
          </w:p>
        </w:tc>
        <w:tc>
          <w:tcPr>
            <w:tcW w:type="dxa" w:w="1400"/>
            <w:vAlign w:val="center"/>
          </w:tcPr>
          <w:p>
            <w:pPr>
              <w:spacing w:after="0"/>
            </w:pPr>
            <w:r>
              <w:rPr>
                <w:rFonts w:ascii="Calibri" w:hAnsi="Calibri" w:eastAsia="Calibri"/>
                <w:color w:val="172033"/>
                <w:sz w:val="17"/>
              </w:rPr>
              <w:t>Crítica</w:t>
            </w:r>
          </w:p>
        </w:tc>
      </w:tr>
      <w:tr>
        <w:trPr>
          <w:cantSplit/>
        </w:trPr>
        <w:tc>
          <w:tcPr>
            <w:tcW w:type="dxa" w:w="1900"/>
            <w:shd w:fill="F8FAFC" w:val="clear"/>
            <w:vAlign w:val="center"/>
          </w:tcPr>
          <w:p>
            <w:pPr>
              <w:spacing w:after="0"/>
            </w:pPr>
            <w:r>
              <w:rPr>
                <w:rFonts w:ascii="Calibri" w:hAnsi="Calibri" w:eastAsia="Calibri"/>
                <w:color w:val="172033"/>
                <w:sz w:val="17"/>
              </w:rPr>
              <w:t>Lentidão ao salvar</w:t>
            </w:r>
          </w:p>
        </w:tc>
        <w:tc>
          <w:tcPr>
            <w:tcW w:type="dxa" w:w="2300"/>
            <w:shd w:fill="F8FAFC" w:val="clear"/>
            <w:vAlign w:val="center"/>
          </w:tcPr>
          <w:p>
            <w:pPr>
              <w:spacing w:after="0"/>
            </w:pPr>
            <w:r>
              <w:rPr>
                <w:rFonts w:ascii="Calibri" w:hAnsi="Calibri" w:eastAsia="Calibri"/>
                <w:color w:val="172033"/>
                <w:sz w:val="17"/>
              </w:rPr>
              <w:t>Problema confirmado no pós-gravação</w:t>
            </w:r>
          </w:p>
        </w:tc>
        <w:tc>
          <w:tcPr>
            <w:tcW w:type="dxa" w:w="3760"/>
            <w:shd w:fill="F8FAFC" w:val="clear"/>
            <w:vAlign w:val="center"/>
          </w:tcPr>
          <w:p>
            <w:pPr>
              <w:spacing w:after="0"/>
            </w:pPr>
            <w:r>
              <w:rPr>
                <w:rFonts w:ascii="Calibri" w:hAnsi="Calibri" w:eastAsia="Calibri"/>
                <w:color w:val="172033"/>
                <w:sz w:val="17"/>
              </w:rPr>
              <w:t>Evitar releitura global e atualizar somente o contexto afetado</w:t>
            </w:r>
          </w:p>
        </w:tc>
        <w:tc>
          <w:tcPr>
            <w:tcW w:type="dxa" w:w="1400"/>
            <w:shd w:fill="F8FAFC" w:val="clear"/>
            <w:vAlign w:val="center"/>
          </w:tcPr>
          <w:p>
            <w:pPr>
              <w:spacing w:after="0"/>
            </w:pPr>
            <w:r>
              <w:rPr>
                <w:rFonts w:ascii="Calibri" w:hAnsi="Calibri" w:eastAsia="Calibri"/>
                <w:color w:val="172033"/>
                <w:sz w:val="17"/>
              </w:rPr>
              <w:t>Alta</w:t>
            </w:r>
          </w:p>
        </w:tc>
      </w:tr>
      <w:tr>
        <w:trPr>
          <w:cantSplit/>
        </w:trPr>
        <w:tc>
          <w:tcPr>
            <w:tcW w:type="dxa" w:w="1900"/>
            <w:vAlign w:val="center"/>
          </w:tcPr>
          <w:p>
            <w:pPr>
              <w:spacing w:after="0"/>
            </w:pPr>
            <w:r>
              <w:rPr>
                <w:rFonts w:ascii="Calibri" w:hAnsi="Calibri" w:eastAsia="Calibri"/>
                <w:color w:val="172033"/>
                <w:sz w:val="17"/>
              </w:rPr>
              <w:t>Consolidação/Assessoria</w:t>
            </w:r>
          </w:p>
        </w:tc>
        <w:tc>
          <w:tcPr>
            <w:tcW w:type="dxa" w:w="2300"/>
            <w:vAlign w:val="center"/>
          </w:tcPr>
          <w:p>
            <w:pPr>
              <w:spacing w:after="0"/>
            </w:pPr>
            <w:r>
              <w:rPr>
                <w:rFonts w:ascii="Calibri" w:hAnsi="Calibri" w:eastAsia="Calibri"/>
                <w:color w:val="172033"/>
                <w:sz w:val="17"/>
              </w:rPr>
              <w:t>Defeito de coerência confirmado</w:t>
            </w:r>
          </w:p>
        </w:tc>
        <w:tc>
          <w:tcPr>
            <w:tcW w:type="dxa" w:w="3760"/>
            <w:vAlign w:val="center"/>
          </w:tcPr>
          <w:p>
            <w:pPr>
              <w:spacing w:after="0"/>
            </w:pPr>
            <w:r>
              <w:rPr>
                <w:rFonts w:ascii="Calibri" w:hAnsi="Calibri" w:eastAsia="Calibri"/>
                <w:color w:val="172033"/>
                <w:sz w:val="17"/>
              </w:rPr>
              <w:t>Uma única regra canônica + reparo auditado de dados</w:t>
            </w:r>
          </w:p>
        </w:tc>
        <w:tc>
          <w:tcPr>
            <w:tcW w:type="dxa" w:w="1400"/>
            <w:vAlign w:val="center"/>
          </w:tcPr>
          <w:p>
            <w:pPr>
              <w:spacing w:after="0"/>
            </w:pPr>
            <w:r>
              <w:rPr>
                <w:rFonts w:ascii="Calibri" w:hAnsi="Calibri" w:eastAsia="Calibri"/>
                <w:color w:val="172033"/>
                <w:sz w:val="17"/>
              </w:rPr>
              <w:t>Crítica</w:t>
            </w:r>
          </w:p>
        </w:tc>
      </w:tr>
      <w:tr>
        <w:trPr>
          <w:cantSplit/>
        </w:trPr>
        <w:tc>
          <w:tcPr>
            <w:tcW w:type="dxa" w:w="1900"/>
            <w:shd w:fill="F8FAFC" w:val="clear"/>
            <w:vAlign w:val="center"/>
          </w:tcPr>
          <w:p>
            <w:pPr>
              <w:spacing w:after="0"/>
            </w:pPr>
            <w:r>
              <w:rPr>
                <w:rFonts w:ascii="Calibri" w:hAnsi="Calibri" w:eastAsia="Calibri"/>
                <w:color w:val="172033"/>
                <w:sz w:val="17"/>
              </w:rPr>
              <w:t>Registro de pendência</w:t>
            </w:r>
          </w:p>
        </w:tc>
        <w:tc>
          <w:tcPr>
            <w:tcW w:type="dxa" w:w="2300"/>
            <w:shd w:fill="F8FAFC" w:val="clear"/>
            <w:vAlign w:val="center"/>
          </w:tcPr>
          <w:p>
            <w:pPr>
              <w:spacing w:after="0"/>
            </w:pPr>
            <w:r>
              <w:rPr>
                <w:rFonts w:ascii="Calibri" w:hAnsi="Calibri" w:eastAsia="Calibri"/>
                <w:color w:val="172033"/>
                <w:sz w:val="17"/>
              </w:rPr>
              <w:t>Falha plausível e reproduzível de inicialização</w:t>
            </w:r>
          </w:p>
        </w:tc>
        <w:tc>
          <w:tcPr>
            <w:tcW w:type="dxa" w:w="3760"/>
            <w:shd w:fill="F8FAFC" w:val="clear"/>
            <w:vAlign w:val="center"/>
          </w:tcPr>
          <w:p>
            <w:pPr>
              <w:spacing w:after="0"/>
            </w:pPr>
            <w:r>
              <w:rPr>
                <w:rFonts w:ascii="Calibri" w:hAnsi="Calibri" w:eastAsia="Calibri"/>
                <w:color w:val="172033"/>
                <w:sz w:val="17"/>
              </w:rPr>
              <w:t>Prontidão real dos módulos funcionais críticos</w:t>
            </w:r>
          </w:p>
        </w:tc>
        <w:tc>
          <w:tcPr>
            <w:tcW w:type="dxa" w:w="1400"/>
            <w:shd w:fill="F8FAFC" w:val="clear"/>
            <w:vAlign w:val="center"/>
          </w:tcPr>
          <w:p>
            <w:pPr>
              <w:spacing w:after="0"/>
            </w:pPr>
            <w:r>
              <w:rPr>
                <w:rFonts w:ascii="Calibri" w:hAnsi="Calibri" w:eastAsia="Calibri"/>
                <w:color w:val="172033"/>
                <w:sz w:val="17"/>
              </w:rPr>
              <w:t>Crítica</w:t>
            </w:r>
          </w:p>
        </w:tc>
      </w:tr>
      <w:tr>
        <w:trPr>
          <w:cantSplit/>
        </w:trPr>
        <w:tc>
          <w:tcPr>
            <w:tcW w:type="dxa" w:w="1900"/>
            <w:vAlign w:val="center"/>
          </w:tcPr>
          <w:p>
            <w:pPr>
              <w:spacing w:after="0"/>
            </w:pPr>
            <w:r>
              <w:rPr>
                <w:rFonts w:ascii="Calibri" w:hAnsi="Calibri" w:eastAsia="Calibri"/>
                <w:color w:val="172033"/>
                <w:sz w:val="17"/>
              </w:rPr>
              <w:t>Combinações Sim/Incorreto</w:t>
            </w:r>
          </w:p>
        </w:tc>
        <w:tc>
          <w:tcPr>
            <w:tcW w:type="dxa" w:w="2300"/>
            <w:vAlign w:val="center"/>
          </w:tcPr>
          <w:p>
            <w:pPr>
              <w:spacing w:after="0"/>
            </w:pPr>
            <w:r>
              <w:rPr>
                <w:rFonts w:ascii="Calibri" w:hAnsi="Calibri" w:eastAsia="Calibri"/>
                <w:color w:val="172033"/>
                <w:sz w:val="17"/>
              </w:rPr>
              <w:t>Regra válida, não paradoxo</w:t>
            </w:r>
          </w:p>
        </w:tc>
        <w:tc>
          <w:tcPr>
            <w:tcW w:type="dxa" w:w="3760"/>
            <w:vAlign w:val="center"/>
          </w:tcPr>
          <w:p>
            <w:pPr>
              <w:spacing w:after="0"/>
            </w:pPr>
            <w:r>
              <w:rPr>
                <w:rFonts w:ascii="Calibri" w:hAnsi="Calibri" w:eastAsia="Calibri"/>
                <w:color w:val="172033"/>
                <w:sz w:val="17"/>
              </w:rPr>
              <w:t>Preservar regras e melhorar explicações</w:t>
            </w:r>
          </w:p>
        </w:tc>
        <w:tc>
          <w:tcPr>
            <w:tcW w:type="dxa" w:w="1400"/>
            <w:vAlign w:val="center"/>
          </w:tcPr>
          <w:p>
            <w:pPr>
              <w:spacing w:after="0"/>
            </w:pPr>
            <w:r>
              <w:rPr>
                <w:rFonts w:ascii="Calibri" w:hAnsi="Calibri" w:eastAsia="Calibri"/>
                <w:color w:val="172033"/>
                <w:sz w:val="17"/>
              </w:rPr>
              <w:t>Manter</w:t>
            </w:r>
          </w:p>
        </w:tc>
      </w:tr>
      <w:tr>
        <w:trPr>
          <w:cantSplit/>
        </w:trPr>
        <w:tc>
          <w:tcPr>
            <w:tcW w:type="dxa" w:w="1900"/>
            <w:shd w:fill="F8FAFC" w:val="clear"/>
            <w:vAlign w:val="center"/>
          </w:tcPr>
          <w:p>
            <w:pPr>
              <w:spacing w:after="0"/>
            </w:pPr>
            <w:r>
              <w:rPr>
                <w:rFonts w:ascii="Calibri" w:hAnsi="Calibri" w:eastAsia="Calibri"/>
                <w:color w:val="172033"/>
                <w:sz w:val="17"/>
              </w:rPr>
              <w:t>Todas as competências</w:t>
            </w:r>
          </w:p>
        </w:tc>
        <w:tc>
          <w:tcPr>
            <w:tcW w:type="dxa" w:w="2300"/>
            <w:shd w:fill="F8FAFC" w:val="clear"/>
            <w:vAlign w:val="center"/>
          </w:tcPr>
          <w:p>
            <w:pPr>
              <w:spacing w:after="0"/>
            </w:pPr>
            <w:r>
              <w:rPr>
                <w:rFonts w:ascii="Calibri" w:hAnsi="Calibri" w:eastAsia="Calibri"/>
                <w:color w:val="172033"/>
                <w:sz w:val="17"/>
              </w:rPr>
              <w:t>Decisão de negócio correta</w:t>
            </w:r>
          </w:p>
        </w:tc>
        <w:tc>
          <w:tcPr>
            <w:tcW w:type="dxa" w:w="3760"/>
            <w:shd w:fill="F8FAFC" w:val="clear"/>
            <w:vAlign w:val="center"/>
          </w:tcPr>
          <w:p>
            <w:pPr>
              <w:spacing w:after="0"/>
            </w:pPr>
            <w:r>
              <w:rPr>
                <w:rFonts w:ascii="Calibri" w:hAnsi="Calibri" w:eastAsia="Calibri"/>
                <w:color w:val="172033"/>
                <w:sz w:val="17"/>
              </w:rPr>
              <w:t>Manter; adicionar recortes operacionais</w:t>
            </w:r>
          </w:p>
        </w:tc>
        <w:tc>
          <w:tcPr>
            <w:tcW w:type="dxa" w:w="1400"/>
            <w:shd w:fill="F8FAFC" w:val="clear"/>
            <w:vAlign w:val="center"/>
          </w:tcPr>
          <w:p>
            <w:pPr>
              <w:spacing w:after="0"/>
            </w:pPr>
            <w:r>
              <w:rPr>
                <w:rFonts w:ascii="Calibri" w:hAnsi="Calibri" w:eastAsia="Calibri"/>
                <w:color w:val="172033"/>
                <w:sz w:val="17"/>
              </w:rPr>
              <w:t>Manter</w:t>
            </w:r>
          </w:p>
        </w:tc>
      </w:tr>
      <w:tr>
        <w:trPr>
          <w:cantSplit/>
        </w:trPr>
        <w:tc>
          <w:tcPr>
            <w:tcW w:type="dxa" w:w="1900"/>
            <w:vAlign w:val="center"/>
          </w:tcPr>
          <w:p>
            <w:pPr>
              <w:spacing w:after="0"/>
            </w:pPr>
            <w:r>
              <w:rPr>
                <w:rFonts w:ascii="Calibri" w:hAnsi="Calibri" w:eastAsia="Calibri"/>
                <w:color w:val="172033"/>
                <w:sz w:val="17"/>
              </w:rPr>
              <w:t>Gestão de pendências</w:t>
            </w:r>
          </w:p>
        </w:tc>
        <w:tc>
          <w:tcPr>
            <w:tcW w:type="dxa" w:w="2300"/>
            <w:vAlign w:val="center"/>
          </w:tcPr>
          <w:p>
            <w:pPr>
              <w:spacing w:after="0"/>
            </w:pPr>
            <w:r>
              <w:rPr>
                <w:rFonts w:ascii="Calibri" w:hAnsi="Calibri" w:eastAsia="Calibri"/>
                <w:color w:val="172033"/>
                <w:sz w:val="17"/>
              </w:rPr>
              <w:t>Problema real de encontrabilidade e sequência</w:t>
            </w:r>
          </w:p>
        </w:tc>
        <w:tc>
          <w:tcPr>
            <w:tcW w:type="dxa" w:w="3760"/>
            <w:vAlign w:val="center"/>
          </w:tcPr>
          <w:p>
            <w:pPr>
              <w:spacing w:after="0"/>
            </w:pPr>
            <w:r>
              <w:rPr>
                <w:rFonts w:ascii="Calibri" w:hAnsi="Calibri" w:eastAsia="Calibri"/>
                <w:color w:val="172033"/>
                <w:sz w:val="17"/>
              </w:rPr>
              <w:t>Filtros úteis, hierarquia, ação principal e modais orientados</w:t>
            </w:r>
          </w:p>
        </w:tc>
        <w:tc>
          <w:tcPr>
            <w:tcW w:type="dxa" w:w="1400"/>
            <w:vAlign w:val="center"/>
          </w:tcPr>
          <w:p>
            <w:pPr>
              <w:spacing w:after="0"/>
            </w:pPr>
            <w:r>
              <w:rPr>
                <w:rFonts w:ascii="Calibri" w:hAnsi="Calibri" w:eastAsia="Calibri"/>
                <w:color w:val="172033"/>
                <w:sz w:val="17"/>
              </w:rPr>
              <w:t>Alta</w:t>
            </w:r>
          </w:p>
        </w:tc>
      </w:tr>
      <w:tr>
        <w:trPr>
          <w:cantSplit/>
        </w:trPr>
        <w:tc>
          <w:tcPr>
            <w:tcW w:type="dxa" w:w="1900"/>
            <w:shd w:fill="F8FAFC" w:val="clear"/>
            <w:vAlign w:val="center"/>
          </w:tcPr>
          <w:p>
            <w:pPr>
              <w:spacing w:after="0"/>
            </w:pPr>
            <w:r>
              <w:rPr>
                <w:rFonts w:ascii="Calibri" w:hAnsi="Calibri" w:eastAsia="Calibri"/>
                <w:color w:val="172033"/>
                <w:sz w:val="17"/>
              </w:rPr>
              <w:t>Tempo na etapa</w:t>
            </w:r>
          </w:p>
        </w:tc>
        <w:tc>
          <w:tcPr>
            <w:tcW w:type="dxa" w:w="2300"/>
            <w:shd w:fill="F8FAFC" w:val="clear"/>
            <w:vAlign w:val="center"/>
          </w:tcPr>
          <w:p>
            <w:pPr>
              <w:spacing w:after="0"/>
            </w:pPr>
            <w:r>
              <w:rPr>
                <w:rFonts w:ascii="Calibri" w:hAnsi="Calibri" w:eastAsia="Calibri"/>
                <w:color w:val="172033"/>
                <w:sz w:val="17"/>
              </w:rPr>
              <w:t>Inconsistência funcional no código</w:t>
            </w:r>
          </w:p>
        </w:tc>
        <w:tc>
          <w:tcPr>
            <w:tcW w:type="dxa" w:w="3760"/>
            <w:shd w:fill="F8FAFC" w:val="clear"/>
            <w:vAlign w:val="center"/>
          </w:tcPr>
          <w:p>
            <w:pPr>
              <w:spacing w:after="0"/>
            </w:pPr>
            <w:r>
              <w:rPr>
                <w:rFonts w:ascii="Calibri" w:hAnsi="Calibri" w:eastAsia="Calibri"/>
                <w:color w:val="172033"/>
                <w:sz w:val="17"/>
              </w:rPr>
              <w:t>Usar a projeção operacional canônica em lista, filtro e ordenação</w:t>
            </w:r>
          </w:p>
        </w:tc>
        <w:tc>
          <w:tcPr>
            <w:tcW w:type="dxa" w:w="1400"/>
            <w:shd w:fill="F8FAFC" w:val="clear"/>
            <w:vAlign w:val="center"/>
          </w:tcPr>
          <w:p>
            <w:pPr>
              <w:spacing w:after="0"/>
            </w:pPr>
            <w:r>
              <w:rPr>
                <w:rFonts w:ascii="Calibri" w:hAnsi="Calibri" w:eastAsia="Calibri"/>
                <w:color w:val="172033"/>
                <w:sz w:val="17"/>
              </w:rPr>
              <w:t>Alta</w:t>
            </w:r>
          </w:p>
        </w:tc>
      </w:tr>
      <w:tr>
        <w:trPr>
          <w:cantSplit/>
        </w:trPr>
        <w:tc>
          <w:tcPr>
            <w:tcW w:type="dxa" w:w="1900"/>
            <w:vAlign w:val="center"/>
          </w:tcPr>
          <w:p>
            <w:pPr>
              <w:spacing w:after="0"/>
            </w:pPr>
            <w:r>
              <w:rPr>
                <w:rFonts w:ascii="Calibri" w:hAnsi="Calibri" w:eastAsia="Calibri"/>
                <w:color w:val="172033"/>
                <w:sz w:val="17"/>
              </w:rPr>
              <w:t>Reabrir cancelada</w:t>
            </w:r>
          </w:p>
        </w:tc>
        <w:tc>
          <w:tcPr>
            <w:tcW w:type="dxa" w:w="2300"/>
            <w:vAlign w:val="center"/>
          </w:tcPr>
          <w:p>
            <w:pPr>
              <w:spacing w:after="0"/>
            </w:pPr>
            <w:r>
              <w:rPr>
                <w:rFonts w:ascii="Calibri" w:hAnsi="Calibri" w:eastAsia="Calibri"/>
                <w:color w:val="172033"/>
                <w:sz w:val="17"/>
              </w:rPr>
              <w:t>Contrato de domínio não exposto na tela</w:t>
            </w:r>
          </w:p>
        </w:tc>
        <w:tc>
          <w:tcPr>
            <w:tcW w:type="dxa" w:w="3760"/>
            <w:vAlign w:val="center"/>
          </w:tcPr>
          <w:p>
            <w:pPr>
              <w:spacing w:after="0"/>
            </w:pPr>
            <w:r>
              <w:rPr>
                <w:rFonts w:ascii="Calibri" w:hAnsi="Calibri" w:eastAsia="Calibri"/>
                <w:color w:val="172033"/>
                <w:sz w:val="17"/>
              </w:rPr>
              <w:t>Alinhar a interface à regra PEND-05 e às permissões</w:t>
            </w:r>
          </w:p>
        </w:tc>
        <w:tc>
          <w:tcPr>
            <w:tcW w:type="dxa" w:w="1400"/>
            <w:vAlign w:val="center"/>
          </w:tcPr>
          <w:p>
            <w:pPr>
              <w:spacing w:after="0"/>
            </w:pPr>
            <w:r>
              <w:rPr>
                <w:rFonts w:ascii="Calibri" w:hAnsi="Calibri" w:eastAsia="Calibri"/>
                <w:color w:val="172033"/>
                <w:sz w:val="17"/>
              </w:rPr>
              <w:t>Média</w:t>
            </w:r>
          </w:p>
        </w:tc>
      </w:tr>
    </w:tbl>
    <w:p>
      <w:pPr>
        <w:spacing w:after="0"/>
      </w:pPr>
    </w:p>
    <w:tbl>
      <w:tblPr>
        <w:tblW w:type="dxa" w:w="9360"/>
        <w:jc w:val="center"/>
        <w:tblLook w:firstColumn="1" w:firstRow="1" w:lastColumn="0" w:lastRow="0" w:noHBand="0" w:noVBand="1" w:val="04A0"/>
        <w:tblInd w:w="0" w:type="dxa"/>
        <w:tblLayout w:type="fixed"/>
        <w:tblBorders>
          <w:top w:val="single" w:sz="0" w:space="0" w:color="ECFDF3"/>
          <w:left w:val="single" w:sz="0" w:space="0" w:color="ECFDF3"/>
          <w:bottom w:val="single" w:sz="0" w:space="0" w:color="ECFDF3"/>
          <w:right w:val="single" w:sz="0" w:space="0" w:color="ECFDF3"/>
        </w:tblBorders>
      </w:tblPr>
      <w:tblGrid>
        <w:gridCol w:w="120"/>
        <w:gridCol w:w="9240"/>
      </w:tblGrid>
      <w:tr>
        <w:tc>
          <w:tcPr>
            <w:tcW w:type="dxa" w:w="120"/>
            <w:tcMar>
              <w:top w:w="120" w:type="dxa"/>
              <w:start w:w="0" w:type="dxa"/>
              <w:bottom w:w="120" w:type="dxa"/>
              <w:end w:w="0" w:type="dxa"/>
            </w:tcMar>
            <w:shd w:fill="067647" w:val="clear"/>
          </w:tcPr>
          <w:p/>
        </w:tc>
        <w:tc>
          <w:tcPr>
            <w:tcW w:type="dxa" w:w="9240"/>
            <w:tcMar>
              <w:top w:w="150" w:type="dxa"/>
              <w:start w:w="180" w:type="dxa"/>
              <w:bottom w:w="150" w:type="dxa"/>
              <w:end w:w="180" w:type="dxa"/>
            </w:tcMar>
            <w:shd w:fill="ECFDF3" w:val="clear"/>
          </w:tcPr>
          <w:p>
            <w:pPr>
              <w:spacing w:after="80"/>
            </w:pPr>
            <w:r>
              <w:rPr>
                <w:rFonts w:ascii="Calibri" w:hAnsi="Calibri" w:eastAsia="Calibri"/>
                <w:b/>
                <w:color w:val="067647"/>
                <w:sz w:val="22"/>
              </w:rPr>
              <w:t>Ordem recomendada</w:t>
            </w:r>
          </w:p>
          <w:p>
            <w:pPr>
              <w:widowControl/>
              <w:spacing w:after="0"/>
            </w:pPr>
            <w:r>
              <w:t>1) conter o incidente sem ampliar contratos; 2) unificar efeitos derivados e aplicar no-op semântico; 3) tornar módulos críticos determinísticos; 4) reparar somente dados ainda inconsistentes; 5) fechar a proteção definitiva por idempotência; 6) corrigir o contrato funcional da fila; 7) redesenhar a experiência em duas entregas; 8) concluir a resposta autoritativa e o desempenho estrutural.</w:t>
            </w:r>
          </w:p>
        </w:tc>
      </w:tr>
    </w:tbl>
    <w:p>
      <w:pPr>
        <w:spacing w:after="0"/>
      </w:pPr>
    </w:p>
    <w:p>
      <w:pPr>
        <w:pStyle w:val="Heading2"/>
        <w:keepNext/>
        <w:keepLines/>
        <w:widowControl/>
      </w:pPr>
      <w:r>
        <w:t>Como ler este plano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5260"/>
        <w:gridCol w:w="3200"/>
      </w:tblGrid>
      <w:tr>
        <w:trPr>
          <w:tblHeader w:val="true"/>
          <w:cantSplit/>
        </w:trPr>
        <w:tc>
          <w:tcPr>
            <w:tcW w:type="dxa" w:w="9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Parte</w:t>
            </w:r>
          </w:p>
        </w:tc>
        <w:tc>
          <w:tcPr>
            <w:tcW w:type="dxa" w:w="52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Conteúdo</w:t>
            </w:r>
          </w:p>
        </w:tc>
        <w:tc>
          <w:tcPr>
            <w:tcW w:type="dxa" w:w="32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Público principal</w:t>
            </w:r>
          </w:p>
        </w:tc>
      </w:tr>
      <w:tr>
        <w:trPr>
          <w:cantSplit/>
        </w:trPr>
        <w:tc>
          <w:tcPr>
            <w:tcW w:type="dxa" w:w="900"/>
            <w:vAlign w:val="center"/>
          </w:tcPr>
          <w:p>
            <w:pPr>
              <w:spacing w:after="0"/>
            </w:pPr>
            <w:r>
              <w:rPr>
                <w:rFonts w:ascii="Calibri" w:hAnsi="Calibri" w:eastAsia="Calibri"/>
                <w:color w:val="172033"/>
                <w:sz w:val="17"/>
              </w:rPr>
              <w:t>I</w:t>
            </w:r>
          </w:p>
        </w:tc>
        <w:tc>
          <w:tcPr>
            <w:tcW w:type="dxa" w:w="5260"/>
            <w:vAlign w:val="center"/>
          </w:tcPr>
          <w:p>
            <w:pPr>
              <w:spacing w:after="0"/>
            </w:pPr>
            <w:r>
              <w:rPr>
                <w:rFonts w:ascii="Calibri" w:hAnsi="Calibri" w:eastAsia="Calibri"/>
                <w:color w:val="172033"/>
                <w:sz w:val="17"/>
              </w:rPr>
              <w:t>Despesas, consolidação, Assessoria e prontidão</w:t>
            </w:r>
          </w:p>
        </w:tc>
        <w:tc>
          <w:tcPr>
            <w:tcW w:type="dxa" w:w="3200"/>
            <w:vAlign w:val="center"/>
          </w:tcPr>
          <w:p>
            <w:pPr>
              <w:spacing w:after="0"/>
            </w:pPr>
            <w:r>
              <w:rPr>
                <w:rFonts w:ascii="Calibri" w:hAnsi="Calibri" w:eastAsia="Calibri"/>
                <w:color w:val="172033"/>
                <w:sz w:val="17"/>
              </w:rPr>
              <w:t>Produto, desenvolvimento e QA</w:t>
            </w:r>
          </w:p>
        </w:tc>
      </w:tr>
      <w:tr>
        <w:trPr>
          <w:cantSplit/>
        </w:trPr>
        <w:tc>
          <w:tcPr>
            <w:tcW w:type="dxa" w:w="900"/>
            <w:shd w:fill="F8FAFC" w:val="clear"/>
            <w:vAlign w:val="center"/>
          </w:tcPr>
          <w:p>
            <w:pPr>
              <w:spacing w:after="0"/>
            </w:pPr>
            <w:r>
              <w:rPr>
                <w:rFonts w:ascii="Calibri" w:hAnsi="Calibri" w:eastAsia="Calibri"/>
                <w:color w:val="172033"/>
                <w:sz w:val="17"/>
              </w:rPr>
              <w:t>II</w:t>
            </w:r>
          </w:p>
        </w:tc>
        <w:tc>
          <w:tcPr>
            <w:tcW w:type="dxa" w:w="5260"/>
            <w:shd w:fill="F8FAFC" w:val="clear"/>
            <w:vAlign w:val="center"/>
          </w:tcPr>
          <w:p>
            <w:pPr>
              <w:spacing w:after="0"/>
            </w:pPr>
            <w:r>
              <w:rPr>
                <w:rFonts w:ascii="Calibri" w:hAnsi="Calibri" w:eastAsia="Calibri"/>
                <w:color w:val="172033"/>
                <w:sz w:val="17"/>
              </w:rPr>
              <w:t>Gestão de pendências: regra preservada, defeitos e novo desenho</w:t>
            </w:r>
          </w:p>
        </w:tc>
        <w:tc>
          <w:tcPr>
            <w:tcW w:type="dxa" w:w="3200"/>
            <w:shd w:fill="F8FAFC" w:val="clear"/>
            <w:vAlign w:val="center"/>
          </w:tcPr>
          <w:p>
            <w:pPr>
              <w:spacing w:after="0"/>
            </w:pPr>
            <w:r>
              <w:rPr>
                <w:rFonts w:ascii="Calibri" w:hAnsi="Calibri" w:eastAsia="Calibri"/>
                <w:color w:val="172033"/>
                <w:sz w:val="17"/>
              </w:rPr>
              <w:t>Produto, UX, desenvolvimento e usuários-chave</w:t>
            </w:r>
          </w:p>
        </w:tc>
      </w:tr>
      <w:tr>
        <w:trPr>
          <w:cantSplit/>
        </w:trPr>
        <w:tc>
          <w:tcPr>
            <w:tcW w:type="dxa" w:w="900"/>
            <w:vAlign w:val="center"/>
          </w:tcPr>
          <w:p>
            <w:pPr>
              <w:spacing w:after="0"/>
            </w:pPr>
            <w:r>
              <w:rPr>
                <w:rFonts w:ascii="Calibri" w:hAnsi="Calibri" w:eastAsia="Calibri"/>
                <w:color w:val="172033"/>
                <w:sz w:val="17"/>
              </w:rPr>
              <w:t>III</w:t>
            </w:r>
          </w:p>
        </w:tc>
        <w:tc>
          <w:tcPr>
            <w:tcW w:type="dxa" w:w="5260"/>
            <w:vAlign w:val="center"/>
          </w:tcPr>
          <w:p>
            <w:pPr>
              <w:spacing w:after="0"/>
            </w:pPr>
            <w:r>
              <w:rPr>
                <w:rFonts w:ascii="Calibri" w:hAnsi="Calibri" w:eastAsia="Calibri"/>
                <w:color w:val="172033"/>
                <w:sz w:val="17"/>
              </w:rPr>
              <w:t>Arquitetura de mudança, PRs, testes, implantação e métricas</w:t>
            </w:r>
          </w:p>
        </w:tc>
        <w:tc>
          <w:tcPr>
            <w:tcW w:type="dxa" w:w="3200"/>
            <w:vAlign w:val="center"/>
          </w:tcPr>
          <w:p>
            <w:pPr>
              <w:spacing w:after="0"/>
            </w:pPr>
            <w:r>
              <w:rPr>
                <w:rFonts w:ascii="Calibri" w:hAnsi="Calibri" w:eastAsia="Calibri"/>
                <w:color w:val="172033"/>
                <w:sz w:val="17"/>
              </w:rPr>
              <w:t>Desenvolvimento, QA e operação</w:t>
            </w:r>
          </w:p>
        </w:tc>
      </w:tr>
      <w:tr>
        <w:trPr>
          <w:cantSplit/>
        </w:trPr>
        <w:tc>
          <w:tcPr>
            <w:tcW w:type="dxa" w:w="900"/>
            <w:shd w:fill="F8FAFC" w:val="clear"/>
            <w:vAlign w:val="center"/>
          </w:tcPr>
          <w:p>
            <w:pPr>
              <w:spacing w:after="0"/>
            </w:pPr>
            <w:r>
              <w:rPr>
                <w:rFonts w:ascii="Calibri" w:hAnsi="Calibri" w:eastAsia="Calibri"/>
                <w:color w:val="172033"/>
                <w:sz w:val="17"/>
              </w:rPr>
              <w:t>Anexos</w:t>
            </w:r>
          </w:p>
        </w:tc>
        <w:tc>
          <w:tcPr>
            <w:tcW w:type="dxa" w:w="5260"/>
            <w:shd w:fill="F8FAFC" w:val="clear"/>
            <w:vAlign w:val="center"/>
          </w:tcPr>
          <w:p>
            <w:pPr>
              <w:spacing w:after="0"/>
            </w:pPr>
            <w:r>
              <w:rPr>
                <w:rFonts w:ascii="Calibri" w:hAnsi="Calibri" w:eastAsia="Calibri"/>
                <w:color w:val="172033"/>
                <w:sz w:val="17"/>
              </w:rPr>
              <w:t>Capturas de tela e trechos exatos do código</w:t>
            </w:r>
          </w:p>
        </w:tc>
        <w:tc>
          <w:tcPr>
            <w:tcW w:type="dxa" w:w="3200"/>
            <w:shd w:fill="F8FAFC" w:val="clear"/>
            <w:vAlign w:val="center"/>
          </w:tcPr>
          <w:p>
            <w:pPr>
              <w:spacing w:after="0"/>
            </w:pPr>
            <w:r>
              <w:rPr>
                <w:rFonts w:ascii="Calibri" w:hAnsi="Calibri" w:eastAsia="Calibri"/>
                <w:color w:val="172033"/>
                <w:sz w:val="17"/>
              </w:rPr>
              <w:t>Evidência e rastreabilidade</w:t>
            </w:r>
          </w:p>
        </w:tc>
      </w:tr>
    </w:tbl>
    <w:p>
      <w:pPr>
        <w:spacing w:after="0"/>
      </w:pPr>
    </w:p>
    <w:p>
      <w:pPr>
        <w:pStyle w:val="Heading1"/>
        <w:keepNext/>
        <w:keepLines/>
        <w:widowControl/>
      </w:pPr>
      <w:r>
        <w:t>1. Escopo, método e limites</w:t>
      </w:r>
    </w:p>
    <w:p>
      <w:pPr>
        <w:widowControl/>
      </w:pPr>
      <w:r>
        <w:t>A proposta foi construída a partir do repositório oficial, regras de domínio, contratos funcionais, testes automatizados, migrações, integração com Supabase e estado observado no ambiente de produção em 24 de agosto de 2026.</w:t>
      </w:r>
    </w:p>
    <w:p>
      <w:pPr>
        <w:pStyle w:val="ReportBullet"/>
        <w:widowControl/>
      </w:pPr>
      <w:r>
        <w:t>Código analisado: commit 4542bbfdba7b4a6073445c8f3ea6ceafbb660dba, com árvore de trabalho limpa no momento da revisão.</w:t>
      </w:r>
    </w:p>
    <w:p>
      <w:pPr>
        <w:pStyle w:val="ReportBullet"/>
        <w:widowControl/>
      </w:pPr>
      <w:r>
        <w:t>Produção: 17 despesas/notas, 113 avaliações mensais e 1.562 registros de histórico administrativo na fotografia usada para o diagnóstico de gravação.</w:t>
      </w:r>
    </w:p>
    <w:p>
      <w:pPr>
        <w:pStyle w:val="ReportBullet"/>
        <w:widowControl/>
      </w:pPr>
      <w:r>
        <w:t>Pendências: 22 registros no total; 21 ativos (19 abertas e 2 aguardando reanálise), 1 cancelado, 0 resolvidos, 5 tentativas e 0 contatos vinculados.</w:t>
      </w:r>
    </w:p>
    <w:p>
      <w:pPr>
        <w:pStyle w:val="ReportBullet"/>
        <w:widowControl/>
      </w:pPr>
      <w:r>
        <w:t>Testes focados: o conjunto principal contém 22 testes; o conjunto ampliado acrescenta 9 testes de integração da instrumentação operacional, totalizando 31. Ambos passaram; o registro de execução deve sempre citar os arquivos/comando, não apenas a quantidade.</w:t>
      </w:r>
    </w:p>
    <w:p>
      <w:pPr>
        <w:pStyle w:val="ReportBullet"/>
        <w:widowControl/>
      </w:pPr>
      <w:r>
        <w:t>As capturas mostram o comportamento real percebido pelos usuários em celular e desktop; elas são reproduzidas no Anexo A.</w:t>
      </w:r>
    </w:p>
    <w:tbl>
      <w:tblPr>
        <w:tblW w:type="dxa" w:w="9360"/>
        <w:jc w:val="center"/>
        <w:tblLook w:firstColumn="1" w:firstRow="1" w:lastColumn="0" w:lastRow="0" w:noHBand="0" w:noVBand="1" w:val="04A0"/>
        <w:tblInd w:w="0" w:type="dxa"/>
        <w:tblLayout w:type="fixed"/>
        <w:tblBorders>
          <w:top w:val="single" w:sz="0" w:space="0" w:color="FFFAEB"/>
          <w:left w:val="single" w:sz="0" w:space="0" w:color="FFFAEB"/>
          <w:bottom w:val="single" w:sz="0" w:space="0" w:color="FFFAEB"/>
          <w:right w:val="single" w:sz="0" w:space="0" w:color="FFFAEB"/>
        </w:tblBorders>
      </w:tblPr>
      <w:tblGrid>
        <w:gridCol w:w="120"/>
        <w:gridCol w:w="9240"/>
      </w:tblGrid>
      <w:tr>
        <w:tc>
          <w:tcPr>
            <w:tcW w:type="dxa" w:w="120"/>
            <w:tcMar>
              <w:top w:w="120" w:type="dxa"/>
              <w:start w:w="0" w:type="dxa"/>
              <w:bottom w:w="120" w:type="dxa"/>
              <w:end w:w="0" w:type="dxa"/>
            </w:tcMar>
            <w:shd w:fill="B54708" w:val="clear"/>
          </w:tcPr>
          <w:p/>
        </w:tc>
        <w:tc>
          <w:tcPr>
            <w:tcW w:type="dxa" w:w="9240"/>
            <w:tcMar>
              <w:top w:w="150" w:type="dxa"/>
              <w:start w:w="180" w:type="dxa"/>
              <w:bottom w:w="150" w:type="dxa"/>
              <w:end w:w="180" w:type="dxa"/>
            </w:tcMar>
            <w:shd w:fill="FFFAEB" w:val="clear"/>
          </w:tcPr>
          <w:p>
            <w:pPr>
              <w:spacing w:after="80"/>
            </w:pPr>
            <w:r>
              <w:rPr>
                <w:rFonts w:ascii="Calibri" w:hAnsi="Calibri" w:eastAsia="Calibri"/>
                <w:b/>
                <w:color w:val="B54708"/>
                <w:sz w:val="22"/>
              </w:rPr>
              <w:t>Limite desta entrega</w:t>
            </w:r>
          </w:p>
          <w:p>
            <w:pPr>
              <w:widowControl/>
              <w:spacing w:after="0"/>
            </w:pPr>
            <w:r>
              <w:t>Este documento organiza a correção. Não cria migration, não altera Supabase, não faz commit, não abre PR e não publica deployment.</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0" w:space="0" w:color="6D28D9"/>
          <w:left w:val="single" w:sz="0" w:space="0" w:color="6D28D9"/>
          <w:bottom w:val="single" w:sz="0" w:space="0" w:color="6D28D9"/>
          <w:right w:val="single" w:sz="0" w:space="0" w:color="6D28D9"/>
        </w:tblBorders>
      </w:tblPr>
      <w:tblGrid>
        <w:gridCol w:w="9360"/>
      </w:tblGrid>
      <w:tr>
        <w:tc>
          <w:tcPr>
            <w:tcW w:type="dxa" w:w="9360"/>
            <w:tcMar>
              <w:top w:w="360" w:type="dxa"/>
              <w:start w:w="360" w:type="dxa"/>
              <w:bottom w:w="360" w:type="dxa"/>
              <w:end w:w="360" w:type="dxa"/>
            </w:tcMar>
            <w:shd w:fill="4C1D95" w:val="clear"/>
          </w:tcPr>
          <w:p>
            <w:pPr>
              <w:jc w:val="left"/>
            </w:pPr>
            <w:r>
              <w:rPr>
                <w:rFonts w:ascii="Calibri" w:hAnsi="Calibri" w:eastAsia="Calibri"/>
                <w:b/>
                <w:color w:val="D8B4FE"/>
                <w:sz w:val="20"/>
              </w:rPr>
              <w:t>PARTE I</w:t>
            </w:r>
          </w:p>
          <w:p>
            <w:pPr>
              <w:spacing w:before="120" w:after="160"/>
            </w:pPr>
            <w:r>
              <w:rPr>
                <w:rFonts w:ascii="Calibri" w:hAnsi="Calibri" w:eastAsia="Calibri"/>
                <w:b/>
                <w:color w:val="FFFFFF"/>
                <w:sz w:val="46"/>
              </w:rPr>
              <w:t>Correções operacionais prioritárias</w:t>
            </w:r>
          </w:p>
          <w:p>
            <w:r>
              <w:rPr>
                <w:rFonts w:ascii="Calibri" w:hAnsi="Calibri" w:eastAsia="Calibri"/>
                <w:color w:val="EDE9FE"/>
                <w:sz w:val="22"/>
              </w:rPr>
              <w:t>Despesas, consolidação, Consulta Assessoria e inicialização segura dos fluxos críticos.</w:t>
            </w:r>
          </w:p>
        </w:tc>
      </w:tr>
    </w:tbl>
    <w:p/>
    <w:p>
      <w:pPr>
        <w:pStyle w:val="Heading1"/>
        <w:keepNext/>
        <w:keepLines/>
        <w:widowControl/>
      </w:pPr>
      <w:r>
        <w:t>2. Despesas: envio duplicado e lentidão</w:t>
      </w:r>
    </w:p>
    <w:p>
      <w:pPr>
        <w:pStyle w:val="Heading2"/>
        <w:keepNext/>
        <w:keepLines/>
        <w:widowControl/>
      </w:pPr>
      <w:r>
        <w:t>2.1 O que é defeito</w:t>
      </w:r>
    </w:p>
    <w:p>
      <w:pPr>
        <w:widowControl/>
      </w:pPr>
      <w:r>
        <w:t>Na inclusão, cada execução cria um identificador novo. Como o formulário permanece acionável durante o salvamento, dois cliques rápidos podem iniciar duas operações legítimas para o servidor e gerar duas despesas. Na edição, a segunda chamada tende a produzir atualização repetida, conflito ou histórico redundante.</w:t>
      </w:r>
    </w:p>
    <w:p>
      <w:pPr>
        <w:widowControl/>
      </w:pPr>
      <w:r>
        <w:t>A demora percebida não está limitada à digitação ou à despesa “a identificar”. O maior custo ocorre depois da gravação, quando o caminho de segurança pode reler conjuntos inteiros e redesenhar uma região ampla da aplicação.</w:t>
      </w:r>
    </w:p>
    <w:tbl>
      <w:tblPr>
        <w:tblW w:type="dxa" w:w="9360"/>
        <w:jc w:val="center"/>
        <w:tblLook w:firstColumn="1" w:firstRow="1" w:lastColumn="0" w:lastRow="0" w:noHBand="0" w:noVBand="1" w:val="04A0"/>
        <w:tblInd w:w="0" w:type="dxa"/>
        <w:tblLayout w:type="fixed"/>
        <w:tblBorders>
          <w:top w:val="single" w:sz="0" w:space="0" w:color="FEF3F2"/>
          <w:left w:val="single" w:sz="0" w:space="0" w:color="FEF3F2"/>
          <w:bottom w:val="single" w:sz="0" w:space="0" w:color="FEF3F2"/>
          <w:right w:val="single" w:sz="0" w:space="0" w:color="FEF3F2"/>
        </w:tblBorders>
      </w:tblPr>
      <w:tblGrid>
        <w:gridCol w:w="120"/>
        <w:gridCol w:w="9240"/>
      </w:tblGrid>
      <w:tr>
        <w:tc>
          <w:tcPr>
            <w:tcW w:type="dxa" w:w="120"/>
            <w:tcMar>
              <w:top w:w="120" w:type="dxa"/>
              <w:start w:w="0" w:type="dxa"/>
              <w:bottom w:w="120" w:type="dxa"/>
              <w:end w:w="0" w:type="dxa"/>
            </w:tcMar>
            <w:shd w:fill="B42318" w:val="clear"/>
          </w:tcPr>
          <w:p/>
        </w:tc>
        <w:tc>
          <w:tcPr>
            <w:tcW w:type="dxa" w:w="9240"/>
            <w:tcMar>
              <w:top w:w="150" w:type="dxa"/>
              <w:start w:w="180" w:type="dxa"/>
              <w:bottom w:w="150" w:type="dxa"/>
              <w:end w:w="180" w:type="dxa"/>
            </w:tcMar>
            <w:shd w:fill="FEF3F2" w:val="clear"/>
          </w:tcPr>
          <w:p>
            <w:pPr>
              <w:spacing w:after="80"/>
            </w:pPr>
            <w:r>
              <w:rPr>
                <w:rFonts w:ascii="Calibri" w:hAnsi="Calibri" w:eastAsia="Calibri"/>
                <w:b/>
                <w:color w:val="B42318"/>
                <w:sz w:val="22"/>
              </w:rPr>
              <w:t>Conclusão</w:t>
            </w:r>
          </w:p>
          <w:p>
            <w:pPr>
              <w:widowControl/>
              <w:spacing w:after="0"/>
            </w:pPr>
            <w:r>
              <w:t>A duplicação é um defeito real. A lentidão também merece correção e deve ser medida em duas partes: tempo da gravação e trabalho executado na tela após a resposta.</w:t>
            </w:r>
          </w:p>
        </w:tc>
      </w:tr>
    </w:tbl>
    <w:p>
      <w:pPr>
        <w:spacing w:after="0"/>
      </w:pPr>
    </w:p>
    <w:p>
      <w:pPr>
        <w:pStyle w:val="Heading2"/>
        <w:keepNext/>
        <w:keepLines/>
        <w:widowControl/>
      </w:pPr>
      <w:r>
        <w:t>2.2 Correção imediata e de baixo risco</w:t>
      </w:r>
    </w:p>
    <w:p>
      <w:pPr>
        <w:pStyle w:val="ReportBullet"/>
        <w:widowControl/>
      </w:pPr>
      <w:r>
        <w:t>No primeiro clique ou Enter, marcar o formulário de forma síncrona como “salvando”.</w:t>
      </w:r>
    </w:p>
    <w:p>
      <w:pPr>
        <w:pStyle w:val="ReportBullet"/>
        <w:widowControl/>
      </w:pPr>
      <w:r>
        <w:t>Desabilitar botão e Enter, trocar o rótulo para “Salvando…” e ignorar novas tentativas do mesmo formulário.</w:t>
      </w:r>
    </w:p>
    <w:p>
      <w:pPr>
        <w:pStyle w:val="ReportBullet"/>
        <w:widowControl/>
      </w:pPr>
      <w:r>
        <w:t>Aplicar a trava a inclusão e edição de todos os tipos: consumo, permanente, serviço e “a identificar”.</w:t>
      </w:r>
    </w:p>
    <w:p>
      <w:pPr>
        <w:pStyle w:val="ReportBullet"/>
        <w:widowControl/>
      </w:pPr>
      <w:r>
        <w:t>Em erro tratado, reabilitar o formulário; em sucesso, fechar somente depois de aplicar a resposta.</w:t>
      </w:r>
    </w:p>
    <w:p>
      <w:pPr>
        <w:pStyle w:val="ReportBullet"/>
        <w:widowControl/>
      </w:pPr>
      <w:r>
        <w:t>Declarar diretamente no comando central `invoice:save` que `administrativeLogs` não precisa ser relido após uma RPC bem-sucedida; esta proteção não pode depender do módulo opcional de desempenho.</w:t>
      </w:r>
    </w:p>
    <w:p>
      <w:r>
        <w:br w:type="page"/>
      </w:r>
    </w:p>
    <w:p>
      <w:pPr>
        <w:pStyle w:val="Heading2"/>
        <w:keepNext/>
        <w:keepLines/>
        <w:widowControl/>
      </w:pPr>
      <w:r>
        <w:t>2.3 Desempenho no primeiro ciclo</w:t>
      </w:r>
    </w:p>
    <w:p>
      <w:pPr>
        <w:pStyle w:val="ReportBullet"/>
        <w:widowControl/>
      </w:pPr>
      <w:r>
        <w:t>Usar o retorno já disponível da gravação para atualizar despesa, eventual bem e avaliação afetada.</w:t>
      </w:r>
    </w:p>
    <w:p>
      <w:pPr>
        <w:pStyle w:val="ReportBullet"/>
        <w:widowControl/>
      </w:pPr>
      <w:r>
        <w:t>Não reler todos os 1.562 históricos após cada nota; buscar somente o registro/contexto necessário quando houver fallback.</w:t>
      </w:r>
    </w:p>
    <w:p>
      <w:pPr>
        <w:pStyle w:val="ReportBullet"/>
        <w:widowControl/>
      </w:pPr>
      <w:r>
        <w:t>Não transformar, nesta primeira correção, o histórico administrativo inteiro em carregamento sob demanda. Essa remodelagem exige análise própria de auditoria, alertas e exportações.</w:t>
      </w:r>
    </w:p>
    <w:p>
      <w:pPr>
        <w:pStyle w:val="ReportBullet"/>
        <w:widowControl/>
      </w:pPr>
      <w:r>
        <w:t>Medir clique→feedback, RPC, aplicação local e estabilidade visual; enviar somente tempos agregados, nunca dados de negócio.</w:t>
      </w:r>
    </w:p>
    <w:p>
      <w:pPr>
        <w:pStyle w:val="Heading2"/>
        <w:keepNext/>
        <w:keepLines/>
        <w:widowControl/>
      </w:pPr>
      <w:r>
        <w:t>2.4 No-op semântico depende da regra canônica</w:t>
      </w:r>
    </w:p>
    <w:p>
      <w:pPr>
        <w:widowControl/>
      </w:pPr>
      <w:r>
        <w:t>A edição sem mudança continua recomendada, mas não entra no PR emergencial. Ela deve ser construída depois de existir uma única função que derive todos os efeitos da despesa. Isso evita comparar apenas descrição, tipo, número e valor e, logo depois, refazer a lógica para considerar Assessoria, bem patrimonial e consolidação.</w:t>
      </w:r>
    </w:p>
    <w:p>
      <w:pPr>
        <w:pStyle w:val="ReportBullet"/>
        <w:widowControl/>
      </w:pPr>
      <w:r>
        <w:t>Comparar a despesa normalizada e o estado desejado do eventual bem vinculado.</w:t>
      </w:r>
    </w:p>
    <w:p>
      <w:pPr>
        <w:pStyle w:val="ReportBullet"/>
        <w:widowControl/>
      </w:pPr>
      <w:r>
        <w:t>Calcular a avaliação mensal resultante, inclusive Consulta Assessoria, antes de decidir que nada mudou.</w:t>
      </w:r>
    </w:p>
    <w:p>
      <w:pPr>
        <w:pStyle w:val="ReportBullet"/>
        <w:widowControl/>
      </w:pPr>
      <w:r>
        <w:t>Considerar criação, atualização ou remoção de bem, além de qualquer necessidade real de reabrir consolidação.</w:t>
      </w:r>
    </w:p>
    <w:p>
      <w:pPr>
        <w:pStyle w:val="ReportBullet"/>
        <w:widowControl/>
      </w:pPr>
      <w:r>
        <w:t>Somente quando todos os efeitos persistentes já estiverem no estado correto, retornar `unchanged: true` sem RPC, histórico, incremento de versão ou reabertura.</w:t>
      </w:r>
    </w:p>
    <w:p>
      <w:pPr>
        <w:pStyle w:val="ReportBullet"/>
        <w:widowControl/>
      </w:pPr>
      <w:r>
        <w:t>Se um estado derivado estiver inconsistente, a operação não é vazia: deve reconciliá-lo mesmo que os campos visíveis da despesa sejam iguais.</w:t>
      </w:r>
    </w:p>
    <w:p>
      <w:pPr>
        <w:pStyle w:val="Heading2"/>
        <w:keepNext/>
        <w:keepLines/>
        <w:widowControl/>
      </w:pPr>
      <w:r>
        <w:t>2.5 Defesa definitiva, em PR separado</w:t>
      </w:r>
    </w:p>
    <w:p>
      <w:pPr>
        <w:widowControl/>
      </w:pPr>
      <w:r>
        <w:t>A proteção do cliente resolve o clique duplo comum, mas não cobre resposta perdida nem repetição automática de rede. Por isso, a etapa estrutural deve adicionar uma chave de operação criada uma única vez para a intenção e reservada atomicamente na RPC. Repetir a mesma chave devolve o mesmo resultado, sem nova despesa ou histórico.</w:t>
      </w:r>
    </w:p>
    <w:p>
      <w:pPr>
        <w:widowControl/>
      </w:pPr>
      <w:r>
        <w:t>Não se deve deduplicar por descrição, valor, nota ou horário. Duas despesas reais podem ser iguais nesses campos; a identidade correta é a intenção de operação.</w:t>
      </w:r>
    </w:p>
    <w:tbl>
      <w:tblPr>
        <w:tblW w:type="dxa" w:w="9360"/>
        <w:jc w:val="center"/>
        <w:tblLook w:firstColumn="1" w:firstRow="1" w:lastColumn="0" w:lastRow="0" w:noHBand="0" w:noVBand="1" w:val="04A0"/>
        <w:tblInd w:w="0" w:type="dxa"/>
        <w:tblLayout w:type="fixed"/>
        <w:tblBorders>
          <w:top w:val="single" w:sz="0" w:space="0" w:color="EAF2F8"/>
          <w:left w:val="single" w:sz="0" w:space="0" w:color="EAF2F8"/>
          <w:bottom w:val="single" w:sz="0" w:space="0" w:color="EAF2F8"/>
          <w:right w:val="single" w:sz="0" w:space="0" w:color="EAF2F8"/>
        </w:tblBorders>
      </w:tblPr>
      <w:tblGrid>
        <w:gridCol w:w="120"/>
        <w:gridCol w:w="9240"/>
      </w:tblGrid>
      <w:tr>
        <w:tc>
          <w:tcPr>
            <w:tcW w:type="dxa" w:w="120"/>
            <w:tcMar>
              <w:top w:w="120" w:type="dxa"/>
              <w:start w:w="0" w:type="dxa"/>
              <w:bottom w:w="120" w:type="dxa"/>
              <w:end w:w="0" w:type="dxa"/>
            </w:tcMar>
            <w:shd w:fill="2E74B5" w:val="clear"/>
          </w:tcPr>
          <w:p/>
        </w:tc>
        <w:tc>
          <w:tcPr>
            <w:tcW w:type="dxa" w:w="9240"/>
            <w:tcMar>
              <w:top w:w="150" w:type="dxa"/>
              <w:start w:w="180" w:type="dxa"/>
              <w:bottom w:w="150" w:type="dxa"/>
              <w:end w:w="180" w:type="dxa"/>
            </w:tcMar>
            <w:shd w:fill="EAF2F8" w:val="clear"/>
          </w:tcPr>
          <w:p>
            <w:pPr>
              <w:spacing w:after="80"/>
            </w:pPr>
            <w:r>
              <w:rPr>
                <w:rFonts w:ascii="Calibri" w:hAnsi="Calibri" w:eastAsia="Calibri"/>
                <w:b/>
                <w:color w:val="2E74B5"/>
                <w:sz w:val="22"/>
              </w:rPr>
              <w:t>Limite que deve ficar explícito</w:t>
            </w:r>
          </w:p>
          <w:p>
            <w:pPr>
              <w:widowControl/>
              <w:spacing w:after="0"/>
            </w:pPr>
            <w:r>
              <w:t>Duas abas que reutilizem a mesma intenção/chave ficam protegidas. Duas inclusões independentes, cada uma com chave própria, continuam sendo tratadas como duas despesas legítimas. Idempotência não pode adivinhar que conteúdos iguais representam o mesmo lançamento.</w:t>
            </w:r>
          </w:p>
        </w:tc>
      </w:tr>
    </w:tbl>
    <w:p>
      <w:pPr>
        <w:spacing w:after="0"/>
      </w:pPr>
    </w:p>
    <w:p>
      <w:pPr>
        <w:pStyle w:val="Heading1"/>
        <w:keepNext/>
        <w:keepLines/>
        <w:widowControl/>
      </w:pPr>
      <w:r>
        <w:t>3. Consolidação e regra canônica da Assessoria</w:t>
      </w:r>
    </w:p>
    <w:p>
      <w:pPr>
        <w:pStyle w:val="Heading2"/>
        <w:keepNext/>
        <w:keepLines/>
        <w:widowControl/>
      </w:pPr>
      <w:r>
        <w:t>3.1 Causa confirmada do bloqueio</w:t>
      </w:r>
    </w:p>
    <w:p>
      <w:pPr>
        <w:widowControl/>
      </w:pPr>
      <w:r>
        <w:t>Na escola 04.10.002, competência março de 2026 e programa Educação Conectada, a tela mostra Consulta Assessoria como “Não se aplica”, porém o campo usado pela consolidação está vazio. A consolidação lê o dado persistido, não a aparência calculada pela tela, e por isso pede o preenchimento desse item.</w:t>
      </w:r>
    </w:p>
    <w:p>
      <w:pPr>
        <w:widowControl/>
      </w:pPr>
      <w:r>
        <w:t>O valor “Não analisado” da Nota Fiscal, circulado na imagem, não é a causa do bloqueio. A análise técnica pode permanecer não analisada sem impedir a consolidação da bonificação.</w:t>
      </w:r>
    </w:p>
    <w:tbl>
      <w:tblPr>
        <w:tblW w:type="dxa" w:w="9360"/>
        <w:jc w:val="center"/>
        <w:tblLook w:firstColumn="1" w:firstRow="1" w:lastColumn="0" w:lastRow="0" w:noHBand="0" w:noVBand="1" w:val="04A0"/>
        <w:tblInd w:w="0" w:type="dxa"/>
        <w:tblLayout w:type="fixed"/>
        <w:tblBorders>
          <w:top w:val="single" w:sz="0" w:space="0" w:color="FFFAEB"/>
          <w:left w:val="single" w:sz="0" w:space="0" w:color="FFFAEB"/>
          <w:bottom w:val="single" w:sz="0" w:space="0" w:color="FFFAEB"/>
          <w:right w:val="single" w:sz="0" w:space="0" w:color="FFFAEB"/>
        </w:tblBorders>
      </w:tblPr>
      <w:tblGrid>
        <w:gridCol w:w="120"/>
        <w:gridCol w:w="9240"/>
      </w:tblGrid>
      <w:tr>
        <w:tc>
          <w:tcPr>
            <w:tcW w:type="dxa" w:w="120"/>
            <w:tcMar>
              <w:top w:w="120" w:type="dxa"/>
              <w:start w:w="0" w:type="dxa"/>
              <w:bottom w:w="120" w:type="dxa"/>
              <w:end w:w="0" w:type="dxa"/>
            </w:tcMar>
            <w:shd w:fill="B54708" w:val="clear"/>
          </w:tcPr>
          <w:p/>
        </w:tc>
        <w:tc>
          <w:tcPr>
            <w:tcW w:type="dxa" w:w="9240"/>
            <w:tcMar>
              <w:top w:w="150" w:type="dxa"/>
              <w:start w:w="180" w:type="dxa"/>
              <w:bottom w:w="150" w:type="dxa"/>
              <w:end w:w="180" w:type="dxa"/>
            </w:tcMar>
            <w:shd w:fill="FFFAEB" w:val="clear"/>
          </w:tcPr>
          <w:p>
            <w:pPr>
              <w:spacing w:after="80"/>
            </w:pPr>
            <w:r>
              <w:rPr>
                <w:rFonts w:ascii="Calibri" w:hAnsi="Calibri" w:eastAsia="Calibri"/>
                <w:b/>
                <w:color w:val="B54708"/>
                <w:sz w:val="22"/>
              </w:rPr>
              <w:t>Não corrigir o sintoma</w:t>
            </w:r>
          </w:p>
          <w:p>
            <w:pPr>
              <w:widowControl/>
              <w:spacing w:after="0"/>
            </w:pPr>
            <w:r>
              <w:t>A consolidação não deve simplesmente ignorar Consulta Assessoria vazia. O sistema precisa persistir a mesma verdade que mostra: sem nota de serviço, Assessoria = Não se aplica.</w:t>
            </w:r>
          </w:p>
        </w:tc>
      </w:tr>
    </w:tbl>
    <w:p>
      <w:pPr>
        <w:spacing w:after="0"/>
      </w:pPr>
    </w:p>
    <w:p>
      <w:pPr>
        <w:pStyle w:val="Heading2"/>
        <w:keepNext/>
        <w:keepLines/>
        <w:widowControl/>
      </w:pPr>
      <w:r>
        <w:t>3.2 Regra única</w:t>
      </w:r>
    </w:p>
    <w:p>
      <w:pPr>
        <w:widowControl/>
      </w:pPr>
      <w:r>
        <w:t>O serviço já possui `syncServiceRequirement()`, que deriva a Assessoria a partir das notas de serviço. Para que a regra seja realmente única entre serviços, o cálculo puro de agregação deve ser extraído para um módulo de domínio compartilhado. `InvoiceService` e `VerificationService` passam a chamar esse mesmo módulo; `syncServiceRequirement()` permanece como a aplicação do resultado ao estado mensal, e nenhuma transição mantém uma cópia paralela da regra.</w:t>
      </w:r>
    </w:p>
    <w:p>
      <w:pPr>
        <w:pStyle w:val="ReportBullet"/>
        <w:widowControl/>
      </w:pPr>
      <w:r>
        <w:t>Sem nota identificada como serviço: bonificação de Consulta Assessoria = “Não se aplica”; análise correspondente = “Correto — N/A”.</w:t>
      </w:r>
    </w:p>
    <w:p>
      <w:pPr>
        <w:pStyle w:val="ReportBullet"/>
        <w:widowControl/>
      </w:pPr>
      <w:r>
        <w:t>Com uma ou mais notas de serviço: o resumo continua derivado das análises individuais das notas.</w:t>
      </w:r>
    </w:p>
    <w:p>
      <w:pPr>
        <w:pStyle w:val="ReportBullet"/>
        <w:widowControl/>
      </w:pPr>
      <w:r>
        <w:t>Toda transição de Nota Fiscal que hoje limpa Assessoria deve executar novamente a função canônica na mesma operação.</w:t>
      </w:r>
    </w:p>
    <w:p>
      <w:pPr>
        <w:pStyle w:val="ReportBullet"/>
        <w:widowControl/>
      </w:pPr>
      <w:r>
        <w:t>O planejador de efeitos usado pelo no-op semântico deve consumir exatamente a mesma função canônica.</w:t>
      </w:r>
    </w:p>
    <w:p>
      <w:pPr>
        <w:pStyle w:val="ReportBullet"/>
        <w:widowControl/>
      </w:pPr>
      <w:r>
        <w:t>A mensagem deve distinguir campo não preenchido de estado derivado inconsistente.</w:t>
      </w:r>
    </w:p>
    <w:p>
      <w:pPr>
        <w:pStyle w:val="Heading2"/>
        <w:keepNext/>
        <w:keepLines/>
        <w:widowControl/>
      </w:pPr>
      <w:r>
        <w:t>3.3 Reparo de dados depois do código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00"/>
        <w:gridCol w:w="1800"/>
        <w:gridCol w:w="2400"/>
        <w:gridCol w:w="3360"/>
      </w:tblGrid>
      <w:tr>
        <w:trPr>
          <w:tblHeader w:val="true"/>
          <w:cantSplit/>
        </w:trPr>
        <w:tc>
          <w:tcPr>
            <w:tcW w:type="dxa" w:w="18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Escola</w:t>
            </w:r>
          </w:p>
        </w:tc>
        <w:tc>
          <w:tcPr>
            <w:tcW w:type="dxa" w:w="18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Competência</w:t>
            </w:r>
          </w:p>
        </w:tc>
        <w:tc>
          <w:tcPr>
            <w:tcW w:type="dxa" w:w="24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Programa</w:t>
            </w:r>
          </w:p>
        </w:tc>
        <w:tc>
          <w:tcPr>
            <w:tcW w:type="dxa" w:w="33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Condição observada</w:t>
            </w:r>
          </w:p>
        </w:tc>
      </w:tr>
      <w:tr>
        <w:trPr>
          <w:cantSplit/>
        </w:trPr>
        <w:tc>
          <w:tcPr>
            <w:tcW w:type="dxa" w:w="1800"/>
            <w:vAlign w:val="center"/>
          </w:tcPr>
          <w:p>
            <w:pPr>
              <w:spacing w:after="0"/>
            </w:pPr>
            <w:r>
              <w:rPr>
                <w:rFonts w:ascii="Calibri" w:hAnsi="Calibri" w:eastAsia="Calibri"/>
                <w:color w:val="172033"/>
                <w:sz w:val="17"/>
              </w:rPr>
              <w:t>04.10.002</w:t>
            </w:r>
          </w:p>
        </w:tc>
        <w:tc>
          <w:tcPr>
            <w:tcW w:type="dxa" w:w="1800"/>
            <w:vAlign w:val="center"/>
          </w:tcPr>
          <w:p>
            <w:pPr>
              <w:spacing w:after="0"/>
            </w:pPr>
            <w:r>
              <w:rPr>
                <w:rFonts w:ascii="Calibri" w:hAnsi="Calibri" w:eastAsia="Calibri"/>
                <w:color w:val="172033"/>
                <w:sz w:val="17"/>
              </w:rPr>
              <w:t>Março/2026</w:t>
            </w:r>
          </w:p>
        </w:tc>
        <w:tc>
          <w:tcPr>
            <w:tcW w:type="dxa" w:w="2400"/>
            <w:vAlign w:val="center"/>
          </w:tcPr>
          <w:p>
            <w:pPr>
              <w:spacing w:after="0"/>
            </w:pPr>
            <w:r>
              <w:rPr>
                <w:rFonts w:ascii="Calibri" w:hAnsi="Calibri" w:eastAsia="Calibri"/>
                <w:color w:val="172033"/>
                <w:sz w:val="17"/>
              </w:rPr>
              <w:t>Educação Conectada</w:t>
            </w:r>
          </w:p>
        </w:tc>
        <w:tc>
          <w:tcPr>
            <w:tcW w:type="dxa" w:w="3360"/>
            <w:vAlign w:val="center"/>
          </w:tcPr>
          <w:p>
            <w:pPr>
              <w:spacing w:after="0"/>
            </w:pPr>
            <w:r>
              <w:rPr>
                <w:rFonts w:ascii="Calibri" w:hAnsi="Calibri" w:eastAsia="Calibri"/>
                <w:color w:val="172033"/>
                <w:sz w:val="17"/>
              </w:rPr>
              <w:t>Assessoria vazia; nenhuma NF de serviço</w:t>
            </w:r>
          </w:p>
        </w:tc>
      </w:tr>
      <w:tr>
        <w:trPr>
          <w:cantSplit/>
        </w:trPr>
        <w:tc>
          <w:tcPr>
            <w:tcW w:type="dxa" w:w="1800"/>
            <w:shd w:fill="F8FAFC" w:val="clear"/>
            <w:vAlign w:val="center"/>
          </w:tcPr>
          <w:p>
            <w:pPr>
              <w:spacing w:after="0"/>
            </w:pPr>
            <w:r>
              <w:rPr>
                <w:rFonts w:ascii="Calibri" w:hAnsi="Calibri" w:eastAsia="Calibri"/>
                <w:color w:val="172033"/>
                <w:sz w:val="17"/>
              </w:rPr>
              <w:t>04.10.002</w:t>
            </w:r>
          </w:p>
        </w:tc>
        <w:tc>
          <w:tcPr>
            <w:tcW w:type="dxa" w:w="1800"/>
            <w:shd w:fill="F8FAFC" w:val="clear"/>
            <w:vAlign w:val="center"/>
          </w:tcPr>
          <w:p>
            <w:pPr>
              <w:spacing w:after="0"/>
            </w:pPr>
            <w:r>
              <w:rPr>
                <w:rFonts w:ascii="Calibri" w:hAnsi="Calibri" w:eastAsia="Calibri"/>
                <w:color w:val="172033"/>
                <w:sz w:val="17"/>
              </w:rPr>
              <w:t>Agosto/2026</w:t>
            </w:r>
          </w:p>
        </w:tc>
        <w:tc>
          <w:tcPr>
            <w:tcW w:type="dxa" w:w="2400"/>
            <w:shd w:fill="F8FAFC" w:val="clear"/>
            <w:vAlign w:val="center"/>
          </w:tcPr>
          <w:p>
            <w:pPr>
              <w:spacing w:after="0"/>
            </w:pPr>
            <w:r>
              <w:rPr>
                <w:rFonts w:ascii="Calibri" w:hAnsi="Calibri" w:eastAsia="Calibri"/>
                <w:color w:val="172033"/>
                <w:sz w:val="17"/>
              </w:rPr>
              <w:t>PDDE Básico</w:t>
            </w:r>
          </w:p>
        </w:tc>
        <w:tc>
          <w:tcPr>
            <w:tcW w:type="dxa" w:w="3360"/>
            <w:shd w:fill="F8FAFC" w:val="clear"/>
            <w:vAlign w:val="center"/>
          </w:tcPr>
          <w:p>
            <w:pPr>
              <w:spacing w:after="0"/>
            </w:pPr>
            <w:r>
              <w:rPr>
                <w:rFonts w:ascii="Calibri" w:hAnsi="Calibri" w:eastAsia="Calibri"/>
                <w:color w:val="172033"/>
                <w:sz w:val="17"/>
              </w:rPr>
              <w:t>Assessoria vazia; nenhuma NF de serviço</w:t>
            </w:r>
          </w:p>
        </w:tc>
      </w:tr>
      <w:tr>
        <w:trPr>
          <w:cantSplit/>
        </w:trPr>
        <w:tc>
          <w:tcPr>
            <w:tcW w:type="dxa" w:w="1800"/>
            <w:vAlign w:val="center"/>
          </w:tcPr>
          <w:p>
            <w:pPr>
              <w:spacing w:after="0"/>
            </w:pPr>
            <w:r>
              <w:rPr>
                <w:rFonts w:ascii="Calibri" w:hAnsi="Calibri" w:eastAsia="Calibri"/>
                <w:color w:val="172033"/>
                <w:sz w:val="17"/>
              </w:rPr>
              <w:t>04.31.001</w:t>
            </w:r>
          </w:p>
        </w:tc>
        <w:tc>
          <w:tcPr>
            <w:tcW w:type="dxa" w:w="1800"/>
            <w:vAlign w:val="center"/>
          </w:tcPr>
          <w:p>
            <w:pPr>
              <w:spacing w:after="0"/>
            </w:pPr>
            <w:r>
              <w:rPr>
                <w:rFonts w:ascii="Calibri" w:hAnsi="Calibri" w:eastAsia="Calibri"/>
                <w:color w:val="172033"/>
                <w:sz w:val="17"/>
              </w:rPr>
              <w:t>Agosto/2026</w:t>
            </w:r>
          </w:p>
        </w:tc>
        <w:tc>
          <w:tcPr>
            <w:tcW w:type="dxa" w:w="2400"/>
            <w:vAlign w:val="center"/>
          </w:tcPr>
          <w:p>
            <w:pPr>
              <w:spacing w:after="0"/>
            </w:pPr>
            <w:r>
              <w:rPr>
                <w:rFonts w:ascii="Calibri" w:hAnsi="Calibri" w:eastAsia="Calibri"/>
                <w:color w:val="172033"/>
                <w:sz w:val="17"/>
              </w:rPr>
              <w:t>PDDE Básico</w:t>
            </w:r>
          </w:p>
        </w:tc>
        <w:tc>
          <w:tcPr>
            <w:tcW w:type="dxa" w:w="3360"/>
            <w:vAlign w:val="center"/>
          </w:tcPr>
          <w:p>
            <w:pPr>
              <w:spacing w:after="0"/>
            </w:pPr>
            <w:r>
              <w:rPr>
                <w:rFonts w:ascii="Calibri" w:hAnsi="Calibri" w:eastAsia="Calibri"/>
                <w:color w:val="172033"/>
                <w:sz w:val="17"/>
              </w:rPr>
              <w:t>Assessoria vazia; nenhuma NF de serviço</w:t>
            </w:r>
          </w:p>
        </w:tc>
      </w:tr>
      <w:tr>
        <w:trPr>
          <w:cantSplit/>
        </w:trPr>
        <w:tc>
          <w:tcPr>
            <w:tcW w:type="dxa" w:w="1800"/>
            <w:shd w:fill="F8FAFC" w:val="clear"/>
            <w:vAlign w:val="center"/>
          </w:tcPr>
          <w:p>
            <w:pPr>
              <w:spacing w:after="0"/>
            </w:pPr>
            <w:r>
              <w:rPr>
                <w:rFonts w:ascii="Calibri" w:hAnsi="Calibri" w:eastAsia="Calibri"/>
                <w:color w:val="172033"/>
                <w:sz w:val="17"/>
              </w:rPr>
              <w:t>04.31.804</w:t>
            </w:r>
          </w:p>
        </w:tc>
        <w:tc>
          <w:tcPr>
            <w:tcW w:type="dxa" w:w="1800"/>
            <w:shd w:fill="F8FAFC" w:val="clear"/>
            <w:vAlign w:val="center"/>
          </w:tcPr>
          <w:p>
            <w:pPr>
              <w:spacing w:after="0"/>
            </w:pPr>
            <w:r>
              <w:rPr>
                <w:rFonts w:ascii="Calibri" w:hAnsi="Calibri" w:eastAsia="Calibri"/>
                <w:color w:val="172033"/>
                <w:sz w:val="17"/>
              </w:rPr>
              <w:t>Maio/2026</w:t>
            </w:r>
          </w:p>
        </w:tc>
        <w:tc>
          <w:tcPr>
            <w:tcW w:type="dxa" w:w="2400"/>
            <w:shd w:fill="F8FAFC" w:val="clear"/>
            <w:vAlign w:val="center"/>
          </w:tcPr>
          <w:p>
            <w:pPr>
              <w:spacing w:after="0"/>
            </w:pPr>
            <w:r>
              <w:rPr>
                <w:rFonts w:ascii="Calibri" w:hAnsi="Calibri" w:eastAsia="Calibri"/>
                <w:color w:val="172033"/>
                <w:sz w:val="17"/>
              </w:rPr>
              <w:t>PDDE Básico</w:t>
            </w:r>
          </w:p>
        </w:tc>
        <w:tc>
          <w:tcPr>
            <w:tcW w:type="dxa" w:w="3360"/>
            <w:shd w:fill="F8FAFC" w:val="clear"/>
            <w:vAlign w:val="center"/>
          </w:tcPr>
          <w:p>
            <w:pPr>
              <w:spacing w:after="0"/>
            </w:pPr>
            <w:r>
              <w:rPr>
                <w:rFonts w:ascii="Calibri" w:hAnsi="Calibri" w:eastAsia="Calibri"/>
                <w:color w:val="172033"/>
                <w:sz w:val="17"/>
              </w:rPr>
              <w:t>Assessoria vazia; nenhuma NF de serviço</w:t>
            </w:r>
          </w:p>
        </w:tc>
      </w:tr>
    </w:tbl>
    <w:p>
      <w:pPr>
        <w:spacing w:after="0"/>
      </w:pPr>
    </w:p>
    <w:p>
      <w:pPr>
        <w:pStyle w:val="ReportNumber"/>
        <w:widowControl/>
        <w:numPr>
          <w:ilvl w:val="0"/>
          <w:numId w:val="10"/>
        </w:numPr>
      </w:pPr>
      <w:r>
        <w:t>Publicar a regra canônica e comprovar as transições.</w:t>
      </w:r>
    </w:p>
    <w:p>
      <w:pPr>
        <w:pStyle w:val="ReportNumber"/>
        <w:widowControl/>
        <w:numPr>
          <w:ilvl w:val="0"/>
          <w:numId w:val="10"/>
        </w:numPr>
      </w:pPr>
      <w:r>
        <w:t>Refazer a consulta somente leitura; não presumir que ainda serão exatamente quatro registros.</w:t>
      </w:r>
    </w:p>
    <w:p>
      <w:pPr>
        <w:pStyle w:val="ReportNumber"/>
        <w:widowControl/>
        <w:numPr>
          <w:ilvl w:val="0"/>
          <w:numId w:val="10"/>
        </w:numPr>
      </w:pPr>
      <w:r>
        <w:t>Em transação controlada, corrigir apenas linhas ainda vazias e sem qualquer nota de serviço.</w:t>
      </w:r>
    </w:p>
    <w:p>
      <w:pPr>
        <w:pStyle w:val="ReportNumber"/>
        <w:widowControl/>
        <w:numPr>
          <w:ilvl w:val="0"/>
          <w:numId w:val="10"/>
        </w:numPr>
      </w:pPr>
      <w:r>
        <w:t>Não sobrescrever valor não vazio e interromper diante de condição inesperada.</w:t>
      </w:r>
    </w:p>
    <w:p>
      <w:pPr>
        <w:pStyle w:val="ReportNumber"/>
        <w:widowControl/>
        <w:numPr>
          <w:ilvl w:val="0"/>
          <w:numId w:val="10"/>
        </w:numPr>
      </w:pPr>
      <w:r>
        <w:t>Conferir o caso 04.10.002/março e exigir zero divergências na consulta final.</w:t>
      </w:r>
    </w:p>
    <w:p>
      <w:pPr>
        <w:pStyle w:val="Heading1"/>
        <w:keepNext/>
        <w:keepLines/>
        <w:widowControl/>
      </w:pPr>
      <w:r>
        <w:t>4. Registro atômico de pendência e prontidão</w:t>
      </w:r>
    </w:p>
    <w:p>
      <w:pPr>
        <w:widowControl/>
      </w:pPr>
      <w:r>
        <w:t>A regra que impede salvar análise “Incorreto” sem abrir a pendência correspondente está correta. O defeito provável está na instalação do módulo que apresenta o formulário e grava os dois fatos conjuntamente: ele deixa de tentar depois de dez segundos, embora a carga real já tenha ultrapassado esse prazo.</w:t>
      </w:r>
    </w:p>
    <w:p>
      <w:pPr>
        <w:pStyle w:val="Heading2"/>
        <w:keepNext/>
        <w:keepLines/>
        <w:widowControl/>
      </w:pPr>
      <w:r>
        <w:t>4.1 Correção proposta</w:t>
      </w:r>
    </w:p>
    <w:p>
      <w:pPr>
        <w:pStyle w:val="ReportBullet"/>
        <w:widowControl/>
      </w:pPr>
      <w:r>
        <w:t>Substituir o prazo fixo por um sinal explícito de prontidão operacional.</w:t>
      </w:r>
    </w:p>
    <w:p>
      <w:pPr>
        <w:pStyle w:val="ReportBullet"/>
        <w:widowControl/>
      </w:pPr>
      <w:r>
        <w:t>Considerar críticos apenas os módulos que garantem regras funcionais: análise incorreta + pendência atômica, Assessoria individual e bloqueios indispensáveis.</w:t>
      </w:r>
    </w:p>
    <w:p>
      <w:pPr>
        <w:pStyle w:val="ReportBullet"/>
        <w:widowControl/>
      </w:pPr>
      <w:r>
        <w:t>Se um módulo crítico falhar, bloquear somente os controles dependentes e mostrar mensagem clara de inicialização.</w:t>
      </w:r>
    </w:p>
    <w:p>
      <w:pPr>
        <w:pStyle w:val="ReportBullet"/>
        <w:widowControl/>
      </w:pPr>
      <w:r>
        <w:t>Diagnóstico de desempenho, métricas e melhorias visuais continuam opcionais e não podem indisponibilizar o RADAR.</w:t>
      </w:r>
    </w:p>
    <w:p>
      <w:pPr>
        <w:pStyle w:val="ReportBullet"/>
        <w:widowControl/>
      </w:pPr>
      <w:r>
        <w:t>No longo prazo, importar módulos críticos diretamente no bootstrap elimina essa classe de corrida; não é requisito para a correção imediata.</w:t>
      </w:r>
    </w:p>
    <w:p>
      <w:pPr>
        <w:pStyle w:val="Heading2"/>
        <w:keepNext/>
        <w:keepLines/>
        <w:widowControl/>
      </w:pPr>
      <w:r>
        <w:t>4.2 Regras de negócio a preservar</w:t>
      </w:r>
    </w:p>
    <w:p>
      <w:pPr>
        <w:pStyle w:val="ReportBullet"/>
        <w:widowControl/>
      </w:pPr>
      <w:r>
        <w:t>Não transformar automaticamente “a identificar” em bonificação Não ou análise Incorreto.</w:t>
      </w:r>
    </w:p>
    <w:p>
      <w:pPr>
        <w:pStyle w:val="ReportBullet"/>
        <w:widowControl/>
      </w:pPr>
      <w:r>
        <w:t>Não bloquear consolidação apenas porque existe pendência ativa.</w:t>
      </w:r>
    </w:p>
    <w:p>
      <w:pPr>
        <w:pStyle w:val="ReportBullet"/>
        <w:widowControl/>
      </w:pPr>
      <w:r>
        <w:t>Não bloquear consolidação apenas porque a análise está Não analisado.</w:t>
      </w:r>
    </w:p>
    <w:p>
      <w:pPr>
        <w:pStyle w:val="ReportBullet"/>
        <w:widowControl/>
      </w:pPr>
      <w:r>
        <w:t>Não criar duas pendências ativas equivalentes.</w:t>
      </w:r>
    </w:p>
    <w:p>
      <w:pPr>
        <w:pStyle w:val="ReportBullet"/>
        <w:widowControl/>
      </w:pPr>
      <w:r>
        <w:t>Preservar Sim + Incorreto + pendência: são três perguntas diferentes.</w:t>
      </w:r>
    </w:p>
    <w:p>
      <w:pPr>
        <w:pStyle w:val="ReportBullet"/>
        <w:widowControl/>
      </w:pPr>
      <w:r>
        <w:t>Preservar novo envio → aguardando reanálise → decisão técnica.</w:t>
      </w:r>
    </w:p>
    <w:p>
      <w:r>
        <w:br w:type="page"/>
      </w:r>
    </w:p>
    <w:tbl>
      <w:tblPr>
        <w:tblW w:type="dxa" w:w="9360"/>
        <w:jc w:val="center"/>
        <w:tblLook w:firstColumn="1" w:firstRow="1" w:lastColumn="0" w:lastRow="0" w:noHBand="0" w:noVBand="1" w:val="04A0"/>
        <w:tblInd w:w="0" w:type="dxa"/>
        <w:tblLayout w:type="fixed"/>
        <w:tblBorders>
          <w:top w:val="single" w:sz="0" w:space="0" w:color="6D28D9"/>
          <w:left w:val="single" w:sz="0" w:space="0" w:color="6D28D9"/>
          <w:bottom w:val="single" w:sz="0" w:space="0" w:color="6D28D9"/>
          <w:right w:val="single" w:sz="0" w:space="0" w:color="6D28D9"/>
        </w:tblBorders>
      </w:tblPr>
      <w:tblGrid>
        <w:gridCol w:w="9360"/>
      </w:tblGrid>
      <w:tr>
        <w:tc>
          <w:tcPr>
            <w:tcW w:type="dxa" w:w="9360"/>
            <w:tcMar>
              <w:top w:w="360" w:type="dxa"/>
              <w:start w:w="360" w:type="dxa"/>
              <w:bottom w:w="360" w:type="dxa"/>
              <w:end w:w="360" w:type="dxa"/>
            </w:tcMar>
            <w:shd w:fill="4C1D95" w:val="clear"/>
          </w:tcPr>
          <w:p>
            <w:pPr>
              <w:jc w:val="left"/>
            </w:pPr>
            <w:r>
              <w:rPr>
                <w:rFonts w:ascii="Calibri" w:hAnsi="Calibri" w:eastAsia="Calibri"/>
                <w:b/>
                <w:color w:val="D8B4FE"/>
                <w:sz w:val="20"/>
              </w:rPr>
              <w:t>PARTE II</w:t>
            </w:r>
          </w:p>
          <w:p>
            <w:pPr>
              <w:spacing w:before="120" w:after="160"/>
            </w:pPr>
            <w:r>
              <w:rPr>
                <w:rFonts w:ascii="Calibri" w:hAnsi="Calibri" w:eastAsia="Calibri"/>
                <w:b/>
                <w:color w:val="FFFFFF"/>
                <w:sz w:val="46"/>
              </w:rPr>
              <w:t>Redesenho da gestão de pendências</w:t>
            </w:r>
          </w:p>
          <w:p>
            <w:r>
              <w:rPr>
                <w:rFonts w:ascii="Calibri" w:hAnsi="Calibri" w:eastAsia="Calibri"/>
                <w:color w:val="EDE9FE"/>
                <w:sz w:val="22"/>
              </w:rPr>
              <w:t>Manter o passivo transversal, corrigir a verdade operacional e transformar uma lista plana numa fila orientada à ação.</w:t>
            </w:r>
          </w:p>
        </w:tc>
      </w:tr>
    </w:tbl>
    <w:p/>
    <w:p>
      <w:pPr>
        <w:pStyle w:val="Heading1"/>
        <w:keepNext/>
        <w:keepLines/>
        <w:widowControl/>
      </w:pPr>
      <w:r>
        <w:t>5. Regra transversal: manter</w:t>
      </w:r>
    </w:p>
    <w:p>
      <w:pPr>
        <w:widowControl/>
      </w:pPr>
      <w:r>
        <w:t>A ADR-044 tornou canônico que a aba de pendências exiba registros de todas as competências. A competência global do sistema não limita implicitamente essa fila; o filtro local de competência serve apenas para restringir uma consulta voluntária.</w:t>
      </w:r>
    </w:p>
    <w:tbl>
      <w:tblPr>
        <w:tblW w:type="dxa" w:w="9360"/>
        <w:jc w:val="center"/>
        <w:tblLook w:firstColumn="1" w:firstRow="1" w:lastColumn="0" w:lastRow="0" w:noHBand="0" w:noVBand="1" w:val="04A0"/>
        <w:tblInd w:w="0" w:type="dxa"/>
        <w:tblLayout w:type="fixed"/>
        <w:tblBorders>
          <w:top w:val="single" w:sz="0" w:space="0" w:color="ECFDF3"/>
          <w:left w:val="single" w:sz="0" w:space="0" w:color="ECFDF3"/>
          <w:bottom w:val="single" w:sz="0" w:space="0" w:color="ECFDF3"/>
          <w:right w:val="single" w:sz="0" w:space="0" w:color="ECFDF3"/>
        </w:tblBorders>
      </w:tblPr>
      <w:tblGrid>
        <w:gridCol w:w="120"/>
        <w:gridCol w:w="9240"/>
      </w:tblGrid>
      <w:tr>
        <w:tc>
          <w:tcPr>
            <w:tcW w:type="dxa" w:w="120"/>
            <w:tcMar>
              <w:top w:w="120" w:type="dxa"/>
              <w:start w:w="0" w:type="dxa"/>
              <w:bottom w:w="120" w:type="dxa"/>
              <w:end w:w="0" w:type="dxa"/>
            </w:tcMar>
            <w:shd w:fill="067647" w:val="clear"/>
          </w:tcPr>
          <w:p/>
        </w:tc>
        <w:tc>
          <w:tcPr>
            <w:tcW w:type="dxa" w:w="9240"/>
            <w:tcMar>
              <w:top w:w="150" w:type="dxa"/>
              <w:start w:w="180" w:type="dxa"/>
              <w:bottom w:w="150" w:type="dxa"/>
              <w:end w:w="180" w:type="dxa"/>
            </w:tcMar>
            <w:shd w:fill="ECFDF3" w:val="clear"/>
          </w:tcPr>
          <w:p>
            <w:pPr>
              <w:spacing w:after="80"/>
            </w:pPr>
            <w:r>
              <w:rPr>
                <w:rFonts w:ascii="Calibri" w:hAnsi="Calibri" w:eastAsia="Calibri"/>
                <w:b/>
                <w:color w:val="067647"/>
                <w:sz w:val="22"/>
              </w:rPr>
              <w:t>Decisão preservada</w:t>
            </w:r>
          </w:p>
          <w:p>
            <w:pPr>
              <w:widowControl/>
              <w:spacing w:after="0"/>
            </w:pPr>
            <w:r>
              <w:t>Não voltar a esconder pendências de outras competências. Filtros, escopo e agrupamento devem organizar a visão, nunca restabelecer a ocultação automática.</w:t>
            </w:r>
          </w:p>
        </w:tc>
      </w:tr>
    </w:tbl>
    <w:p>
      <w:pPr>
        <w:spacing w:after="0"/>
      </w:pPr>
    </w:p>
    <w:p>
      <w:pPr>
        <w:pStyle w:val="Heading2"/>
        <w:keepNext/>
        <w:keepLines/>
        <w:widowControl/>
      </w:pPr>
      <w:r>
        <w:t>5.1 O volume real e o volume percebido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500"/>
        <w:gridCol w:w="1800"/>
        <w:gridCol w:w="5060"/>
      </w:tblGrid>
      <w:tr>
        <w:trPr>
          <w:tblHeader w:val="true"/>
          <w:cantSplit/>
        </w:trPr>
        <w:tc>
          <w:tcPr>
            <w:tcW w:type="dxa" w:w="25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Indicador em produção</w:t>
            </w:r>
          </w:p>
        </w:tc>
        <w:tc>
          <w:tcPr>
            <w:tcW w:type="dxa" w:w="18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Valor</w:t>
            </w:r>
          </w:p>
        </w:tc>
        <w:tc>
          <w:tcPr>
            <w:tcW w:type="dxa" w:w="50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Leitura para o desenho</w:t>
            </w:r>
          </w:p>
        </w:tc>
      </w:tr>
      <w:tr>
        <w:trPr>
          <w:cantSplit/>
        </w:trPr>
        <w:tc>
          <w:tcPr>
            <w:tcW w:type="dxa" w:w="2500"/>
            <w:vAlign w:val="center"/>
          </w:tcPr>
          <w:p>
            <w:pPr>
              <w:spacing w:after="0"/>
            </w:pPr>
            <w:r>
              <w:rPr>
                <w:rFonts w:ascii="Calibri" w:hAnsi="Calibri" w:eastAsia="Calibri"/>
                <w:color w:val="172033"/>
                <w:sz w:val="17"/>
              </w:rPr>
              <w:t>Registros totais</w:t>
            </w:r>
          </w:p>
        </w:tc>
        <w:tc>
          <w:tcPr>
            <w:tcW w:type="dxa" w:w="1800"/>
            <w:vAlign w:val="center"/>
          </w:tcPr>
          <w:p>
            <w:pPr>
              <w:spacing w:after="0"/>
            </w:pPr>
            <w:r>
              <w:rPr>
                <w:rFonts w:ascii="Calibri" w:hAnsi="Calibri" w:eastAsia="Calibri"/>
                <w:color w:val="172033"/>
                <w:sz w:val="17"/>
              </w:rPr>
              <w:t>22</w:t>
            </w:r>
          </w:p>
        </w:tc>
        <w:tc>
          <w:tcPr>
            <w:tcW w:type="dxa" w:w="5060"/>
            <w:vAlign w:val="center"/>
          </w:tcPr>
          <w:p>
            <w:pPr>
              <w:spacing w:after="0"/>
            </w:pPr>
            <w:r>
              <w:rPr>
                <w:rFonts w:ascii="Calibri" w:hAnsi="Calibri" w:eastAsia="Calibri"/>
                <w:color w:val="172033"/>
                <w:sz w:val="17"/>
              </w:rPr>
              <w:t>Escala pequena no banco, mas já difícil no celular</w:t>
            </w:r>
          </w:p>
        </w:tc>
      </w:tr>
      <w:tr>
        <w:trPr>
          <w:cantSplit/>
        </w:trPr>
        <w:tc>
          <w:tcPr>
            <w:tcW w:type="dxa" w:w="2500"/>
            <w:shd w:fill="F8FAFC" w:val="clear"/>
            <w:vAlign w:val="center"/>
          </w:tcPr>
          <w:p>
            <w:pPr>
              <w:spacing w:after="0"/>
            </w:pPr>
            <w:r>
              <w:rPr>
                <w:rFonts w:ascii="Calibri" w:hAnsi="Calibri" w:eastAsia="Calibri"/>
                <w:color w:val="172033"/>
                <w:sz w:val="17"/>
              </w:rPr>
              <w:t>Ativos</w:t>
            </w:r>
          </w:p>
        </w:tc>
        <w:tc>
          <w:tcPr>
            <w:tcW w:type="dxa" w:w="1800"/>
            <w:shd w:fill="F8FAFC" w:val="clear"/>
            <w:vAlign w:val="center"/>
          </w:tcPr>
          <w:p>
            <w:pPr>
              <w:spacing w:after="0"/>
            </w:pPr>
            <w:r>
              <w:rPr>
                <w:rFonts w:ascii="Calibri" w:hAnsi="Calibri" w:eastAsia="Calibri"/>
                <w:color w:val="172033"/>
                <w:sz w:val="17"/>
              </w:rPr>
              <w:t>21</w:t>
            </w:r>
          </w:p>
        </w:tc>
        <w:tc>
          <w:tcPr>
            <w:tcW w:type="dxa" w:w="5060"/>
            <w:shd w:fill="F8FAFC" w:val="clear"/>
            <w:vAlign w:val="center"/>
          </w:tcPr>
          <w:p>
            <w:pPr>
              <w:spacing w:after="0"/>
            </w:pPr>
            <w:r>
              <w:rPr>
                <w:rFonts w:ascii="Calibri" w:hAnsi="Calibri" w:eastAsia="Calibri"/>
                <w:color w:val="172033"/>
                <w:sz w:val="17"/>
              </w:rPr>
              <w:t>19 aguardam escola; 2 exigem reanálise do controlador</w:t>
            </w:r>
          </w:p>
        </w:tc>
      </w:tr>
      <w:tr>
        <w:trPr>
          <w:cantSplit/>
        </w:trPr>
        <w:tc>
          <w:tcPr>
            <w:tcW w:type="dxa" w:w="2500"/>
            <w:vAlign w:val="center"/>
          </w:tcPr>
          <w:p>
            <w:pPr>
              <w:spacing w:after="0"/>
            </w:pPr>
            <w:r>
              <w:rPr>
                <w:rFonts w:ascii="Calibri" w:hAnsi="Calibri" w:eastAsia="Calibri"/>
                <w:color w:val="172033"/>
                <w:sz w:val="17"/>
              </w:rPr>
              <w:t>Cancelados / resolvidos</w:t>
            </w:r>
          </w:p>
        </w:tc>
        <w:tc>
          <w:tcPr>
            <w:tcW w:type="dxa" w:w="1800"/>
            <w:vAlign w:val="center"/>
          </w:tcPr>
          <w:p>
            <w:pPr>
              <w:spacing w:after="0"/>
            </w:pPr>
            <w:r>
              <w:rPr>
                <w:rFonts w:ascii="Calibri" w:hAnsi="Calibri" w:eastAsia="Calibri"/>
                <w:color w:val="172033"/>
                <w:sz w:val="17"/>
              </w:rPr>
              <w:t>1 / 0</w:t>
            </w:r>
          </w:p>
        </w:tc>
        <w:tc>
          <w:tcPr>
            <w:tcW w:type="dxa" w:w="5060"/>
            <w:vAlign w:val="center"/>
          </w:tcPr>
          <w:p>
            <w:pPr>
              <w:spacing w:after="0"/>
            </w:pPr>
            <w:r>
              <w:rPr>
                <w:rFonts w:ascii="Calibri" w:hAnsi="Calibri" w:eastAsia="Calibri"/>
                <w:color w:val="172033"/>
                <w:sz w:val="17"/>
              </w:rPr>
              <w:t>Histórico deve permanecer acessível, com menos peso visual</w:t>
            </w:r>
          </w:p>
        </w:tc>
      </w:tr>
      <w:tr>
        <w:trPr>
          <w:cantSplit/>
        </w:trPr>
        <w:tc>
          <w:tcPr>
            <w:tcW w:type="dxa" w:w="2500"/>
            <w:shd w:fill="F8FAFC" w:val="clear"/>
            <w:vAlign w:val="center"/>
          </w:tcPr>
          <w:p>
            <w:pPr>
              <w:spacing w:after="0"/>
            </w:pPr>
            <w:r>
              <w:rPr>
                <w:rFonts w:ascii="Calibri" w:hAnsi="Calibri" w:eastAsia="Calibri"/>
                <w:color w:val="172033"/>
                <w:sz w:val="17"/>
              </w:rPr>
              <w:t>Tentativas / contatos</w:t>
            </w:r>
          </w:p>
        </w:tc>
        <w:tc>
          <w:tcPr>
            <w:tcW w:type="dxa" w:w="1800"/>
            <w:shd w:fill="F8FAFC" w:val="clear"/>
            <w:vAlign w:val="center"/>
          </w:tcPr>
          <w:p>
            <w:pPr>
              <w:spacing w:after="0"/>
            </w:pPr>
            <w:r>
              <w:rPr>
                <w:rFonts w:ascii="Calibri" w:hAnsi="Calibri" w:eastAsia="Calibri"/>
                <w:color w:val="172033"/>
                <w:sz w:val="17"/>
              </w:rPr>
              <w:t>5 / 0</w:t>
            </w:r>
          </w:p>
        </w:tc>
        <w:tc>
          <w:tcPr>
            <w:tcW w:type="dxa" w:w="5060"/>
            <w:shd w:fill="F8FAFC" w:val="clear"/>
            <w:vAlign w:val="center"/>
          </w:tcPr>
          <w:p>
            <w:pPr>
              <w:spacing w:after="0"/>
            </w:pPr>
            <w:r>
              <w:rPr>
                <w:rFonts w:ascii="Calibri" w:hAnsi="Calibri" w:eastAsia="Calibri"/>
                <w:color w:val="172033"/>
                <w:sz w:val="17"/>
              </w:rPr>
              <w:t>Ações secundárias não precisam dominar todos os cartões</w:t>
            </w:r>
          </w:p>
        </w:tc>
      </w:tr>
      <w:tr>
        <w:trPr>
          <w:cantSplit/>
        </w:trPr>
        <w:tc>
          <w:tcPr>
            <w:tcW w:type="dxa" w:w="2500"/>
            <w:vAlign w:val="center"/>
          </w:tcPr>
          <w:p>
            <w:pPr>
              <w:spacing w:after="0"/>
            </w:pPr>
            <w:r>
              <w:rPr>
                <w:rFonts w:ascii="Calibri" w:hAnsi="Calibri" w:eastAsia="Calibri"/>
                <w:color w:val="172033"/>
                <w:sz w:val="17"/>
              </w:rPr>
              <w:t>Tempo na etapa</w:t>
            </w:r>
          </w:p>
        </w:tc>
        <w:tc>
          <w:tcPr>
            <w:tcW w:type="dxa" w:w="1800"/>
            <w:vAlign w:val="center"/>
          </w:tcPr>
          <w:p>
            <w:pPr>
              <w:spacing w:after="0"/>
            </w:pPr>
            <w:r>
              <w:rPr>
                <w:rFonts w:ascii="Calibri" w:hAnsi="Calibri" w:eastAsia="Calibri"/>
                <w:color w:val="172033"/>
                <w:sz w:val="17"/>
              </w:rPr>
              <w:t>2 hoje; 7 entre 1–3 dias; 12 entre 4–7</w:t>
            </w:r>
          </w:p>
        </w:tc>
        <w:tc>
          <w:tcPr>
            <w:tcW w:type="dxa" w:w="5060"/>
            <w:vAlign w:val="center"/>
          </w:tcPr>
          <w:p>
            <w:pPr>
              <w:spacing w:after="0"/>
            </w:pPr>
            <w:r>
              <w:rPr>
                <w:rFonts w:ascii="Calibri" w:hAnsi="Calibri" w:eastAsia="Calibri"/>
                <w:color w:val="172033"/>
                <w:sz w:val="17"/>
              </w:rPr>
              <w:t>Faixas curtas são mais úteis que o filtro atual de até 7 dias</w:t>
            </w:r>
          </w:p>
        </w:tc>
      </w:tr>
      <w:tr>
        <w:trPr>
          <w:cantSplit/>
        </w:trPr>
        <w:tc>
          <w:tcPr>
            <w:tcW w:type="dxa" w:w="2500"/>
            <w:shd w:fill="F8FAFC" w:val="clear"/>
            <w:vAlign w:val="center"/>
          </w:tcPr>
          <w:p>
            <w:pPr>
              <w:spacing w:after="0"/>
            </w:pPr>
            <w:r>
              <w:rPr>
                <w:rFonts w:ascii="Calibri" w:hAnsi="Calibri" w:eastAsia="Calibri"/>
                <w:color w:val="172033"/>
                <w:sz w:val="17"/>
              </w:rPr>
              <w:t>Concentração</w:t>
            </w:r>
          </w:p>
        </w:tc>
        <w:tc>
          <w:tcPr>
            <w:tcW w:type="dxa" w:w="1800"/>
            <w:shd w:fill="F8FAFC" w:val="clear"/>
            <w:vAlign w:val="center"/>
          </w:tcPr>
          <w:p>
            <w:pPr>
              <w:spacing w:after="0"/>
            </w:pPr>
            <w:r>
              <w:rPr>
                <w:rFonts w:ascii="Calibri" w:hAnsi="Calibri" w:eastAsia="Calibri"/>
                <w:color w:val="172033"/>
                <w:sz w:val="17"/>
              </w:rPr>
              <w:t>12 + 9 ativos em duas escolas</w:t>
            </w:r>
          </w:p>
        </w:tc>
        <w:tc>
          <w:tcPr>
            <w:tcW w:type="dxa" w:w="5060"/>
            <w:shd w:fill="F8FAFC" w:val="clear"/>
            <w:vAlign w:val="center"/>
          </w:tcPr>
          <w:p>
            <w:pPr>
              <w:spacing w:after="0"/>
            </w:pPr>
            <w:r>
              <w:rPr>
                <w:rFonts w:ascii="Calibri" w:hAnsi="Calibri" w:eastAsia="Calibri"/>
                <w:color w:val="172033"/>
                <w:sz w:val="17"/>
              </w:rPr>
              <w:t>Agrupamento opcional por escola tem alto valor</w:t>
            </w:r>
          </w:p>
        </w:tc>
      </w:tr>
    </w:tbl>
    <w:p>
      <w:pPr>
        <w:spacing w:after="0"/>
      </w:pPr>
    </w:p>
    <w:p>
      <w:pPr>
        <w:widowControl/>
      </w:pPr>
      <w:r>
        <w:t>O cartão de uma pendência aberta pode receber cinco botões após os módulos complementares. Com 19 abertas, a interface pode repetir até 95 ações; as duas aguardando reanálise acrescentam até 12. A sensação de “lista imensa” é multiplicada pelo desenho, não apenas pelo número de registros.</w:t>
      </w:r>
    </w:p>
    <w:p>
      <w:r>
        <w:br w:type="page"/>
      </w:r>
    </w:p>
    <w:p>
      <w:pPr>
        <w:pStyle w:val="Heading1"/>
        <w:keepNext/>
        <w:keepLines/>
        <w:widowControl/>
      </w:pPr>
      <w:r>
        <w:t>6. Problemas confirmados na experiência</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50"/>
        <w:gridCol w:w="3150"/>
        <w:gridCol w:w="4160"/>
      </w:tblGrid>
      <w:tr>
        <w:trPr>
          <w:tblHeader w:val="true"/>
          <w:cantSplit/>
        </w:trPr>
        <w:tc>
          <w:tcPr>
            <w:tcW w:type="dxa" w:w="205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Problema</w:t>
            </w:r>
          </w:p>
        </w:tc>
        <w:tc>
          <w:tcPr>
            <w:tcW w:type="dxa" w:w="315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Efeito sobre o usuário</w:t>
            </w:r>
          </w:p>
        </w:tc>
        <w:tc>
          <w:tcPr>
            <w:tcW w:type="dxa" w:w="41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Causa no desenho atual</w:t>
            </w:r>
          </w:p>
        </w:tc>
      </w:tr>
      <w:tr>
        <w:trPr>
          <w:cantSplit/>
        </w:trPr>
        <w:tc>
          <w:tcPr>
            <w:tcW w:type="dxa" w:w="2050"/>
            <w:vAlign w:val="center"/>
          </w:tcPr>
          <w:p>
            <w:pPr>
              <w:spacing w:after="0"/>
            </w:pPr>
            <w:r>
              <w:rPr>
                <w:rFonts w:ascii="Calibri" w:hAnsi="Calibri" w:eastAsia="Calibri"/>
                <w:color w:val="172033"/>
                <w:sz w:val="17"/>
              </w:rPr>
              <w:t>Lista plana e repetitiva</w:t>
            </w:r>
          </w:p>
        </w:tc>
        <w:tc>
          <w:tcPr>
            <w:tcW w:type="dxa" w:w="3150"/>
            <w:vAlign w:val="center"/>
          </w:tcPr>
          <w:p>
            <w:pPr>
              <w:spacing w:after="0"/>
            </w:pPr>
            <w:r>
              <w:rPr>
                <w:rFonts w:ascii="Calibri" w:hAnsi="Calibri" w:eastAsia="Calibri"/>
                <w:color w:val="172033"/>
                <w:sz w:val="17"/>
              </w:rPr>
              <w:t>Rolagem longa; registros parecidos se confundem</w:t>
            </w:r>
          </w:p>
        </w:tc>
        <w:tc>
          <w:tcPr>
            <w:tcW w:type="dxa" w:w="4160"/>
            <w:vAlign w:val="center"/>
          </w:tcPr>
          <w:p>
            <w:pPr>
              <w:spacing w:after="0"/>
            </w:pPr>
            <w:r>
              <w:rPr>
                <w:rFonts w:ascii="Calibri" w:hAnsi="Calibri" w:eastAsia="Calibri"/>
                <w:color w:val="172033"/>
                <w:sz w:val="17"/>
              </w:rPr>
              <w:t>Cada pendência repete escola, campos e até seis ações</w:t>
            </w:r>
          </w:p>
        </w:tc>
      </w:tr>
      <w:tr>
        <w:trPr>
          <w:cantSplit/>
        </w:trPr>
        <w:tc>
          <w:tcPr>
            <w:tcW w:type="dxa" w:w="2050"/>
            <w:shd w:fill="F8FAFC" w:val="clear"/>
            <w:vAlign w:val="center"/>
          </w:tcPr>
          <w:p>
            <w:pPr>
              <w:spacing w:after="0"/>
            </w:pPr>
            <w:r>
              <w:rPr>
                <w:rFonts w:ascii="Calibri" w:hAnsi="Calibri" w:eastAsia="Calibri"/>
                <w:color w:val="172033"/>
                <w:sz w:val="17"/>
              </w:rPr>
              <w:t>Hierarquia fraca</w:t>
            </w:r>
          </w:p>
        </w:tc>
        <w:tc>
          <w:tcPr>
            <w:tcW w:type="dxa" w:w="3150"/>
            <w:shd w:fill="F8FAFC" w:val="clear"/>
            <w:vAlign w:val="center"/>
          </w:tcPr>
          <w:p>
            <w:pPr>
              <w:spacing w:after="0"/>
            </w:pPr>
            <w:r>
              <w:rPr>
                <w:rFonts w:ascii="Calibri" w:hAnsi="Calibri" w:eastAsia="Calibri"/>
                <w:color w:val="172033"/>
                <w:sz w:val="17"/>
              </w:rPr>
              <w:t>Competência, documento e próxima ação não saltam aos olhos</w:t>
            </w:r>
          </w:p>
        </w:tc>
        <w:tc>
          <w:tcPr>
            <w:tcW w:type="dxa" w:w="4160"/>
            <w:shd w:fill="F8FAFC" w:val="clear"/>
            <w:vAlign w:val="center"/>
          </w:tcPr>
          <w:p>
            <w:pPr>
              <w:spacing w:after="0"/>
            </w:pPr>
            <w:r>
              <w:rPr>
                <w:rFonts w:ascii="Calibri" w:hAnsi="Calibri" w:eastAsia="Calibri"/>
                <w:color w:val="172033"/>
                <w:sz w:val="17"/>
              </w:rPr>
              <w:t>Rótulos, valores e blocos têm peso tipográfico semelhante</w:t>
            </w:r>
          </w:p>
        </w:tc>
      </w:tr>
      <w:tr>
        <w:trPr>
          <w:cantSplit/>
        </w:trPr>
        <w:tc>
          <w:tcPr>
            <w:tcW w:type="dxa" w:w="2050"/>
            <w:vAlign w:val="center"/>
          </w:tcPr>
          <w:p>
            <w:pPr>
              <w:spacing w:after="0"/>
            </w:pPr>
            <w:r>
              <w:rPr>
                <w:rFonts w:ascii="Calibri" w:hAnsi="Calibri" w:eastAsia="Calibri"/>
                <w:color w:val="172033"/>
                <w:sz w:val="17"/>
              </w:rPr>
              <w:t>Filtros desalinhados</w:t>
            </w:r>
          </w:p>
        </w:tc>
        <w:tc>
          <w:tcPr>
            <w:tcW w:type="dxa" w:w="3150"/>
            <w:vAlign w:val="center"/>
          </w:tcPr>
          <w:p>
            <w:pPr>
              <w:spacing w:after="0"/>
            </w:pPr>
            <w:r>
              <w:rPr>
                <w:rFonts w:ascii="Calibri" w:hAnsi="Calibri" w:eastAsia="Calibri"/>
                <w:color w:val="172033"/>
                <w:sz w:val="17"/>
              </w:rPr>
              <w:t>Usuário não recorta sua área de gestão rapidamente</w:t>
            </w:r>
          </w:p>
        </w:tc>
        <w:tc>
          <w:tcPr>
            <w:tcW w:type="dxa" w:w="4160"/>
            <w:vAlign w:val="center"/>
          </w:tcPr>
          <w:p>
            <w:pPr>
              <w:spacing w:after="0"/>
            </w:pPr>
            <w:r>
              <w:rPr>
                <w:rFonts w:ascii="Calibri" w:hAnsi="Calibri" w:eastAsia="Calibri"/>
                <w:color w:val="172033"/>
                <w:sz w:val="17"/>
              </w:rPr>
              <w:t>R.A. ausente; controlador oculto; escola usa select nativo</w:t>
            </w:r>
          </w:p>
        </w:tc>
      </w:tr>
      <w:tr>
        <w:trPr>
          <w:cantSplit/>
        </w:trPr>
        <w:tc>
          <w:tcPr>
            <w:tcW w:type="dxa" w:w="2050"/>
            <w:shd w:fill="F8FAFC" w:val="clear"/>
            <w:vAlign w:val="center"/>
          </w:tcPr>
          <w:p>
            <w:pPr>
              <w:spacing w:after="0"/>
            </w:pPr>
            <w:r>
              <w:rPr>
                <w:rFonts w:ascii="Calibri" w:hAnsi="Calibri" w:eastAsia="Calibri"/>
                <w:color w:val="172033"/>
                <w:sz w:val="17"/>
              </w:rPr>
              <w:t>Ações simultâneas</w:t>
            </w:r>
          </w:p>
        </w:tc>
        <w:tc>
          <w:tcPr>
            <w:tcW w:type="dxa" w:w="3150"/>
            <w:shd w:fill="F8FAFC" w:val="clear"/>
            <w:vAlign w:val="center"/>
          </w:tcPr>
          <w:p>
            <w:pPr>
              <w:spacing w:after="0"/>
            </w:pPr>
            <w:r>
              <w:rPr>
                <w:rFonts w:ascii="Calibri" w:hAnsi="Calibri" w:eastAsia="Calibri"/>
                <w:color w:val="172033"/>
                <w:sz w:val="17"/>
              </w:rPr>
              <w:t>Insegurança sobre o que fazer primeiro</w:t>
            </w:r>
          </w:p>
        </w:tc>
        <w:tc>
          <w:tcPr>
            <w:tcW w:type="dxa" w:w="4160"/>
            <w:shd w:fill="F8FAFC" w:val="clear"/>
            <w:vAlign w:val="center"/>
          </w:tcPr>
          <w:p>
            <w:pPr>
              <w:spacing w:after="0"/>
            </w:pPr>
            <w:r>
              <w:rPr>
                <w:rFonts w:ascii="Calibri" w:hAnsi="Calibri" w:eastAsia="Calibri"/>
                <w:color w:val="172033"/>
                <w:sz w:val="17"/>
              </w:rPr>
              <w:t>Ação principal, apoio e exceção competem no mesmo nível</w:t>
            </w:r>
          </w:p>
        </w:tc>
      </w:tr>
      <w:tr>
        <w:trPr>
          <w:cantSplit/>
        </w:trPr>
        <w:tc>
          <w:tcPr>
            <w:tcW w:type="dxa" w:w="2050"/>
            <w:vAlign w:val="center"/>
          </w:tcPr>
          <w:p>
            <w:pPr>
              <w:spacing w:after="0"/>
            </w:pPr>
            <w:r>
              <w:rPr>
                <w:rFonts w:ascii="Calibri" w:hAnsi="Calibri" w:eastAsia="Calibri"/>
                <w:color w:val="172033"/>
                <w:sz w:val="17"/>
              </w:rPr>
              <w:t>Detalhe muito longo</w:t>
            </w:r>
          </w:p>
        </w:tc>
        <w:tc>
          <w:tcPr>
            <w:tcW w:type="dxa" w:w="3150"/>
            <w:vAlign w:val="center"/>
          </w:tcPr>
          <w:p>
            <w:pPr>
              <w:spacing w:after="0"/>
            </w:pPr>
            <w:r>
              <w:rPr>
                <w:rFonts w:ascii="Calibri" w:hAnsi="Calibri" w:eastAsia="Calibri"/>
                <w:color w:val="172033"/>
                <w:sz w:val="17"/>
              </w:rPr>
              <w:t>Contexto se perde durante a rolagem</w:t>
            </w:r>
          </w:p>
        </w:tc>
        <w:tc>
          <w:tcPr>
            <w:tcW w:type="dxa" w:w="4160"/>
            <w:vAlign w:val="center"/>
          </w:tcPr>
          <w:p>
            <w:pPr>
              <w:spacing w:after="0"/>
            </w:pPr>
            <w:r>
              <w:rPr>
                <w:rFonts w:ascii="Calibri" w:hAnsi="Calibri" w:eastAsia="Calibri"/>
                <w:color w:val="172033"/>
                <w:sz w:val="17"/>
              </w:rPr>
              <w:t>Todas as seções expandidas e rodapé com ações repetidas</w:t>
            </w:r>
          </w:p>
        </w:tc>
      </w:tr>
      <w:tr>
        <w:trPr>
          <w:cantSplit/>
        </w:trPr>
        <w:tc>
          <w:tcPr>
            <w:tcW w:type="dxa" w:w="2050"/>
            <w:shd w:fill="F8FAFC" w:val="clear"/>
            <w:vAlign w:val="center"/>
          </w:tcPr>
          <w:p>
            <w:pPr>
              <w:spacing w:after="0"/>
            </w:pPr>
            <w:r>
              <w:rPr>
                <w:rFonts w:ascii="Calibri" w:hAnsi="Calibri" w:eastAsia="Calibri"/>
                <w:color w:val="172033"/>
                <w:sz w:val="17"/>
              </w:rPr>
              <w:t>Modal de reanálise</w:t>
            </w:r>
          </w:p>
        </w:tc>
        <w:tc>
          <w:tcPr>
            <w:tcW w:type="dxa" w:w="3150"/>
            <w:shd w:fill="F8FAFC" w:val="clear"/>
            <w:vAlign w:val="center"/>
          </w:tcPr>
          <w:p>
            <w:pPr>
              <w:spacing w:after="0"/>
            </w:pPr>
            <w:r>
              <w:rPr>
                <w:rFonts w:ascii="Calibri" w:hAnsi="Calibri" w:eastAsia="Calibri"/>
                <w:color w:val="172033"/>
                <w:sz w:val="17"/>
              </w:rPr>
              <w:t>Dificuldade de separar evidência da decisão</w:t>
            </w:r>
          </w:p>
        </w:tc>
        <w:tc>
          <w:tcPr>
            <w:tcW w:type="dxa" w:w="4160"/>
            <w:shd w:fill="F8FAFC" w:val="clear"/>
            <w:vAlign w:val="center"/>
          </w:tcPr>
          <w:p>
            <w:pPr>
              <w:spacing w:after="0"/>
            </w:pPr>
            <w:r>
              <w:rPr>
                <w:rFonts w:ascii="Calibri" w:hAnsi="Calibri" w:eastAsia="Calibri"/>
                <w:color w:val="172033"/>
                <w:sz w:val="17"/>
              </w:rPr>
              <w:t>Resumo sem CSS específico; competência repetida em dois formatos</w:t>
            </w:r>
          </w:p>
        </w:tc>
      </w:tr>
      <w:tr>
        <w:trPr>
          <w:cantSplit/>
        </w:trPr>
        <w:tc>
          <w:tcPr>
            <w:tcW w:type="dxa" w:w="2050"/>
            <w:vAlign w:val="center"/>
          </w:tcPr>
          <w:p>
            <w:pPr>
              <w:spacing w:after="0"/>
            </w:pPr>
            <w:r>
              <w:rPr>
                <w:rFonts w:ascii="Calibri" w:hAnsi="Calibri" w:eastAsia="Calibri"/>
                <w:color w:val="172033"/>
                <w:sz w:val="17"/>
              </w:rPr>
              <w:t>Mobile</w:t>
            </w:r>
          </w:p>
        </w:tc>
        <w:tc>
          <w:tcPr>
            <w:tcW w:type="dxa" w:w="3150"/>
            <w:vAlign w:val="center"/>
          </w:tcPr>
          <w:p>
            <w:pPr>
              <w:spacing w:after="0"/>
            </w:pPr>
            <w:r>
              <w:rPr>
                <w:rFonts w:ascii="Calibri" w:hAnsi="Calibri" w:eastAsia="Calibri"/>
                <w:color w:val="172033"/>
                <w:sz w:val="17"/>
              </w:rPr>
              <w:t>Filtros e cartões ocupam a tela inteira</w:t>
            </w:r>
          </w:p>
        </w:tc>
        <w:tc>
          <w:tcPr>
            <w:tcW w:type="dxa" w:w="4160"/>
            <w:vAlign w:val="center"/>
          </w:tcPr>
          <w:p>
            <w:pPr>
              <w:spacing w:after="0"/>
            </w:pPr>
            <w:r>
              <w:rPr>
                <w:rFonts w:ascii="Calibri" w:hAnsi="Calibri" w:eastAsia="Calibri"/>
                <w:color w:val="172033"/>
                <w:sz w:val="17"/>
              </w:rPr>
              <w:t>Select do Android e botões empilhados aumentam altura e ruído</w:t>
            </w:r>
          </w:p>
        </w:tc>
      </w:tr>
    </w:tbl>
    <w:p>
      <w:pPr>
        <w:spacing w:after="0"/>
      </w:pPr>
    </w:p>
    <w:p>
      <w:pPr>
        <w:pStyle w:val="Heading2"/>
        <w:keepNext/>
        <w:keepLines/>
        <w:widowControl/>
      </w:pPr>
      <w:r>
        <w:t>6.1 Filtros existentes: o que realmente ocorre</w:t>
      </w:r>
    </w:p>
    <w:p>
      <w:pPr>
        <w:widowControl/>
      </w:pPr>
      <w:r>
        <w:t>O código já possui filtros por programa, documento, erro, responsável pela providência, controlador e antiguidade. Porém, quase todos são movidos para “Mais filtros”. Na área principal permanecem busca, escola e competência. R.A. participa apenas do texto pesquisável, sem controle dedicado, e o placeholder nem informa isso.</w:t>
      </w:r>
    </w:p>
    <w:p>
      <w:pPr>
        <w:pStyle w:val="ReportBullet"/>
        <w:widowControl/>
      </w:pPr>
      <w:r>
        <w:t>Controlador: manter, mas promover conforme o perfil; o recurso já existe.</w:t>
      </w:r>
    </w:p>
    <w:p>
      <w:pPr>
        <w:pStyle w:val="ReportBullet"/>
        <w:widowControl/>
      </w:pPr>
      <w:r>
        <w:t>R.A.: criar filtro próprio usando os dados já carregados; não exige coluna nova.</w:t>
      </w:r>
    </w:p>
    <w:p>
      <w:pPr>
        <w:pStyle w:val="ReportBullet"/>
        <w:widowControl/>
      </w:pPr>
      <w:r>
        <w:t>Responsável pela providência: recolher ou remover, pois quase duplica as abas de status — Aberta → Escola; Aguardando reanálise → Controlador.</w:t>
      </w:r>
    </w:p>
    <w:p>
      <w:pPr>
        <w:pStyle w:val="ReportBullet"/>
        <w:widowControl/>
      </w:pPr>
      <w:r>
        <w:t>Antiguidade: renomear para “Tempo na etapa” e usar Hoje, 1–3, 4–7, 8–15 e 16+ dias.</w:t>
      </w:r>
    </w:p>
    <w:p>
      <w:pPr>
        <w:pStyle w:val="ReportBullet"/>
        <w:widowControl/>
      </w:pPr>
      <w:r>
        <w:t>Competência, programa, documento e erro: permanecer em filtros avançados.</w:t>
      </w:r>
    </w:p>
    <w:p>
      <w:pPr>
        <w:pStyle w:val="ReportBullet"/>
        <w:widowControl/>
      </w:pPr>
      <w:r>
        <w:t>Status: não criar filtro adicional; as abas já cumprem essa função.</w:t>
      </w:r>
    </w:p>
    <w:tbl>
      <w:tblPr>
        <w:tblW w:type="dxa" w:w="9360"/>
        <w:jc w:val="center"/>
        <w:tblLook w:firstColumn="1" w:firstRow="1" w:lastColumn="0" w:lastRow="0" w:noHBand="0" w:noVBand="1" w:val="04A0"/>
        <w:tblInd w:w="0" w:type="dxa"/>
        <w:tblLayout w:type="fixed"/>
        <w:tblBorders>
          <w:top w:val="single" w:sz="0" w:space="0" w:color="EAF2F8"/>
          <w:left w:val="single" w:sz="0" w:space="0" w:color="EAF2F8"/>
          <w:bottom w:val="single" w:sz="0" w:space="0" w:color="EAF2F8"/>
          <w:right w:val="single" w:sz="0" w:space="0" w:color="EAF2F8"/>
        </w:tblBorders>
      </w:tblPr>
      <w:tblGrid>
        <w:gridCol w:w="120"/>
        <w:gridCol w:w="9240"/>
      </w:tblGrid>
      <w:tr>
        <w:tc>
          <w:tcPr>
            <w:tcW w:type="dxa" w:w="120"/>
            <w:tcMar>
              <w:top w:w="120" w:type="dxa"/>
              <w:start w:w="0" w:type="dxa"/>
              <w:bottom w:w="120" w:type="dxa"/>
              <w:end w:w="0" w:type="dxa"/>
            </w:tcMar>
            <w:shd w:fill="2E74B5" w:val="clear"/>
          </w:tcPr>
          <w:p/>
        </w:tc>
        <w:tc>
          <w:tcPr>
            <w:tcW w:type="dxa" w:w="9240"/>
            <w:tcMar>
              <w:top w:w="150" w:type="dxa"/>
              <w:start w:w="180" w:type="dxa"/>
              <w:bottom w:w="150" w:type="dxa"/>
              <w:end w:w="180" w:type="dxa"/>
            </w:tcMar>
            <w:shd w:fill="EAF2F8" w:val="clear"/>
          </w:tcPr>
          <w:p>
            <w:pPr>
              <w:spacing w:after="80"/>
            </w:pPr>
            <w:r>
              <w:rPr>
                <w:rFonts w:ascii="Calibri" w:hAnsi="Calibri" w:eastAsia="Calibri"/>
                <w:b/>
                <w:color w:val="2E74B5"/>
                <w:sz w:val="22"/>
              </w:rPr>
              <w:t>Termo recomendado</w:t>
            </w:r>
          </w:p>
          <w:p>
            <w:pPr>
              <w:widowControl/>
              <w:spacing w:after="0"/>
            </w:pPr>
            <w:r>
              <w:t>Usar “Minha carteira”, porque a responsabilidade é derivada de escola.controlador_id. “Minha R.A.” só deve existir após formalizar a relação entre usuário e R.A.</w:t>
            </w:r>
          </w:p>
        </w:tc>
      </w:tr>
    </w:tbl>
    <w:p>
      <w:pPr>
        <w:spacing w:after="0"/>
      </w:pPr>
    </w:p>
    <w:p>
      <w:pPr>
        <w:pStyle w:val="Heading2"/>
        <w:keepNext/>
        <w:keepLines/>
        <w:widowControl/>
      </w:pPr>
      <w:r>
        <w:t>6.2 Três defeitos funcionais além do visual</w:t>
      </w:r>
    </w:p>
    <w:p>
      <w:pPr>
        <w:pStyle w:val="Heading3"/>
        <w:keepNext/>
        <w:keepLines/>
        <w:widowControl/>
      </w:pPr>
      <w:r>
        <w:t>a) Prioridade inicial da fila</w:t>
      </w:r>
    </w:p>
    <w:p>
      <w:pPr>
        <w:widowControl/>
      </w:pPr>
      <w:r>
        <w:t>A tela abre sempre em “Abertas” quando existe qualquer registro. Assim, o controlador vê primeiro 19 itens aguardando providência da escola, enquanto os 2 que exigem ação dele ficam na aba seguinte. Para perfis capazes de reanalisar, a fila “Para reanalisar” deve ser a primeira quando houver trabalho.</w:t>
      </w:r>
    </w:p>
    <w:p>
      <w:pPr>
        <w:pStyle w:val="Heading3"/>
        <w:keepNext/>
        <w:keepLines/>
        <w:widowControl/>
      </w:pPr>
      <w:r>
        <w:t>b) Tempo na etapa divergente</w:t>
      </w:r>
    </w:p>
    <w:p>
      <w:pPr>
        <w:widowControl/>
      </w:pPr>
      <w:r>
        <w:t>A projeção operacional canônica reinicia a contagem quando a pendência é reaberta, volta a incorreta ou fica com arquivo indisponível. A página, entretanto, usa a data original de abertura para registros abertos. Isso pode alterar o número exibido, o filtro de idade e a ordenação após uma transição.</w:t>
      </w:r>
    </w:p>
    <w:p>
      <w:pPr>
        <w:pStyle w:val="Heading3"/>
        <w:keepNext/>
        <w:keepLines/>
        <w:widowControl/>
      </w:pPr>
      <w:r>
        <w:t>c) Reabertura de canceladas</w:t>
      </w:r>
    </w:p>
    <w:p>
      <w:pPr>
        <w:widowControl/>
      </w:pPr>
      <w:r>
        <w:t>A regra de domínio PEND-05 permite reabrir pendências resolvidas ou canceladas. A interface oferece e aceita a ação apenas para resolvidas. É um desalinhamento real entre regra e tela, não uma preferência de design.</w:t>
      </w:r>
    </w:p>
    <w:p>
      <w:pPr>
        <w:pStyle w:val="Heading2"/>
        <w:keepNext/>
        <w:keepLines/>
        <w:widowControl/>
      </w:pPr>
      <w:r>
        <w:t>6.3 Fragilidade arquitetural da interface</w:t>
      </w:r>
    </w:p>
    <w:p>
      <w:pPr>
        <w:widowControl/>
      </w:pPr>
      <w:r>
        <w:t>A tela principal renderiza um primeiro conjunto de ações. Depois, módulos com MutationObserver tornam o cartão inteiro clicável, recolhem filtros e acrescentam contato, cancelamento ou reabertura. Esse desenho explica redundâncias como cartão clicável + botão “Ver detalhes” e aumenta o risco de diferenças entre desktop, mobile, status e perfil.</w:t>
      </w:r>
    </w:p>
    <w:tbl>
      <w:tblPr>
        <w:tblW w:type="dxa" w:w="9360"/>
        <w:jc w:val="center"/>
        <w:tblLook w:firstColumn="1" w:firstRow="1" w:lastColumn="0" w:lastRow="0" w:noHBand="0" w:noVBand="1" w:val="04A0"/>
        <w:tblInd w:w="0" w:type="dxa"/>
        <w:tblLayout w:type="fixed"/>
        <w:tblBorders>
          <w:top w:val="single" w:sz="0" w:space="0" w:color="F3E8FF"/>
          <w:left w:val="single" w:sz="0" w:space="0" w:color="F3E8FF"/>
          <w:bottom w:val="single" w:sz="0" w:space="0" w:color="F3E8FF"/>
          <w:right w:val="single" w:sz="0" w:space="0" w:color="F3E8FF"/>
        </w:tblBorders>
      </w:tblPr>
      <w:tblGrid>
        <w:gridCol w:w="120"/>
        <w:gridCol w:w="9240"/>
      </w:tblGrid>
      <w:tr>
        <w:tc>
          <w:tcPr>
            <w:tcW w:type="dxa" w:w="120"/>
            <w:tcMar>
              <w:top w:w="120" w:type="dxa"/>
              <w:start w:w="0" w:type="dxa"/>
              <w:bottom w:w="120" w:type="dxa"/>
              <w:end w:w="0" w:type="dxa"/>
            </w:tcMar>
            <w:shd w:fill="6D28D9" w:val="clear"/>
          </w:tcPr>
          <w:p/>
        </w:tc>
        <w:tc>
          <w:tcPr>
            <w:tcW w:type="dxa" w:w="9240"/>
            <w:tcMar>
              <w:top w:w="150" w:type="dxa"/>
              <w:start w:w="180" w:type="dxa"/>
              <w:bottom w:w="150" w:type="dxa"/>
              <w:end w:w="180" w:type="dxa"/>
            </w:tcMar>
            <w:shd w:fill="F3E8FF" w:val="clear"/>
          </w:tcPr>
          <w:p>
            <w:pPr>
              <w:spacing w:after="80"/>
            </w:pPr>
            <w:r>
              <w:rPr>
                <w:rFonts w:ascii="Calibri" w:hAnsi="Calibri" w:eastAsia="Calibri"/>
                <w:b/>
                <w:color w:val="6D28D9"/>
                <w:sz w:val="22"/>
              </w:rPr>
              <w:t>Direção técnica</w:t>
            </w:r>
          </w:p>
          <w:p>
            <w:pPr>
              <w:widowControl/>
              <w:spacing w:after="0"/>
            </w:pPr>
            <w:r>
              <w:t>Criar um único `getPendencyActionModel(record, profile)` e renderizar as ações diretamente. Decoradores posteriores podem cuidar de melhorias não críticas, mas não devem decidir regras ou acrescentar ações essenciais.</w:t>
            </w:r>
          </w:p>
        </w:tc>
      </w:tr>
    </w:tbl>
    <w:p>
      <w:pPr>
        <w:spacing w:after="0"/>
      </w:pPr>
    </w:p>
    <w:p>
      <w:pPr>
        <w:pStyle w:val="Heading1"/>
        <w:keepNext/>
        <w:keepLines/>
        <w:widowControl/>
      </w:pPr>
      <w:r>
        <w:t>7. Modelo-alvo da fila operacional</w:t>
      </w:r>
    </w:p>
    <w:p>
      <w:pPr>
        <w:pStyle w:val="Heading2"/>
        <w:keepNext/>
        <w:keepLines/>
        <w:widowControl/>
      </w:pPr>
      <w:r>
        <w:t>7.1 Topo e escopo</w:t>
      </w:r>
    </w:p>
    <w:p>
      <w:pPr>
        <w:pStyle w:val="ReportBullet"/>
        <w:widowControl/>
      </w:pPr>
      <w:r>
        <w:t>Resumo clicável: ativas, para reanalisar, faixas de tempo e quantidade na carteira.</w:t>
      </w:r>
    </w:p>
    <w:p>
      <w:pPr>
        <w:pStyle w:val="ReportBullet"/>
        <w:widowControl/>
      </w:pPr>
      <w:r>
        <w:t>Escopo visível: Minha carteira / Todas. A recomendação é Minha carteira como padrão para controlador, com acesso imediato a Todas.</w:t>
      </w:r>
    </w:p>
    <w:p>
      <w:pPr>
        <w:pStyle w:val="ReportBullet"/>
        <w:widowControl/>
      </w:pPr>
      <w:r>
        <w:t>Filtros visíveis: R.A., controlador quando aplicável, escola pesquisável e tempo na etapa.</w:t>
      </w:r>
    </w:p>
    <w:p>
      <w:pPr>
        <w:pStyle w:val="ReportBullet"/>
        <w:widowControl/>
      </w:pPr>
      <w:r>
        <w:t>Busca por nome e designação com autocomplete; substituir o select nativo longo.</w:t>
      </w:r>
    </w:p>
    <w:p>
      <w:pPr>
        <w:pStyle w:val="ReportBullet"/>
        <w:widowControl/>
      </w:pPr>
      <w:r>
        <w:t>Filtros avançados: competência, programa, documento e erro.</w:t>
      </w:r>
    </w:p>
    <w:p>
      <w:pPr>
        <w:pStyle w:val="ReportBullet"/>
        <w:widowControl/>
      </w:pPr>
      <w:r>
        <w:t>Ordenação: tempo na etapa decrescente/crescente, escola A–Z e competência; “Mais antigas” é ordenação, não filtro.</w:t>
      </w:r>
    </w:p>
    <w:p>
      <w:pPr>
        <w:pStyle w:val="Heading2"/>
        <w:keepNext/>
        <w:keepLines/>
        <w:widowControl/>
      </w:pPr>
      <w:r>
        <w:t>7.2 Abas orientadas ao trabalho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2200"/>
        <w:gridCol w:w="4860"/>
      </w:tblGrid>
      <w:tr>
        <w:trPr>
          <w:tblHeader w:val="true"/>
          <w:cantSplit/>
        </w:trPr>
        <w:tc>
          <w:tcPr>
            <w:tcW w:type="dxa" w:w="23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Estado persistido</w:t>
            </w:r>
          </w:p>
        </w:tc>
        <w:tc>
          <w:tcPr>
            <w:tcW w:type="dxa" w:w="22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Rótulo proposto</w:t>
            </w:r>
          </w:p>
        </w:tc>
        <w:tc>
          <w:tcPr>
            <w:tcW w:type="dxa" w:w="48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Prioridade e comportamento</w:t>
            </w:r>
          </w:p>
        </w:tc>
      </w:tr>
      <w:tr>
        <w:trPr>
          <w:cantSplit/>
        </w:trPr>
        <w:tc>
          <w:tcPr>
            <w:tcW w:type="dxa" w:w="2300"/>
            <w:vAlign w:val="center"/>
          </w:tcPr>
          <w:p>
            <w:pPr>
              <w:spacing w:after="0"/>
            </w:pPr>
            <w:r>
              <w:rPr>
                <w:rFonts w:ascii="Calibri" w:hAnsi="Calibri" w:eastAsia="Calibri"/>
                <w:color w:val="172033"/>
                <w:sz w:val="17"/>
              </w:rPr>
              <w:t>Aguardando reanálise</w:t>
            </w:r>
          </w:p>
        </w:tc>
        <w:tc>
          <w:tcPr>
            <w:tcW w:type="dxa" w:w="2200"/>
            <w:vAlign w:val="center"/>
          </w:tcPr>
          <w:p>
            <w:pPr>
              <w:spacing w:after="0"/>
            </w:pPr>
            <w:r>
              <w:rPr>
                <w:rFonts w:ascii="Calibri" w:hAnsi="Calibri" w:eastAsia="Calibri"/>
                <w:color w:val="172033"/>
                <w:sz w:val="17"/>
              </w:rPr>
              <w:t>Para reanalisar</w:t>
            </w:r>
          </w:p>
        </w:tc>
        <w:tc>
          <w:tcPr>
            <w:tcW w:type="dxa" w:w="4860"/>
            <w:vAlign w:val="center"/>
          </w:tcPr>
          <w:p>
            <w:pPr>
              <w:spacing w:after="0"/>
            </w:pPr>
            <w:r>
              <w:rPr>
                <w:rFonts w:ascii="Calibri" w:hAnsi="Calibri" w:eastAsia="Calibri"/>
                <w:color w:val="172033"/>
                <w:sz w:val="17"/>
              </w:rPr>
              <w:t>Primeira aba para perfis que podem reanalisar, quando houver itens</w:t>
            </w:r>
          </w:p>
        </w:tc>
      </w:tr>
      <w:tr>
        <w:trPr>
          <w:cantSplit/>
        </w:trPr>
        <w:tc>
          <w:tcPr>
            <w:tcW w:type="dxa" w:w="2300"/>
            <w:shd w:fill="F8FAFC" w:val="clear"/>
            <w:vAlign w:val="center"/>
          </w:tcPr>
          <w:p>
            <w:pPr>
              <w:spacing w:after="0"/>
            </w:pPr>
            <w:r>
              <w:rPr>
                <w:rFonts w:ascii="Calibri" w:hAnsi="Calibri" w:eastAsia="Calibri"/>
                <w:color w:val="172033"/>
                <w:sz w:val="17"/>
              </w:rPr>
              <w:t>Aberta</w:t>
            </w:r>
          </w:p>
        </w:tc>
        <w:tc>
          <w:tcPr>
            <w:tcW w:type="dxa" w:w="2200"/>
            <w:shd w:fill="F8FAFC" w:val="clear"/>
            <w:vAlign w:val="center"/>
          </w:tcPr>
          <w:p>
            <w:pPr>
              <w:spacing w:after="0"/>
            </w:pPr>
            <w:r>
              <w:rPr>
                <w:rFonts w:ascii="Calibri" w:hAnsi="Calibri" w:eastAsia="Calibri"/>
                <w:color w:val="172033"/>
                <w:sz w:val="17"/>
              </w:rPr>
              <w:t>Aguardando escola</w:t>
            </w:r>
          </w:p>
        </w:tc>
        <w:tc>
          <w:tcPr>
            <w:tcW w:type="dxa" w:w="4860"/>
            <w:shd w:fill="F8FAFC" w:val="clear"/>
            <w:vAlign w:val="center"/>
          </w:tcPr>
          <w:p>
            <w:pPr>
              <w:spacing w:after="0"/>
            </w:pPr>
            <w:r>
              <w:rPr>
                <w:rFonts w:ascii="Calibri" w:hAnsi="Calibri" w:eastAsia="Calibri"/>
                <w:color w:val="172033"/>
                <w:sz w:val="17"/>
              </w:rPr>
              <w:t>Mostra passivo que depende da unidade; continua integralmente visível</w:t>
            </w:r>
          </w:p>
        </w:tc>
      </w:tr>
      <w:tr>
        <w:trPr>
          <w:cantSplit/>
        </w:trPr>
        <w:tc>
          <w:tcPr>
            <w:tcW w:type="dxa" w:w="2300"/>
            <w:vAlign w:val="center"/>
          </w:tcPr>
          <w:p>
            <w:pPr>
              <w:spacing w:after="0"/>
            </w:pPr>
            <w:r>
              <w:rPr>
                <w:rFonts w:ascii="Calibri" w:hAnsi="Calibri" w:eastAsia="Calibri"/>
                <w:color w:val="172033"/>
                <w:sz w:val="17"/>
              </w:rPr>
              <w:t>Resolvida</w:t>
            </w:r>
          </w:p>
        </w:tc>
        <w:tc>
          <w:tcPr>
            <w:tcW w:type="dxa" w:w="2200"/>
            <w:vAlign w:val="center"/>
          </w:tcPr>
          <w:p>
            <w:pPr>
              <w:spacing w:after="0"/>
            </w:pPr>
            <w:r>
              <w:rPr>
                <w:rFonts w:ascii="Calibri" w:hAnsi="Calibri" w:eastAsia="Calibri"/>
                <w:color w:val="172033"/>
                <w:sz w:val="17"/>
              </w:rPr>
              <w:t>Concluídas</w:t>
            </w:r>
          </w:p>
        </w:tc>
        <w:tc>
          <w:tcPr>
            <w:tcW w:type="dxa" w:w="4860"/>
            <w:vAlign w:val="center"/>
          </w:tcPr>
          <w:p>
            <w:pPr>
              <w:spacing w:after="0"/>
            </w:pPr>
            <w:r>
              <w:rPr>
                <w:rFonts w:ascii="Calibri" w:hAnsi="Calibri" w:eastAsia="Calibri"/>
                <w:color w:val="172033"/>
                <w:sz w:val="17"/>
              </w:rPr>
              <w:t>Consulta histórica compacta; sem ações ativas indevidas</w:t>
            </w:r>
          </w:p>
        </w:tc>
      </w:tr>
      <w:tr>
        <w:trPr>
          <w:cantSplit/>
        </w:trPr>
        <w:tc>
          <w:tcPr>
            <w:tcW w:type="dxa" w:w="2300"/>
            <w:shd w:fill="F8FAFC" w:val="clear"/>
            <w:vAlign w:val="center"/>
          </w:tcPr>
          <w:p>
            <w:pPr>
              <w:spacing w:after="0"/>
            </w:pPr>
            <w:r>
              <w:rPr>
                <w:rFonts w:ascii="Calibri" w:hAnsi="Calibri" w:eastAsia="Calibri"/>
                <w:color w:val="172033"/>
                <w:sz w:val="17"/>
              </w:rPr>
              <w:t>Cancelada</w:t>
            </w:r>
          </w:p>
        </w:tc>
        <w:tc>
          <w:tcPr>
            <w:tcW w:type="dxa" w:w="2200"/>
            <w:shd w:fill="F8FAFC" w:val="clear"/>
            <w:vAlign w:val="center"/>
          </w:tcPr>
          <w:p>
            <w:pPr>
              <w:spacing w:after="0"/>
            </w:pPr>
            <w:r>
              <w:rPr>
                <w:rFonts w:ascii="Calibri" w:hAnsi="Calibri" w:eastAsia="Calibri"/>
                <w:color w:val="172033"/>
                <w:sz w:val="17"/>
              </w:rPr>
              <w:t>Canceladas</w:t>
            </w:r>
          </w:p>
        </w:tc>
        <w:tc>
          <w:tcPr>
            <w:tcW w:type="dxa" w:w="4860"/>
            <w:shd w:fill="F8FAFC" w:val="clear"/>
            <w:vAlign w:val="center"/>
          </w:tcPr>
          <w:p>
            <w:pPr>
              <w:spacing w:after="0"/>
            </w:pPr>
            <w:r>
              <w:rPr>
                <w:rFonts w:ascii="Calibri" w:hAnsi="Calibri" w:eastAsia="Calibri"/>
                <w:color w:val="172033"/>
                <w:sz w:val="17"/>
              </w:rPr>
              <w:t>Consulta histórica e reabertura quando autorizada</w:t>
            </w:r>
          </w:p>
        </w:tc>
      </w:tr>
    </w:tbl>
    <w:p>
      <w:pPr>
        <w:spacing w:after="0"/>
      </w:pPr>
    </w:p>
    <w:p>
      <w:pPr>
        <w:pStyle w:val="Heading2"/>
        <w:keepNext/>
        <w:keepLines/>
        <w:widowControl/>
      </w:pPr>
      <w:r>
        <w:t>7.3 Uma ação principal por estado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00"/>
        <w:gridCol w:w="2400"/>
        <w:gridCol w:w="3460"/>
        <w:gridCol w:w="1700"/>
      </w:tblGrid>
      <w:tr>
        <w:trPr>
          <w:tblHeader w:val="true"/>
          <w:cantSplit/>
        </w:trPr>
        <w:tc>
          <w:tcPr>
            <w:tcW w:type="dxa" w:w="18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Estado</w:t>
            </w:r>
          </w:p>
        </w:tc>
        <w:tc>
          <w:tcPr>
            <w:tcW w:type="dxa" w:w="24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Ação principal</w:t>
            </w:r>
          </w:p>
        </w:tc>
        <w:tc>
          <w:tcPr>
            <w:tcW w:type="dxa" w:w="34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Ações secundárias</w:t>
            </w:r>
          </w:p>
        </w:tc>
        <w:tc>
          <w:tcPr>
            <w:tcW w:type="dxa" w:w="17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Ação excepcional</w:t>
            </w:r>
          </w:p>
        </w:tc>
      </w:tr>
      <w:tr>
        <w:trPr>
          <w:cantSplit/>
        </w:trPr>
        <w:tc>
          <w:tcPr>
            <w:tcW w:type="dxa" w:w="1800"/>
            <w:vAlign w:val="center"/>
          </w:tcPr>
          <w:p>
            <w:pPr>
              <w:spacing w:after="0"/>
            </w:pPr>
            <w:r>
              <w:rPr>
                <w:rFonts w:ascii="Calibri" w:hAnsi="Calibri" w:eastAsia="Calibri"/>
                <w:color w:val="172033"/>
                <w:sz w:val="17"/>
              </w:rPr>
              <w:t>Aberta</w:t>
            </w:r>
          </w:p>
        </w:tc>
        <w:tc>
          <w:tcPr>
            <w:tcW w:type="dxa" w:w="2400"/>
            <w:vAlign w:val="center"/>
          </w:tcPr>
          <w:p>
            <w:pPr>
              <w:spacing w:after="0"/>
            </w:pPr>
            <w:r>
              <w:rPr>
                <w:rFonts w:ascii="Calibri" w:hAnsi="Calibri" w:eastAsia="Calibri"/>
                <w:color w:val="172033"/>
                <w:sz w:val="17"/>
              </w:rPr>
              <w:t>Registrar novo envio</w:t>
            </w:r>
          </w:p>
        </w:tc>
        <w:tc>
          <w:tcPr>
            <w:tcW w:type="dxa" w:w="3460"/>
            <w:vAlign w:val="center"/>
          </w:tcPr>
          <w:p>
            <w:pPr>
              <w:spacing w:after="0"/>
            </w:pPr>
            <w:r>
              <w:rPr>
                <w:rFonts w:ascii="Calibri" w:hAnsi="Calibri" w:eastAsia="Calibri"/>
                <w:color w:val="172033"/>
                <w:sz w:val="17"/>
              </w:rPr>
              <w:t>Prontuário; contato</w:t>
            </w:r>
          </w:p>
        </w:tc>
        <w:tc>
          <w:tcPr>
            <w:tcW w:type="dxa" w:w="1700"/>
            <w:vAlign w:val="center"/>
          </w:tcPr>
          <w:p>
            <w:pPr>
              <w:spacing w:after="0"/>
            </w:pPr>
            <w:r>
              <w:rPr>
                <w:rFonts w:ascii="Calibri" w:hAnsi="Calibri" w:eastAsia="Calibri"/>
                <w:color w:val="172033"/>
                <w:sz w:val="17"/>
              </w:rPr>
              <w:t>Cancelar, no menu e com confirmação</w:t>
            </w:r>
          </w:p>
        </w:tc>
      </w:tr>
      <w:tr>
        <w:trPr>
          <w:cantSplit/>
        </w:trPr>
        <w:tc>
          <w:tcPr>
            <w:tcW w:type="dxa" w:w="1800"/>
            <w:shd w:fill="F8FAFC" w:val="clear"/>
            <w:vAlign w:val="center"/>
          </w:tcPr>
          <w:p>
            <w:pPr>
              <w:spacing w:after="0"/>
            </w:pPr>
            <w:r>
              <w:rPr>
                <w:rFonts w:ascii="Calibri" w:hAnsi="Calibri" w:eastAsia="Calibri"/>
                <w:color w:val="172033"/>
                <w:sz w:val="17"/>
              </w:rPr>
              <w:t>Aguardando reanálise</w:t>
            </w:r>
          </w:p>
        </w:tc>
        <w:tc>
          <w:tcPr>
            <w:tcW w:type="dxa" w:w="2400"/>
            <w:shd w:fill="F8FAFC" w:val="clear"/>
            <w:vAlign w:val="center"/>
          </w:tcPr>
          <w:p>
            <w:pPr>
              <w:spacing w:after="0"/>
            </w:pPr>
            <w:r>
              <w:rPr>
                <w:rFonts w:ascii="Calibri" w:hAnsi="Calibri" w:eastAsia="Calibri"/>
                <w:color w:val="172033"/>
                <w:sz w:val="17"/>
              </w:rPr>
              <w:t>Reanalisar</w:t>
            </w:r>
          </w:p>
        </w:tc>
        <w:tc>
          <w:tcPr>
            <w:tcW w:type="dxa" w:w="3460"/>
            <w:shd w:fill="F8FAFC" w:val="clear"/>
            <w:vAlign w:val="center"/>
          </w:tcPr>
          <w:p>
            <w:pPr>
              <w:spacing w:after="0"/>
            </w:pPr>
            <w:r>
              <w:rPr>
                <w:rFonts w:ascii="Calibri" w:hAnsi="Calibri" w:eastAsia="Calibri"/>
                <w:color w:val="172033"/>
                <w:sz w:val="17"/>
              </w:rPr>
              <w:t>Substituição mais recente; prontuário; contato</w:t>
            </w:r>
          </w:p>
        </w:tc>
        <w:tc>
          <w:tcPr>
            <w:tcW w:type="dxa" w:w="1700"/>
            <w:shd w:fill="F8FAFC" w:val="clear"/>
            <w:vAlign w:val="center"/>
          </w:tcPr>
          <w:p>
            <w:pPr>
              <w:spacing w:after="0"/>
            </w:pPr>
            <w:r>
              <w:rPr>
                <w:rFonts w:ascii="Calibri" w:hAnsi="Calibri" w:eastAsia="Calibri"/>
                <w:color w:val="172033"/>
                <w:sz w:val="17"/>
              </w:rPr>
              <w:t>Cancelar, no menu e com confirmação</w:t>
            </w:r>
          </w:p>
        </w:tc>
      </w:tr>
      <w:tr>
        <w:trPr>
          <w:cantSplit/>
        </w:trPr>
        <w:tc>
          <w:tcPr>
            <w:tcW w:type="dxa" w:w="1800"/>
            <w:vAlign w:val="center"/>
          </w:tcPr>
          <w:p>
            <w:pPr>
              <w:spacing w:after="0"/>
            </w:pPr>
            <w:r>
              <w:rPr>
                <w:rFonts w:ascii="Calibri" w:hAnsi="Calibri" w:eastAsia="Calibri"/>
                <w:color w:val="172033"/>
                <w:sz w:val="17"/>
              </w:rPr>
              <w:t>Resolvida</w:t>
            </w:r>
          </w:p>
        </w:tc>
        <w:tc>
          <w:tcPr>
            <w:tcW w:type="dxa" w:w="2400"/>
            <w:vAlign w:val="center"/>
          </w:tcPr>
          <w:p>
            <w:pPr>
              <w:spacing w:after="0"/>
            </w:pPr>
            <w:r>
              <w:rPr>
                <w:rFonts w:ascii="Calibri" w:hAnsi="Calibri" w:eastAsia="Calibri"/>
                <w:color w:val="172033"/>
                <w:sz w:val="17"/>
              </w:rPr>
              <w:t>Abrir detalhes/histórico</w:t>
            </w:r>
          </w:p>
        </w:tc>
        <w:tc>
          <w:tcPr>
            <w:tcW w:type="dxa" w:w="3460"/>
            <w:vAlign w:val="center"/>
          </w:tcPr>
          <w:p>
            <w:pPr>
              <w:spacing w:after="0"/>
            </w:pPr>
            <w:r>
              <w:rPr>
                <w:rFonts w:ascii="Calibri" w:hAnsi="Calibri" w:eastAsia="Calibri"/>
                <w:color w:val="172033"/>
                <w:sz w:val="17"/>
              </w:rPr>
              <w:t>Reabrir, se autorizado; prontuário</w:t>
            </w:r>
          </w:p>
        </w:tc>
        <w:tc>
          <w:tcPr>
            <w:tcW w:type="dxa" w:w="1700"/>
            <w:vAlign w:val="center"/>
          </w:tcPr>
          <w:p>
            <w:pPr>
              <w:spacing w:after="0"/>
            </w:pPr>
            <w:r>
              <w:rPr>
                <w:rFonts w:ascii="Calibri" w:hAnsi="Calibri" w:eastAsia="Calibri"/>
                <w:color w:val="172033"/>
                <w:sz w:val="17"/>
              </w:rPr>
              <w:t>Nenhuma ação de contato</w:t>
            </w:r>
          </w:p>
        </w:tc>
      </w:tr>
      <w:tr>
        <w:trPr>
          <w:cantSplit/>
        </w:trPr>
        <w:tc>
          <w:tcPr>
            <w:tcW w:type="dxa" w:w="1800"/>
            <w:shd w:fill="F8FAFC" w:val="clear"/>
            <w:vAlign w:val="center"/>
          </w:tcPr>
          <w:p>
            <w:pPr>
              <w:spacing w:after="0"/>
            </w:pPr>
            <w:r>
              <w:rPr>
                <w:rFonts w:ascii="Calibri" w:hAnsi="Calibri" w:eastAsia="Calibri"/>
                <w:color w:val="172033"/>
                <w:sz w:val="17"/>
              </w:rPr>
              <w:t>Cancelada</w:t>
            </w:r>
          </w:p>
        </w:tc>
        <w:tc>
          <w:tcPr>
            <w:tcW w:type="dxa" w:w="2400"/>
            <w:shd w:fill="F8FAFC" w:val="clear"/>
            <w:vAlign w:val="center"/>
          </w:tcPr>
          <w:p>
            <w:pPr>
              <w:spacing w:after="0"/>
            </w:pPr>
            <w:r>
              <w:rPr>
                <w:rFonts w:ascii="Calibri" w:hAnsi="Calibri" w:eastAsia="Calibri"/>
                <w:color w:val="172033"/>
                <w:sz w:val="17"/>
              </w:rPr>
              <w:t>Abrir detalhes/histórico</w:t>
            </w:r>
          </w:p>
        </w:tc>
        <w:tc>
          <w:tcPr>
            <w:tcW w:type="dxa" w:w="3460"/>
            <w:shd w:fill="F8FAFC" w:val="clear"/>
            <w:vAlign w:val="center"/>
          </w:tcPr>
          <w:p>
            <w:pPr>
              <w:spacing w:after="0"/>
            </w:pPr>
            <w:r>
              <w:rPr>
                <w:rFonts w:ascii="Calibri" w:hAnsi="Calibri" w:eastAsia="Calibri"/>
                <w:color w:val="172033"/>
                <w:sz w:val="17"/>
              </w:rPr>
              <w:t>Reabrir conforme PEND-05; prontuário</w:t>
            </w:r>
          </w:p>
        </w:tc>
        <w:tc>
          <w:tcPr>
            <w:tcW w:type="dxa" w:w="1700"/>
            <w:shd w:fill="F8FAFC" w:val="clear"/>
            <w:vAlign w:val="center"/>
          </w:tcPr>
          <w:p>
            <w:pPr>
              <w:spacing w:after="0"/>
            </w:pPr>
            <w:r>
              <w:rPr>
                <w:rFonts w:ascii="Calibri" w:hAnsi="Calibri" w:eastAsia="Calibri"/>
                <w:color w:val="172033"/>
                <w:sz w:val="17"/>
              </w:rPr>
              <w:t>Nenhuma ação de contato</w:t>
            </w:r>
          </w:p>
        </w:tc>
      </w:tr>
    </w:tbl>
    <w:p>
      <w:pPr>
        <w:spacing w:after="0"/>
      </w:pPr>
    </w:p>
    <w:p>
      <w:pPr>
        <w:widowControl/>
      </w:pPr>
      <w:r>
        <w:t>Como o cartão inteiro já pode abrir os detalhes, o botão “Ver detalhes” deve ser removido do cartão. A acessibilidade precisa ser preservada com foco, Enter/Espaço e nome acessível completo.</w:t>
      </w:r>
    </w:p>
    <w:p>
      <w:pPr>
        <w:pStyle w:val="Heading2"/>
        <w:keepNext/>
        <w:keepLines/>
        <w:widowControl/>
      </w:pPr>
      <w:r>
        <w:t>7.4 Agrupamento por escola</w:t>
      </w:r>
    </w:p>
    <w:p>
      <w:pPr>
        <w:widowControl/>
      </w:pPr>
      <w:r>
        <w:t>A concentração atual — 12 pendências ativas em uma escola e 9 em outra — torna o agrupamento por escola valioso. Entretanto, não se recomenda torná-lo padrão sem tratar a regra de prioridade global por antiguidade prevista na ADR-044.</w:t>
      </w:r>
    </w:p>
    <w:p>
      <w:pPr>
        <w:pStyle w:val="ReportBullet"/>
        <w:widowControl/>
      </w:pPr>
      <w:r>
        <w:t>Primeira versão: alternância Lista / Agrupar por escola, mantendo Lista como padrão.</w:t>
      </w:r>
    </w:p>
    <w:p>
      <w:pPr>
        <w:pStyle w:val="ReportBullet"/>
        <w:widowControl/>
      </w:pPr>
      <w:r>
        <w:t>O grupo mostra nome, designação, R.A., controlador e contagens; ao expandir, preserva a ordenação correta das pendências.</w:t>
      </w:r>
    </w:p>
    <w:p>
      <w:pPr>
        <w:pStyle w:val="ReportBullet"/>
        <w:widowControl/>
      </w:pPr>
      <w:r>
        <w:t>Ações de grupo devem limitar-se a expandir ou filtrar. “Registrar contato” é ambíguo porque o contato atual exige pendency_id; “Abrir prontuário” também é ambíguo entre competências.</w:t>
      </w:r>
    </w:p>
    <w:p>
      <w:pPr>
        <w:pStyle w:val="ReportBullet"/>
        <w:widowControl/>
      </w:pPr>
      <w:r>
        <w:t>Somente depois de definir semântica de grupo deve-se criar ação única para a escola.</w:t>
      </w:r>
    </w:p>
    <w:p>
      <w:r>
        <w:br w:type="page"/>
      </w:r>
    </w:p>
    <w:p>
      <w:pPr>
        <w:pStyle w:val="Heading3"/>
        <w:keepNext/>
        <w:keepLines/>
        <w:widowControl/>
      </w:pPr>
      <w:r>
        <w:t>Tela proposta — fila operacional</w:t>
      </w:r>
    </w:p>
    <w:tbl>
      <w:tblPr>
        <w:tblW w:type="dxa" w:w="8700"/>
        <w:jc w:val="center"/>
        <w:tblLook w:firstColumn="1" w:firstRow="1" w:lastColumn="0" w:lastRow="0" w:noHBand="0" w:noVBand="1" w:val="04A0"/>
        <w:tblInd w:w="330" w:type="dxa"/>
        <w:tblLayout w:type="fixed"/>
        <w:tblBorders>
          <w:top w:val="single" w:sz="10" w:space="0" w:color="A78BFA"/>
          <w:left w:val="single" w:sz="10" w:space="0" w:color="A78BFA"/>
          <w:bottom w:val="single" w:sz="10" w:space="0" w:color="A78BFA"/>
          <w:right w:val="single" w:sz="10" w:space="0" w:color="A78BFA"/>
        </w:tblBorders>
      </w:tblPr>
      <w:tblGrid>
        <w:gridCol w:w="8700"/>
      </w:tblGrid>
      <w:tr>
        <w:tc>
          <w:tcPr>
            <w:tcW w:type="dxa" w:w="8700"/>
            <w:tcMar>
              <w:top w:w="180" w:type="dxa"/>
              <w:start w:w="180" w:type="dxa"/>
              <w:bottom w:w="180" w:type="dxa"/>
              <w:end w:w="180" w:type="dxa"/>
            </w:tcMar>
            <w:shd w:fill="FAFAFF" w:val="clear"/>
          </w:tcPr>
          <w:p>
            <w:r>
              <w:rPr>
                <w:rFonts w:ascii="Calibri" w:hAnsi="Calibri" w:eastAsia="Calibri"/>
                <w:b/>
                <w:color w:val="172033"/>
                <w:sz w:val="30"/>
              </w:rPr>
              <w:t>Pendências operacionais</w:t>
            </w:r>
          </w:p>
          <w:p>
            <w:r>
              <w:rPr>
                <w:rFonts w:ascii="Calibri" w:hAnsi="Calibri" w:eastAsia="Calibri"/>
                <w:color w:val="667085"/>
                <w:sz w:val="18"/>
              </w:rPr>
              <w:t>Todas as competências continuam visíveis. O recorte organiza o trabalho, sem ocultar o passivo.</w:t>
            </w:r>
          </w:p>
          <w:tbl>
            <w:tblPr>
              <w:tblW w:type="dxa" w:w="8300"/>
              <w:tblLook w:firstColumn="1" w:firstRow="1" w:lastColumn="0" w:lastRow="0" w:noHBand="0" w:noVBand="1" w:val="04A0"/>
              <w:tblInd w:w="0" w:type="dxa"/>
              <w:tblLayout w:type="fixed"/>
              <w:tblBorders>
                <w:top w:val="single" w:sz="6" w:space="0" w:color="DDD6FE"/>
                <w:left w:val="single" w:sz="6" w:space="0" w:color="DDD6FE"/>
                <w:bottom w:val="single" w:sz="6" w:space="0" w:color="DDD6FE"/>
                <w:right w:val="single" w:sz="6" w:space="0" w:color="DDD6FE"/>
                <w:insideH w:val="single" w:sz="6" w:space="0" w:color="DDD6FE"/>
                <w:insideV w:val="single" w:sz="6" w:space="0" w:color="DDD6FE"/>
              </w:tblBorders>
            </w:tblPr>
            <w:tblGrid>
              <w:gridCol w:w="2000"/>
              <w:gridCol w:w="2100"/>
              <w:gridCol w:w="2100"/>
              <w:gridCol w:w="2100"/>
            </w:tblGrid>
            <w:tr>
              <w:tc>
                <w:tcPr>
                  <w:tcW w:type="dxa" w:w="2000"/>
                  <w:tcMar>
                    <w:top w:w="80" w:type="dxa"/>
                    <w:start w:w="120" w:type="dxa"/>
                    <w:bottom w:w="80" w:type="dxa"/>
                    <w:end w:w="120" w:type="dxa"/>
                  </w:tcMar>
                  <w:shd w:fill="F3E8FF" w:val="clear"/>
                </w:tcPr>
                <w:p>
                  <w:pPr>
                    <w:jc w:val="center"/>
                  </w:pPr>
                  <w:r>
                    <w:rPr>
                      <w:rFonts w:ascii="Calibri" w:hAnsi="Calibri" w:eastAsia="Calibri"/>
                      <w:b/>
                      <w:color w:val="4C1D95"/>
                      <w:sz w:val="28"/>
                    </w:rPr>
                    <w:t>21</w:t>
                  </w:r>
                  <w:r>
                    <w:br/>
                  </w:r>
                  <w:r>
                    <w:rPr>
                      <w:rFonts w:ascii="Calibri" w:hAnsi="Calibri" w:eastAsia="Calibri"/>
                      <w:color w:val="667085"/>
                      <w:sz w:val="16"/>
                    </w:rPr>
                    <w:t>ativas</w:t>
                  </w:r>
                </w:p>
              </w:tc>
              <w:tc>
                <w:tcPr>
                  <w:tcW w:type="dxa" w:w="2100"/>
                  <w:tcMar>
                    <w:top w:w="80" w:type="dxa"/>
                    <w:start w:w="120" w:type="dxa"/>
                    <w:bottom w:w="80" w:type="dxa"/>
                    <w:end w:w="120" w:type="dxa"/>
                  </w:tcMar>
                  <w:shd w:fill="EFF8FF" w:val="clear"/>
                </w:tcPr>
                <w:p>
                  <w:pPr>
                    <w:jc w:val="center"/>
                  </w:pPr>
                  <w:r>
                    <w:rPr>
                      <w:rFonts w:ascii="Calibri" w:hAnsi="Calibri" w:eastAsia="Calibri"/>
                      <w:b/>
                      <w:color w:val="4C1D95"/>
                      <w:sz w:val="28"/>
                    </w:rPr>
                    <w:t>2</w:t>
                  </w:r>
                  <w:r>
                    <w:br/>
                  </w:r>
                  <w:r>
                    <w:rPr>
                      <w:rFonts w:ascii="Calibri" w:hAnsi="Calibri" w:eastAsia="Calibri"/>
                      <w:color w:val="667085"/>
                      <w:sz w:val="16"/>
                    </w:rPr>
                    <w:t>para reanalisar</w:t>
                  </w:r>
                </w:p>
              </w:tc>
              <w:tc>
                <w:tcPr>
                  <w:tcW w:type="dxa" w:w="2100"/>
                  <w:tcMar>
                    <w:top w:w="80" w:type="dxa"/>
                    <w:start w:w="120" w:type="dxa"/>
                    <w:bottom w:w="80" w:type="dxa"/>
                    <w:end w:w="120" w:type="dxa"/>
                  </w:tcMar>
                  <w:shd w:fill="FFFAEB" w:val="clear"/>
                </w:tcPr>
                <w:p>
                  <w:pPr>
                    <w:jc w:val="center"/>
                  </w:pPr>
                  <w:r>
                    <w:rPr>
                      <w:rFonts w:ascii="Calibri" w:hAnsi="Calibri" w:eastAsia="Calibri"/>
                      <w:b/>
                      <w:color w:val="4C1D95"/>
                      <w:sz w:val="28"/>
                    </w:rPr>
                    <w:t>7</w:t>
                  </w:r>
                  <w:r>
                    <w:br/>
                  </w:r>
                  <w:r>
                    <w:rPr>
                      <w:rFonts w:ascii="Calibri" w:hAnsi="Calibri" w:eastAsia="Calibri"/>
                      <w:color w:val="667085"/>
                      <w:sz w:val="16"/>
                    </w:rPr>
                    <w:t>1–3 dias</w:t>
                  </w:r>
                </w:p>
              </w:tc>
              <w:tc>
                <w:tcPr>
                  <w:tcW w:type="dxa" w:w="2100"/>
                  <w:tcMar>
                    <w:top w:w="80" w:type="dxa"/>
                    <w:start w:w="120" w:type="dxa"/>
                    <w:bottom w:w="80" w:type="dxa"/>
                    <w:end w:w="120" w:type="dxa"/>
                  </w:tcMar>
                  <w:shd w:fill="FEF3F2" w:val="clear"/>
                </w:tcPr>
                <w:p>
                  <w:pPr>
                    <w:jc w:val="center"/>
                  </w:pPr>
                  <w:r>
                    <w:rPr>
                      <w:rFonts w:ascii="Calibri" w:hAnsi="Calibri" w:eastAsia="Calibri"/>
                      <w:b/>
                      <w:color w:val="4C1D95"/>
                      <w:sz w:val="28"/>
                    </w:rPr>
                    <w:t>12</w:t>
                  </w:r>
                  <w:r>
                    <w:br/>
                  </w:r>
                  <w:r>
                    <w:rPr>
                      <w:rFonts w:ascii="Calibri" w:hAnsi="Calibri" w:eastAsia="Calibri"/>
                      <w:color w:val="667085"/>
                      <w:sz w:val="16"/>
                    </w:rPr>
                    <w:t>4–7 dias</w:t>
                  </w:r>
                </w:p>
              </w:tc>
            </w:tr>
          </w:tbl>
          <w:p/>
          <w:p>
            <w:pPr>
              <w:spacing w:before="160"/>
            </w:pPr>
            <w:r>
              <w:rPr>
                <w:rFonts w:ascii="Calibri" w:hAnsi="Calibri" w:eastAsia="Calibri"/>
                <w:b/>
                <w:color w:val="FFFFFF"/>
                <w:sz w:val="18"/>
                <w:shd w:fill="6D28D9" w:val="clear"/>
              </w:rPr>
              <w:t xml:space="preserve">  Minha carteira  </w:t>
            </w:r>
            <w:r>
              <w:t xml:space="preserve"> </w:t>
            </w:r>
            <w:r>
              <w:rPr>
                <w:rFonts w:ascii="Calibri" w:hAnsi="Calibri" w:eastAsia="Calibri"/>
                <w:b w:val="0"/>
                <w:color w:val="1F4D78"/>
                <w:sz w:val="18"/>
                <w:shd w:fill="EAF2F8" w:val="clear"/>
              </w:rPr>
              <w:t xml:space="preserve">  Todas  </w:t>
            </w:r>
            <w:r>
              <w:t xml:space="preserve"> </w:t>
            </w:r>
            <w:r>
              <w:rPr>
                <w:rFonts w:ascii="Calibri" w:hAnsi="Calibri" w:eastAsia="Calibri"/>
                <w:b w:val="0"/>
                <w:color w:val="1F4D78"/>
                <w:sz w:val="18"/>
                <w:shd w:fill="EAF2F8" w:val="clear"/>
              </w:rPr>
              <w:t xml:space="preserve">  10ª R.A.  </w:t>
            </w:r>
            <w:r>
              <w:t xml:space="preserve"> </w:t>
            </w:r>
            <w:r>
              <w:rPr>
                <w:rFonts w:ascii="Calibri" w:hAnsi="Calibri" w:eastAsia="Calibri"/>
                <w:b w:val="0"/>
                <w:color w:val="1F4D78"/>
                <w:sz w:val="18"/>
                <w:shd w:fill="EAF2F8" w:val="clear"/>
              </w:rPr>
              <w:t xml:space="preserve">  Controlador  </w:t>
            </w:r>
            <w:r>
              <w:t xml:space="preserve"> </w:t>
            </w:r>
          </w:p>
          <w:p>
            <w:pPr>
              <w:spacing w:after="120"/>
            </w:pPr>
            <w:r>
              <w:rPr>
                <w:rFonts w:ascii="Calibri" w:hAnsi="Calibri" w:eastAsia="Calibri"/>
                <w:color w:val="667085"/>
                <w:sz w:val="18"/>
              </w:rPr>
              <w:t>Buscar escola ou designação…     Tempo na etapa: Todos     Mais filtros ▾</w:t>
            </w:r>
          </w:p>
          <w:p>
            <w:r>
              <w:rPr>
                <w:rFonts w:ascii="Calibri" w:hAnsi="Calibri" w:eastAsia="Calibri"/>
                <w:b/>
                <w:color w:val="4C1D95"/>
                <w:sz w:val="18"/>
              </w:rPr>
              <w:t xml:space="preserve">  Para reanalisar 2  </w:t>
            </w:r>
            <w:r>
              <w:t xml:space="preserve">   </w:t>
            </w:r>
            <w:r>
              <w:rPr>
                <w:rFonts w:ascii="Calibri" w:hAnsi="Calibri" w:eastAsia="Calibri"/>
                <w:b w:val="0"/>
                <w:color w:val="667085"/>
                <w:sz w:val="18"/>
              </w:rPr>
              <w:t xml:space="preserve">  Aguardando escola 19  </w:t>
            </w:r>
            <w:r>
              <w:t xml:space="preserve">   </w:t>
            </w:r>
            <w:r>
              <w:rPr>
                <w:rFonts w:ascii="Calibri" w:hAnsi="Calibri" w:eastAsia="Calibri"/>
                <w:b w:val="0"/>
                <w:color w:val="667085"/>
                <w:sz w:val="18"/>
              </w:rPr>
              <w:t xml:space="preserve">  Concluídas 0  </w:t>
            </w:r>
            <w:r>
              <w:t xml:space="preserve">   </w:t>
            </w:r>
            <w:r>
              <w:rPr>
                <w:rFonts w:ascii="Calibri" w:hAnsi="Calibri" w:eastAsia="Calibri"/>
                <w:b w:val="0"/>
                <w:color w:val="667085"/>
                <w:sz w:val="18"/>
              </w:rPr>
              <w:t xml:space="preserve">  Canceladas 1  </w:t>
            </w:r>
            <w:r>
              <w:t xml:space="preserve">   </w:t>
            </w:r>
          </w:p>
          <w:tbl>
            <w:tblPr>
              <w:tblW w:type="dxa" w:w="8400"/>
              <w:tblLook w:firstColumn="1" w:firstRow="1" w:lastColumn="0" w:lastRow="0" w:noHBand="0" w:noVBand="1" w:val="04A0"/>
              <w:tblInd w:w="0" w:type="dxa"/>
              <w:tblLayout w:type="fixed"/>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Pr>
            <w:tblGrid>
              <w:gridCol w:w="6000"/>
              <w:gridCol w:w="2400"/>
            </w:tblGrid>
            <w:tr>
              <w:tc>
                <w:tcPr>
                  <w:tcW w:type="dxa" w:w="6000"/>
                  <w:tcMar>
                    <w:top w:w="90" w:type="dxa"/>
                    <w:start w:w="120" w:type="dxa"/>
                    <w:bottom w:w="90" w:type="dxa"/>
                    <w:end w:w="120" w:type="dxa"/>
                  </w:tcMar>
                  <w:shd w:fill="FFFFFF" w:val="clear"/>
                </w:tcPr>
                <w:p>
                  <w:pPr>
                    <w:spacing w:after="40"/>
                  </w:pPr>
                  <w:r>
                    <w:rPr>
                      <w:rFonts w:ascii="Calibri" w:hAnsi="Calibri" w:eastAsia="Calibri"/>
                      <w:b/>
                      <w:color w:val="667085"/>
                      <w:sz w:val="15"/>
                    </w:rPr>
                    <w:t>ESCOLA MUNICIPAL TEOTONIO VILELA</w:t>
                  </w:r>
                </w:p>
                <w:p>
                  <w:pPr>
                    <w:spacing w:after="0"/>
                  </w:pPr>
                  <w:r>
                    <w:rPr>
                      <w:rFonts w:ascii="Calibri" w:hAnsi="Calibri" w:eastAsia="Calibri"/>
                      <w:b/>
                      <w:color w:val="172033"/>
                      <w:sz w:val="19"/>
                    </w:rPr>
                    <w:t>04.30.002 · 30ª R.A. · Mônica Chagas</w:t>
                  </w:r>
                </w:p>
              </w:tc>
              <w:tc>
                <w:tcPr>
                  <w:tcW w:type="dxa" w:w="2400"/>
                  <w:tcMar>
                    <w:top w:w="90" w:type="dxa"/>
                    <w:start w:w="120" w:type="dxa"/>
                    <w:bottom w:w="90" w:type="dxa"/>
                    <w:end w:w="120" w:type="dxa"/>
                  </w:tcMar>
                  <w:shd w:fill="EFF8FF" w:val="clear"/>
                </w:tcPr>
                <w:p>
                  <w:pPr>
                    <w:spacing w:after="40"/>
                  </w:pPr>
                  <w:r>
                    <w:rPr>
                      <w:rFonts w:ascii="Calibri" w:hAnsi="Calibri" w:eastAsia="Calibri"/>
                      <w:b/>
                      <w:color w:val="667085"/>
                      <w:sz w:val="15"/>
                    </w:rPr>
                    <w:t>STATUS</w:t>
                  </w:r>
                </w:p>
                <w:p>
                  <w:pPr>
                    <w:spacing w:after="0"/>
                  </w:pPr>
                  <w:r>
                    <w:rPr>
                      <w:rFonts w:ascii="Calibri" w:hAnsi="Calibri" w:eastAsia="Calibri"/>
                      <w:b/>
                      <w:color w:val="172033"/>
                      <w:sz w:val="19"/>
                    </w:rPr>
                    <w:t>Para reanalisar</w:t>
                  </w:r>
                </w:p>
              </w:tc>
            </w:tr>
            <w:tr>
              <w:tc>
                <w:tcPr>
                  <w:tcW w:type="dxa" w:w="6000"/>
                  <w:tcMar>
                    <w:top w:w="90" w:type="dxa"/>
                    <w:start w:w="120" w:type="dxa"/>
                    <w:bottom w:w="90" w:type="dxa"/>
                    <w:end w:w="120" w:type="dxa"/>
                  </w:tcMar>
                </w:tcPr>
                <w:p>
                  <w:pPr>
                    <w:spacing w:after="40"/>
                  </w:pPr>
                  <w:r>
                    <w:rPr>
                      <w:rFonts w:ascii="Calibri" w:hAnsi="Calibri" w:eastAsia="Calibri"/>
                      <w:b/>
                      <w:color w:val="667085"/>
                      <w:sz w:val="15"/>
                    </w:rPr>
                    <w:t>DOCUMENTO</w:t>
                  </w:r>
                </w:p>
                <w:p>
                  <w:pPr>
                    <w:spacing w:after="0"/>
                  </w:pPr>
                  <w:r>
                    <w:rPr>
                      <w:rFonts w:ascii="Calibri" w:hAnsi="Calibri" w:eastAsia="Calibri"/>
                      <w:b/>
                      <w:color w:val="172033"/>
                      <w:sz w:val="19"/>
                    </w:rPr>
                    <w:t>Notas Fiscais</w:t>
                  </w:r>
                </w:p>
              </w:tc>
              <w:tc>
                <w:tcPr>
                  <w:tcW w:type="dxa" w:w="2400"/>
                  <w:tcMar>
                    <w:top w:w="90" w:type="dxa"/>
                    <w:start w:w="120" w:type="dxa"/>
                    <w:bottom w:w="90" w:type="dxa"/>
                    <w:end w:w="120" w:type="dxa"/>
                  </w:tcMar>
                </w:tcPr>
                <w:p>
                  <w:pPr>
                    <w:spacing w:after="40"/>
                  </w:pPr>
                  <w:r>
                    <w:rPr>
                      <w:rFonts w:ascii="Calibri" w:hAnsi="Calibri" w:eastAsia="Calibri"/>
                      <w:b/>
                      <w:color w:val="667085"/>
                      <w:sz w:val="15"/>
                    </w:rPr>
                    <w:t>COMPETÊNCIA</w:t>
                  </w:r>
                </w:p>
                <w:p>
                  <w:pPr>
                    <w:spacing w:after="0"/>
                  </w:pPr>
                  <w:r>
                    <w:rPr>
                      <w:rFonts w:ascii="Calibri" w:hAnsi="Calibri" w:eastAsia="Calibri"/>
                      <w:b/>
                      <w:color w:val="172033"/>
                      <w:sz w:val="19"/>
                    </w:rPr>
                    <w:t>Junho/2026</w:t>
                  </w:r>
                </w:p>
              </w:tc>
            </w:tr>
            <w:tr>
              <w:tc>
                <w:tcPr>
                  <w:tcW w:type="dxa" w:w="6000"/>
                  <w:tcMar>
                    <w:top w:w="90" w:type="dxa"/>
                    <w:start w:w="120" w:type="dxa"/>
                    <w:bottom w:w="90" w:type="dxa"/>
                    <w:end w:w="120" w:type="dxa"/>
                  </w:tcMar>
                </w:tcPr>
                <w:p>
                  <w:pPr>
                    <w:spacing w:after="40"/>
                  </w:pPr>
                  <w:r>
                    <w:rPr>
                      <w:rFonts w:ascii="Calibri" w:hAnsi="Calibri" w:eastAsia="Calibri"/>
                      <w:b/>
                      <w:color w:val="667085"/>
                      <w:sz w:val="15"/>
                    </w:rPr>
                    <w:t>PRÓXIMA AÇÃO</w:t>
                  </w:r>
                </w:p>
                <w:p>
                  <w:pPr>
                    <w:spacing w:after="0"/>
                  </w:pPr>
                  <w:r>
                    <w:rPr>
                      <w:rFonts w:ascii="Calibri" w:hAnsi="Calibri" w:eastAsia="Calibri"/>
                      <w:b/>
                      <w:color w:val="172033"/>
                      <w:sz w:val="19"/>
                    </w:rPr>
                    <w:t>Conferir o novo arquivo</w:t>
                  </w:r>
                </w:p>
              </w:tc>
              <w:tc>
                <w:tcPr>
                  <w:tcW w:type="dxa" w:w="2400"/>
                  <w:tcMar>
                    <w:top w:w="90" w:type="dxa"/>
                    <w:start w:w="120" w:type="dxa"/>
                    <w:bottom w:w="90" w:type="dxa"/>
                    <w:end w:w="120" w:type="dxa"/>
                  </w:tcMar>
                </w:tcPr>
                <w:p>
                  <w:pPr>
                    <w:spacing w:after="40"/>
                  </w:pPr>
                  <w:r>
                    <w:rPr>
                      <w:rFonts w:ascii="Calibri" w:hAnsi="Calibri" w:eastAsia="Calibri"/>
                      <w:b/>
                      <w:color w:val="667085"/>
                      <w:sz w:val="15"/>
                    </w:rPr>
                    <w:t>TEMPO NA ETAPA</w:t>
                  </w:r>
                </w:p>
                <w:p>
                  <w:pPr>
                    <w:spacing w:after="0"/>
                  </w:pPr>
                  <w:r>
                    <w:rPr>
                      <w:rFonts w:ascii="Calibri" w:hAnsi="Calibri" w:eastAsia="Calibri"/>
                      <w:b/>
                      <w:color w:val="172033"/>
                      <w:sz w:val="19"/>
                    </w:rPr>
                    <w:t>0 dias</w:t>
                  </w:r>
                </w:p>
              </w:tc>
            </w:tr>
            <w:tr>
              <w:tc>
                <w:tcPr>
                  <w:tcW w:type="dxa" w:w="6000"/>
                  <w:tcMar>
                    <w:top w:w="90" w:type="dxa"/>
                    <w:start w:w="120" w:type="dxa"/>
                    <w:bottom w:w="90" w:type="dxa"/>
                    <w:end w:w="120" w:type="dxa"/>
                  </w:tcMar>
                </w:tcPr>
                <w:p>
                  <w:pPr>
                    <w:spacing w:after="40"/>
                  </w:pPr>
                  <w:r>
                    <w:rPr>
                      <w:rFonts w:ascii="Calibri" w:hAnsi="Calibri" w:eastAsia="Calibri"/>
                      <w:b/>
                      <w:color w:val="667085"/>
                      <w:sz w:val="15"/>
                    </w:rPr>
                    <w:t>ERRO ATUAL</w:t>
                  </w:r>
                </w:p>
                <w:p>
                  <w:pPr>
                    <w:spacing w:after="0"/>
                  </w:pPr>
                  <w:r>
                    <w:rPr>
                      <w:rFonts w:ascii="Calibri" w:hAnsi="Calibri" w:eastAsia="Calibri"/>
                      <w:b/>
                      <w:color w:val="172033"/>
                      <w:sz w:val="19"/>
                    </w:rPr>
                    <w:t>Documento ausente</w:t>
                  </w:r>
                </w:p>
              </w:tc>
              <w:tc>
                <w:tcPr>
                  <w:tcW w:type="dxa" w:w="2400"/>
                  <w:tcMar>
                    <w:top w:w="90" w:type="dxa"/>
                    <w:start w:w="120" w:type="dxa"/>
                    <w:bottom w:w="90" w:type="dxa"/>
                    <w:end w:w="120" w:type="dxa"/>
                  </w:tcMar>
                </w:tcPr>
                <w:p>
                  <w:pPr>
                    <w:spacing w:after="40"/>
                  </w:pPr>
                  <w:r>
                    <w:rPr>
                      <w:rFonts w:ascii="Calibri" w:hAnsi="Calibri" w:eastAsia="Calibri"/>
                      <w:b/>
                      <w:color w:val="667085"/>
                      <w:sz w:val="15"/>
                    </w:rPr>
                    <w:t>TENTATIVAS</w:t>
                  </w:r>
                </w:p>
                <w:p>
                  <w:pPr>
                    <w:spacing w:after="0"/>
                  </w:pPr>
                  <w:r>
                    <w:rPr>
                      <w:rFonts w:ascii="Calibri" w:hAnsi="Calibri" w:eastAsia="Calibri"/>
                      <w:b/>
                      <w:color w:val="172033"/>
                      <w:sz w:val="19"/>
                    </w:rPr>
                    <w:t>2</w:t>
                  </w:r>
                </w:p>
              </w:tc>
            </w:tr>
            <w:tr>
              <w:tc>
                <w:tcPr>
                  <w:tcW w:type="dxa" w:w="8400"/>
                  <w:gridSpan w:val="2"/>
                  <w:tcMar>
                    <w:top w:w="80" w:type="dxa"/>
                    <w:start w:w="120" w:type="dxa"/>
                    <w:bottom w:w="80" w:type="dxa"/>
                    <w:end w:w="120" w:type="dxa"/>
                  </w:tcMar>
                  <w:shd w:fill="6D28D9" w:val="clear"/>
                </w:tcPr>
                <w:p>
                  <w:pPr>
                    <w:jc w:val="center"/>
                  </w:pPr>
                  <w:r>
                    <w:rPr>
                      <w:rFonts w:ascii="Calibri" w:hAnsi="Calibri" w:eastAsia="Calibri"/>
                      <w:b/>
                      <w:color w:val="FFFFFF"/>
                      <w:sz w:val="20"/>
                    </w:rPr>
                    <w:t>Reanalisar</w:t>
                  </w:r>
                </w:p>
                <w:p>
                  <w:pPr>
                    <w:spacing w:after="0"/>
                    <w:jc w:val="center"/>
                  </w:pPr>
                  <w:r>
                    <w:rPr>
                      <w:rFonts w:ascii="Calibri" w:hAnsi="Calibri" w:eastAsia="Calibri"/>
                      <w:color w:val="EDE9FE"/>
                      <w:sz w:val="16"/>
                    </w:rPr>
                    <w:t>Mais ações: substituição mais recente · prontuário · contato · cancelar</w:t>
                  </w:r>
                </w:p>
              </w:tc>
            </w:tr>
          </w:tbl>
          <w:p/>
        </w:tc>
      </w:tr>
    </w:tbl>
    <w:p>
      <w:pPr>
        <w:pStyle w:val="Caption"/>
      </w:pPr>
      <w:r>
        <w:t>Esquema funcional, não tela final: evidencia escopo, prioridade, hierarquia e uma única ação principal.</w:t>
      </w:r>
    </w:p>
    <w:p>
      <w:pPr>
        <w:pStyle w:val="Heading1"/>
        <w:keepNext/>
        <w:keepLines/>
        <w:widowControl/>
      </w:pPr>
      <w:r>
        <w:t>8. Detalhes e reanálise</w:t>
      </w:r>
    </w:p>
    <w:p>
      <w:pPr>
        <w:pStyle w:val="Heading2"/>
        <w:keepNext/>
        <w:keepLines/>
        <w:widowControl/>
      </w:pPr>
      <w:r>
        <w:t>8.1 Detalhe da pendência</w:t>
      </w:r>
    </w:p>
    <w:p>
      <w:pPr>
        <w:pStyle w:val="ReportBullet"/>
        <w:widowControl/>
      </w:pPr>
      <w:r>
        <w:t>Cabeçalho fixo: documento, escola, status, competência e programa.</w:t>
      </w:r>
    </w:p>
    <w:p>
      <w:pPr>
        <w:pStyle w:val="ReportBullet"/>
        <w:widowControl/>
      </w:pPr>
      <w:r>
        <w:t>Resumo executivo: próxima ação, responsável atual, controlador, tempo na etapa e última movimentação.</w:t>
      </w:r>
    </w:p>
    <w:p>
      <w:pPr>
        <w:pStyle w:val="ReportBullet"/>
        <w:widowControl/>
      </w:pPr>
      <w:r>
        <w:t>Motivos/erros com título condicionado ao estado; uma cancelada não deve dizer “Erros atuais” como se ainda estivesse ativa.</w:t>
      </w:r>
    </w:p>
    <w:p>
      <w:pPr>
        <w:pStyle w:val="ReportBullet"/>
        <w:widowControl/>
      </w:pPr>
      <w:r>
        <w:t>Tentativas em cartões compactos; linha do tempo e contatos recolhíveis por padrão no celular.</w:t>
      </w:r>
    </w:p>
    <w:p>
      <w:pPr>
        <w:pStyle w:val="ReportBullet"/>
        <w:widowControl/>
      </w:pPr>
      <w:r>
        <w:t>Rodapé com uma ação principal e menu secundário. Não repetir cinco botões durante toda a rolagem.</w:t>
      </w:r>
    </w:p>
    <w:p>
      <w:pPr>
        <w:pStyle w:val="ReportBullet"/>
        <w:widowControl/>
      </w:pPr>
      <w:r>
        <w:t>Preservar todas as informações de auditoria; a melhoria é divulgação progressiva, não exclusão.</w:t>
      </w:r>
    </w:p>
    <w:p>
      <w:pPr>
        <w:pStyle w:val="Heading2"/>
        <w:keepNext/>
        <w:keepLines/>
        <w:widowControl/>
      </w:pPr>
      <w:r>
        <w:t>8.2 Modal de reanálise</w:t>
      </w:r>
    </w:p>
    <w:p>
      <w:pPr>
        <w:widowControl/>
      </w:pPr>
      <w:r>
        <w:t>O HTML já possui diálogo e rótulos acessíveis, e o JavaScript produz um resumo semântico. O principal problema é que `.pendency-context-summary` não possui hierarquia visual própria; no celular, o resumo vira uma sequência de palavras sem separação, e a competência aparece duas vezes em formatos equivalentes.</w:t>
      </w:r>
    </w:p>
    <w:p>
      <w:pPr>
        <w:pStyle w:val="ReportBullet"/>
        <w:widowControl/>
      </w:pPr>
      <w:r>
        <w:t>Cabeçalho curto com escola, competência, programa e documento.</w:t>
      </w:r>
    </w:p>
    <w:p>
      <w:pPr>
        <w:pStyle w:val="ReportBullet"/>
        <w:widowControl/>
      </w:pPr>
      <w:r>
        <w:t>Painel Situação atual: estado, próximo ator, erro e data de disponibilização.</w:t>
      </w:r>
    </w:p>
    <w:p>
      <w:pPr>
        <w:pStyle w:val="ReportBullet"/>
        <w:widowControl/>
      </w:pPr>
      <w:r>
        <w:t>Painel Último envio: tentativa, data e observação da escola.</w:t>
      </w:r>
    </w:p>
    <w:p>
      <w:pPr>
        <w:pStyle w:val="ReportBullet"/>
        <w:widowControl/>
      </w:pPr>
      <w:r>
        <w:t>Seção Decisão visualmente dominante: resultado e observação da análise.</w:t>
      </w:r>
    </w:p>
    <w:p>
      <w:pPr>
        <w:pStyle w:val="ReportBullet"/>
        <w:widowControl/>
      </w:pPr>
      <w:r>
        <w:t>Explicação do efeito: Correto encerra; Incorreto abre novo ciclo e devolve a providência à escola.</w:t>
      </w:r>
    </w:p>
    <w:p>
      <w:pPr>
        <w:pStyle w:val="ReportBullet"/>
        <w:widowControl/>
      </w:pPr>
      <w:r>
        <w:t>Eliminar a duplicação “Junho/2026 (2026-06)” na apresentação.</w:t>
      </w:r>
    </w:p>
    <w:p>
      <w:r>
        <w:br w:type="page"/>
      </w:r>
    </w:p>
    <w:p>
      <w:pPr>
        <w:pStyle w:val="Heading3"/>
        <w:keepNext/>
        <w:keepLines/>
        <w:widowControl/>
      </w:pPr>
      <w:r>
        <w:t>Tela proposta — reanálise orientada à decisão</w:t>
      </w:r>
    </w:p>
    <w:tbl>
      <w:tblPr>
        <w:tblW w:type="dxa" w:w="8000"/>
        <w:jc w:val="center"/>
        <w:tblLook w:firstColumn="1" w:firstRow="1" w:lastColumn="0" w:lastRow="0" w:noHBand="0" w:noVBand="1" w:val="04A0"/>
        <w:tblInd w:w="680" w:type="dxa"/>
        <w:tblLayout w:type="fixed"/>
        <w:tblBorders>
          <w:top w:val="single" w:sz="10" w:space="0" w:color="A78BFA"/>
          <w:left w:val="single" w:sz="10" w:space="0" w:color="A78BFA"/>
          <w:bottom w:val="single" w:sz="10" w:space="0" w:color="A78BFA"/>
          <w:right w:val="single" w:sz="10" w:space="0" w:color="A78BFA"/>
        </w:tblBorders>
      </w:tblPr>
      <w:tblGrid>
        <w:gridCol w:w="8000"/>
      </w:tblGrid>
      <w:tr>
        <w:tc>
          <w:tcPr>
            <w:tcW w:type="dxa" w:w="8000"/>
            <w:tcMar>
              <w:top w:w="180" w:type="dxa"/>
              <w:start w:w="200" w:type="dxa"/>
              <w:bottom w:w="180" w:type="dxa"/>
              <w:end w:w="200" w:type="dxa"/>
            </w:tcMar>
            <w:shd w:fill="FFFFFF" w:val="clear"/>
          </w:tcPr>
          <w:p>
            <w:r>
              <w:rPr>
                <w:rFonts w:ascii="Calibri" w:hAnsi="Calibri" w:eastAsia="Calibri"/>
                <w:b/>
                <w:color w:val="172033"/>
                <w:sz w:val="28"/>
              </w:rPr>
              <w:t>Reanalisar pendência documental</w:t>
            </w:r>
          </w:p>
          <w:p>
            <w:pPr>
              <w:spacing w:after="160"/>
            </w:pPr>
            <w:r>
              <w:rPr>
                <w:rFonts w:ascii="Calibri" w:hAnsi="Calibri" w:eastAsia="Calibri"/>
                <w:color w:val="667085"/>
                <w:sz w:val="18"/>
              </w:rPr>
              <w:t>Teotonio Vilela · Junho/2026 · Educação Conectada · Notas Fiscais</w:t>
            </w:r>
          </w:p>
          <w:tbl>
            <w:tblPr>
              <w:tblW w:type="dxa" w:w="7600"/>
              <w:tblLook w:firstColumn="1" w:firstRow="1" w:lastColumn="0" w:lastRow="0" w:noHBand="0" w:noVBand="1" w:val="04A0"/>
              <w:tblInd w:w="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800"/>
              <w:gridCol w:w="3800"/>
            </w:tblGrid>
            <w:tr>
              <w:tc>
                <w:tcPr>
                  <w:tcW w:type="dxa" w:w="3800"/>
                  <w:tcMar>
                    <w:top w:w="90" w:type="dxa"/>
                    <w:start w:w="120" w:type="dxa"/>
                    <w:bottom w:w="90" w:type="dxa"/>
                    <w:end w:w="120" w:type="dxa"/>
                  </w:tcMar>
                  <w:shd w:fill="EFF8FF" w:val="clear"/>
                </w:tcPr>
                <w:p>
                  <w:pPr>
                    <w:spacing w:after="40"/>
                  </w:pPr>
                  <w:r>
                    <w:rPr>
                      <w:rFonts w:ascii="Calibri" w:hAnsi="Calibri" w:eastAsia="Calibri"/>
                      <w:b/>
                      <w:color w:val="667085"/>
                      <w:sz w:val="15"/>
                    </w:rPr>
                    <w:t>SITUAÇÃO ATUAL</w:t>
                  </w:r>
                </w:p>
                <w:p>
                  <w:pPr>
                    <w:spacing w:after="0"/>
                  </w:pPr>
                  <w:r>
                    <w:rPr>
                      <w:rFonts w:ascii="Calibri" w:hAnsi="Calibri" w:eastAsia="Calibri"/>
                      <w:b/>
                      <w:color w:val="172033"/>
                      <w:sz w:val="19"/>
                    </w:rPr>
                    <w:t>Aguardando reanálise</w:t>
                  </w:r>
                </w:p>
              </w:tc>
              <w:tc>
                <w:tcPr>
                  <w:tcW w:type="dxa" w:w="3800"/>
                  <w:tcMar>
                    <w:top w:w="90" w:type="dxa"/>
                    <w:start w:w="120" w:type="dxa"/>
                    <w:bottom w:w="90" w:type="dxa"/>
                    <w:end w:w="120" w:type="dxa"/>
                  </w:tcMar>
                  <w:shd w:fill="EFF8FF" w:val="clear"/>
                </w:tcPr>
                <w:p>
                  <w:pPr>
                    <w:spacing w:after="40"/>
                  </w:pPr>
                  <w:r>
                    <w:rPr>
                      <w:rFonts w:ascii="Calibri" w:hAnsi="Calibri" w:eastAsia="Calibri"/>
                      <w:b/>
                      <w:color w:val="667085"/>
                      <w:sz w:val="15"/>
                    </w:rPr>
                    <w:t>PRÓXIMO ATOR</w:t>
                  </w:r>
                </w:p>
                <w:p>
                  <w:pPr>
                    <w:spacing w:after="0"/>
                  </w:pPr>
                  <w:r>
                    <w:rPr>
                      <w:rFonts w:ascii="Calibri" w:hAnsi="Calibri" w:eastAsia="Calibri"/>
                      <w:b/>
                      <w:color w:val="172033"/>
                      <w:sz w:val="19"/>
                    </w:rPr>
                    <w:t>Controlador</w:t>
                  </w:r>
                </w:p>
              </w:tc>
            </w:tr>
            <w:tr>
              <w:tc>
                <w:tcPr>
                  <w:tcW w:type="dxa" w:w="3800"/>
                  <w:tcMar>
                    <w:top w:w="90" w:type="dxa"/>
                    <w:start w:w="120" w:type="dxa"/>
                    <w:bottom w:w="90" w:type="dxa"/>
                    <w:end w:w="120" w:type="dxa"/>
                  </w:tcMar>
                </w:tcPr>
                <w:p>
                  <w:pPr>
                    <w:spacing w:after="40"/>
                  </w:pPr>
                  <w:r>
                    <w:rPr>
                      <w:rFonts w:ascii="Calibri" w:hAnsi="Calibri" w:eastAsia="Calibri"/>
                      <w:b/>
                      <w:color w:val="667085"/>
                      <w:sz w:val="15"/>
                    </w:rPr>
                    <w:t>ERRO ATUAL</w:t>
                  </w:r>
                </w:p>
                <w:p>
                  <w:pPr>
                    <w:spacing w:after="0"/>
                  </w:pPr>
                  <w:r>
                    <w:rPr>
                      <w:rFonts w:ascii="Calibri" w:hAnsi="Calibri" w:eastAsia="Calibri"/>
                      <w:b/>
                      <w:color w:val="172033"/>
                      <w:sz w:val="19"/>
                    </w:rPr>
                    <w:t>Documento ausente</w:t>
                  </w:r>
                </w:p>
              </w:tc>
              <w:tc>
                <w:tcPr>
                  <w:tcW w:type="dxa" w:w="3800"/>
                  <w:tcMar>
                    <w:top w:w="90" w:type="dxa"/>
                    <w:start w:w="120" w:type="dxa"/>
                    <w:bottom w:w="90" w:type="dxa"/>
                    <w:end w:w="120" w:type="dxa"/>
                  </w:tcMar>
                </w:tcPr>
                <w:p>
                  <w:pPr>
                    <w:spacing w:after="40"/>
                  </w:pPr>
                  <w:r>
                    <w:rPr>
                      <w:rFonts w:ascii="Calibri" w:hAnsi="Calibri" w:eastAsia="Calibri"/>
                      <w:b/>
                      <w:color w:val="667085"/>
                      <w:sz w:val="15"/>
                    </w:rPr>
                    <w:t>DISPONÍVEL DESDE</w:t>
                  </w:r>
                </w:p>
                <w:p>
                  <w:pPr>
                    <w:spacing w:after="0"/>
                  </w:pPr>
                  <w:r>
                    <w:rPr>
                      <w:rFonts w:ascii="Calibri" w:hAnsi="Calibri" w:eastAsia="Calibri"/>
                      <w:b/>
                      <w:color w:val="172033"/>
                      <w:sz w:val="19"/>
                    </w:rPr>
                    <w:t>24/08/2026</w:t>
                  </w:r>
                </w:p>
              </w:tc>
            </w:tr>
          </w:tbl>
          <w:p/>
          <w:p>
            <w:pPr>
              <w:spacing w:before="160"/>
            </w:pPr>
            <w:r>
              <w:rPr>
                <w:rFonts w:ascii="Calibri" w:hAnsi="Calibri" w:eastAsia="Calibri"/>
                <w:b/>
                <w:color w:val="1F4D78"/>
                <w:sz w:val="20"/>
              </w:rPr>
              <w:t>Último envio</w:t>
            </w:r>
          </w:p>
          <w:p>
            <w:r>
              <w:rPr>
                <w:rFonts w:ascii="Calibri" w:hAnsi="Calibri" w:eastAsia="Calibri"/>
                <w:color w:val="172033"/>
                <w:sz w:val="18"/>
              </w:rPr>
              <w:t>Tentativa 2 · “Falta boleto. Foi pago juros.”</w:t>
            </w:r>
          </w:p>
          <w:p>
            <w:r>
              <w:rPr>
                <w:rFonts w:ascii="Calibri" w:hAnsi="Calibri" w:eastAsia="Calibri"/>
                <w:b/>
                <w:color w:val="172033"/>
                <w:sz w:val="19"/>
              </w:rPr>
              <w:t>Resultado da reanálise  [ Selecione o resultado ▾ ]</w:t>
            </w:r>
          </w:p>
          <w:p>
            <w:r>
              <w:rPr>
                <w:rFonts w:ascii="Calibri" w:hAnsi="Calibri" w:eastAsia="Calibri"/>
                <w:b/>
                <w:color w:val="172033"/>
                <w:sz w:val="19"/>
              </w:rPr>
              <w:t>Observação da análise    [                                    ]</w:t>
            </w:r>
          </w:p>
          <w:tbl>
            <w:tblPr>
              <w:tblW w:type="dxa" w:w="7600"/>
              <w:tblLook w:firstColumn="1" w:firstRow="1" w:lastColumn="0" w:lastRow="0" w:noHBand="0" w:noVBand="1" w:val="04A0"/>
              <w:tblInd w:w="0" w:type="dxa"/>
              <w:tblLayout w:type="fixed"/>
              <w:tblBorders>
                <w:top w:val="single" w:sz="6" w:space="0" w:color="D1FADF"/>
                <w:left w:val="single" w:sz="6" w:space="0" w:color="D1FADF"/>
                <w:bottom w:val="single" w:sz="6" w:space="0" w:color="D1FADF"/>
                <w:right w:val="single" w:sz="6" w:space="0" w:color="D1FADF"/>
              </w:tblBorders>
            </w:tblPr>
            <w:tblGrid>
              <w:gridCol w:w="7600"/>
            </w:tblGrid>
            <w:tr>
              <w:tc>
                <w:tcPr>
                  <w:tcW w:type="dxa" w:w="7600"/>
                  <w:tcMar>
                    <w:top w:w="80" w:type="dxa"/>
                    <w:start w:w="120" w:type="dxa"/>
                    <w:bottom w:w="80" w:type="dxa"/>
                    <w:end w:w="120" w:type="dxa"/>
                  </w:tcMar>
                  <w:shd w:fill="ECFDF3" w:val="clear"/>
                </w:tcPr>
                <w:p>
                  <w:r>
                    <w:rPr>
                      <w:rFonts w:ascii="Calibri" w:hAnsi="Calibri" w:eastAsia="Calibri"/>
                      <w:b/>
                      <w:color w:val="067647"/>
                      <w:sz w:val="17"/>
                    </w:rPr>
                    <w:t xml:space="preserve">Efeito da decisão: </w:t>
                  </w:r>
                  <w:r>
                    <w:rPr>
                      <w:rFonts w:ascii="Calibri" w:hAnsi="Calibri" w:eastAsia="Calibri"/>
                      <w:color w:val="172033"/>
                      <w:sz w:val="17"/>
                    </w:rPr>
                    <w:t>Correto encerra a pendência; Incorreto inicia novo ciclo e devolve a providência à escola.</w:t>
                  </w:r>
                </w:p>
              </w:tc>
            </w:tr>
          </w:tbl>
          <w:p/>
          <w:p>
            <w:pPr>
              <w:jc w:val="right"/>
            </w:pPr>
            <w:r>
              <w:rPr>
                <w:rFonts w:ascii="Calibri" w:hAnsi="Calibri" w:eastAsia="Calibri"/>
                <w:b/>
                <w:color w:val="1F4D78"/>
                <w:sz w:val="18"/>
              </w:rPr>
              <w:t xml:space="preserve">  Cancelar  </w:t>
            </w:r>
            <w:r>
              <w:t xml:space="preserve">   </w:t>
            </w:r>
            <w:r>
              <w:rPr>
                <w:rFonts w:ascii="Calibri" w:hAnsi="Calibri" w:eastAsia="Calibri"/>
                <w:b/>
                <w:color w:val="FFFFFF"/>
                <w:sz w:val="18"/>
                <w:shd w:fill="6D28D9" w:val="clear"/>
              </w:rPr>
              <w:t xml:space="preserve">  Confirmar reanálise  </w:t>
            </w:r>
          </w:p>
        </w:tc>
      </w:tr>
    </w:tbl>
    <w:p>
      <w:pPr>
        <w:pStyle w:val="Caption"/>
      </w:pPr>
      <w:r>
        <w:t>O contexto sustenta a decisão, mas os dois campos que exigem ação ficam visualmente dominantes.</w:t>
      </w:r>
    </w:p>
    <w:p>
      <w:pPr>
        <w:pStyle w:val="Heading2"/>
        <w:keepNext/>
        <w:keepLines/>
        <w:widowControl/>
      </w:pPr>
      <w:r>
        <w:t>8.3 Requisitos de acessibilidade e mobile</w:t>
      </w:r>
    </w:p>
    <w:p>
      <w:pPr>
        <w:pStyle w:val="ReportBullet"/>
        <w:widowControl/>
      </w:pPr>
      <w:r>
        <w:t>Não comunicar status somente por cor; manter rótulo textual e, quando útil, ícone.</w:t>
      </w:r>
    </w:p>
    <w:p>
      <w:pPr>
        <w:pStyle w:val="ReportBullet"/>
        <w:widowControl/>
      </w:pPr>
      <w:r>
        <w:t>Combobox de escola com teclado, leitor de tela, estado expandido e resultados anunciados.</w:t>
      </w:r>
    </w:p>
    <w:p>
      <w:pPr>
        <w:pStyle w:val="ReportBullet"/>
        <w:widowControl/>
      </w:pPr>
      <w:r>
        <w:t>Alvos de toque confortáveis, foco visível e retorno ao elemento que abriu drawer ou modal.</w:t>
      </w:r>
    </w:p>
    <w:p>
      <w:pPr>
        <w:pStyle w:val="ReportBullet"/>
        <w:widowControl/>
      </w:pPr>
      <w:r>
        <w:t>Cabeçalho de contexto fixo ou semificxo no detalhe, sem cobrir conteúdo.</w:t>
      </w:r>
    </w:p>
    <w:p>
      <w:pPr>
        <w:pStyle w:val="ReportBullet"/>
        <w:widowControl/>
      </w:pPr>
      <w:r>
        <w:t>Testar em Android/Chrome e larguras de 360, 390, 412 e 768 px; acessibilidade precisa ser comprovada, não presumida.</w:t>
      </w:r>
    </w:p>
    <w:p>
      <w:r>
        <w:br w:type="page"/>
      </w:r>
    </w:p>
    <w:tbl>
      <w:tblPr>
        <w:tblW w:type="dxa" w:w="9360"/>
        <w:jc w:val="center"/>
        <w:tblLook w:firstColumn="1" w:firstRow="1" w:lastColumn="0" w:lastRow="0" w:noHBand="0" w:noVBand="1" w:val="04A0"/>
        <w:tblInd w:w="0" w:type="dxa"/>
        <w:tblLayout w:type="fixed"/>
        <w:tblBorders>
          <w:top w:val="single" w:sz="0" w:space="0" w:color="6D28D9"/>
          <w:left w:val="single" w:sz="0" w:space="0" w:color="6D28D9"/>
          <w:bottom w:val="single" w:sz="0" w:space="0" w:color="6D28D9"/>
          <w:right w:val="single" w:sz="0" w:space="0" w:color="6D28D9"/>
        </w:tblBorders>
      </w:tblPr>
      <w:tblGrid>
        <w:gridCol w:w="9360"/>
      </w:tblGrid>
      <w:tr>
        <w:tc>
          <w:tcPr>
            <w:tcW w:type="dxa" w:w="9360"/>
            <w:tcMar>
              <w:top w:w="360" w:type="dxa"/>
              <w:start w:w="360" w:type="dxa"/>
              <w:bottom w:w="360" w:type="dxa"/>
              <w:end w:w="360" w:type="dxa"/>
            </w:tcMar>
            <w:shd w:fill="4C1D95" w:val="clear"/>
          </w:tcPr>
          <w:p>
            <w:pPr>
              <w:jc w:val="left"/>
            </w:pPr>
            <w:r>
              <w:rPr>
                <w:rFonts w:ascii="Calibri" w:hAnsi="Calibri" w:eastAsia="Calibri"/>
                <w:b/>
                <w:color w:val="D8B4FE"/>
                <w:sz w:val="20"/>
              </w:rPr>
              <w:t>PARTE III</w:t>
            </w:r>
          </w:p>
          <w:p>
            <w:pPr>
              <w:spacing w:before="120" w:after="160"/>
            </w:pPr>
            <w:r>
              <w:rPr>
                <w:rFonts w:ascii="Calibri" w:hAnsi="Calibri" w:eastAsia="Calibri"/>
                <w:b/>
                <w:color w:val="FFFFFF"/>
                <w:sz w:val="46"/>
              </w:rPr>
              <w:t>Plano de implementação e controle</w:t>
            </w:r>
          </w:p>
          <w:p>
            <w:r>
              <w:rPr>
                <w:rFonts w:ascii="Calibri" w:hAnsi="Calibri" w:eastAsia="Calibri"/>
                <w:color w:val="EDE9FE"/>
                <w:sz w:val="22"/>
              </w:rPr>
              <w:t>Mudanças pequenas, sequência explícita, critérios verificáveis e reversão segura.</w:t>
            </w:r>
          </w:p>
        </w:tc>
      </w:tr>
    </w:tbl>
    <w:p/>
    <w:p>
      <w:pPr>
        <w:pStyle w:val="Heading1"/>
        <w:keepNext/>
        <w:keepLines/>
        <w:widowControl/>
      </w:pPr>
      <w:r>
        <w:t>9. Mapa técnico das mudanças</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800"/>
        <w:gridCol w:w="2700"/>
        <w:gridCol w:w="3860"/>
      </w:tblGrid>
      <w:tr>
        <w:trPr>
          <w:tblHeader w:val="true"/>
          <w:cantSplit/>
        </w:trPr>
        <w:tc>
          <w:tcPr>
            <w:tcW w:type="dxa" w:w="28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Arquivo/componente</w:t>
            </w:r>
          </w:p>
        </w:tc>
        <w:tc>
          <w:tcPr>
            <w:tcW w:type="dxa" w:w="27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Responsabilidade atual</w:t>
            </w:r>
          </w:p>
        </w:tc>
        <w:tc>
          <w:tcPr>
            <w:tcW w:type="dxa" w:w="38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Mudança planejada</w:t>
            </w:r>
          </w:p>
        </w:tc>
      </w:tr>
      <w:tr>
        <w:trPr>
          <w:cantSplit/>
        </w:trPr>
        <w:tc>
          <w:tcPr>
            <w:tcW w:type="dxa" w:w="2800"/>
            <w:vAlign w:val="center"/>
          </w:tcPr>
          <w:p>
            <w:pPr>
              <w:spacing w:after="0"/>
            </w:pPr>
            <w:r>
              <w:rPr>
                <w:rFonts w:ascii="Calibri" w:hAnsi="Calibri" w:eastAsia="Calibri"/>
                <w:color w:val="172033"/>
                <w:sz w:val="17"/>
              </w:rPr>
              <w:t>app.js</w:t>
            </w:r>
          </w:p>
        </w:tc>
        <w:tc>
          <w:tcPr>
            <w:tcW w:type="dxa" w:w="2700"/>
            <w:vAlign w:val="center"/>
          </w:tcPr>
          <w:p>
            <w:pPr>
              <w:spacing w:after="0"/>
            </w:pPr>
            <w:r>
              <w:rPr>
                <w:rFonts w:ascii="Calibri" w:hAnsi="Calibri" w:eastAsia="Calibri"/>
                <w:color w:val="172033"/>
                <w:sz w:val="17"/>
              </w:rPr>
              <w:t>Formulário de despesa e resumo de reanálise</w:t>
            </w:r>
          </w:p>
        </w:tc>
        <w:tc>
          <w:tcPr>
            <w:tcW w:type="dxa" w:w="3860"/>
            <w:vAlign w:val="center"/>
          </w:tcPr>
          <w:p>
            <w:pPr>
              <w:spacing w:after="0"/>
            </w:pPr>
            <w:r>
              <w:rPr>
                <w:rFonts w:ascii="Calibri" w:hAnsi="Calibri" w:eastAsia="Calibri"/>
                <w:color w:val="172033"/>
                <w:sz w:val="17"/>
              </w:rPr>
              <w:t>Trava síncrona; feedback; estrutura visual do resumo</w:t>
            </w:r>
          </w:p>
        </w:tc>
      </w:tr>
      <w:tr>
        <w:trPr>
          <w:cantSplit/>
        </w:trPr>
        <w:tc>
          <w:tcPr>
            <w:tcW w:type="dxa" w:w="2800"/>
            <w:shd w:fill="F8FAFC" w:val="clear"/>
            <w:vAlign w:val="center"/>
          </w:tcPr>
          <w:p>
            <w:pPr>
              <w:spacing w:after="0"/>
            </w:pPr>
            <w:r>
              <w:rPr>
                <w:rFonts w:ascii="Calibri" w:hAnsi="Calibri" w:eastAsia="Calibri"/>
                <w:color w:val="172033"/>
                <w:sz w:val="17"/>
              </w:rPr>
              <w:t>src/domain/service-advisory*.js (novo)</w:t>
            </w:r>
          </w:p>
        </w:tc>
        <w:tc>
          <w:tcPr>
            <w:tcW w:type="dxa" w:w="2700"/>
            <w:shd w:fill="F8FAFC" w:val="clear"/>
            <w:vAlign w:val="center"/>
          </w:tcPr>
          <w:p>
            <w:pPr>
              <w:spacing w:after="0"/>
            </w:pPr>
            <w:r>
              <w:rPr>
                <w:rFonts w:ascii="Calibri" w:hAnsi="Calibri" w:eastAsia="Calibri"/>
                <w:color w:val="172033"/>
                <w:sz w:val="17"/>
              </w:rPr>
              <w:t>Regra compartilhada de Assessoria</w:t>
            </w:r>
          </w:p>
        </w:tc>
        <w:tc>
          <w:tcPr>
            <w:tcW w:type="dxa" w:w="3860"/>
            <w:shd w:fill="F8FAFC" w:val="clear"/>
            <w:vAlign w:val="center"/>
          </w:tcPr>
          <w:p>
            <w:pPr>
              <w:spacing w:after="0"/>
            </w:pPr>
            <w:r>
              <w:rPr>
                <w:rFonts w:ascii="Calibri" w:hAnsi="Calibri" w:eastAsia="Calibri"/>
                <w:color w:val="172033"/>
                <w:sz w:val="17"/>
              </w:rPr>
              <w:t>Agregação única e planejamento dos efeitos derivados</w:t>
            </w:r>
          </w:p>
        </w:tc>
      </w:tr>
      <w:tr>
        <w:trPr>
          <w:cantSplit/>
        </w:trPr>
        <w:tc>
          <w:tcPr>
            <w:tcW w:type="dxa" w:w="2800"/>
            <w:vAlign w:val="center"/>
          </w:tcPr>
          <w:p>
            <w:pPr>
              <w:spacing w:after="0"/>
            </w:pPr>
            <w:r>
              <w:rPr>
                <w:rFonts w:ascii="Calibri" w:hAnsi="Calibri" w:eastAsia="Calibri"/>
                <w:color w:val="172033"/>
                <w:sz w:val="17"/>
              </w:rPr>
              <w:t>src/application/invoice-service.js</w:t>
            </w:r>
          </w:p>
        </w:tc>
        <w:tc>
          <w:tcPr>
            <w:tcW w:type="dxa" w:w="2700"/>
            <w:vAlign w:val="center"/>
          </w:tcPr>
          <w:p>
            <w:pPr>
              <w:spacing w:after="0"/>
            </w:pPr>
            <w:r>
              <w:rPr>
                <w:rFonts w:ascii="Calibri" w:hAnsi="Calibri" w:eastAsia="Calibri"/>
                <w:color w:val="172033"/>
                <w:sz w:val="17"/>
              </w:rPr>
              <w:t>Orquestra gravação e syncServiceRequirement</w:t>
            </w:r>
          </w:p>
        </w:tc>
        <w:tc>
          <w:tcPr>
            <w:tcW w:type="dxa" w:w="3860"/>
            <w:vAlign w:val="center"/>
          </w:tcPr>
          <w:p>
            <w:pPr>
              <w:spacing w:after="0"/>
            </w:pPr>
            <w:r>
              <w:rPr>
                <w:rFonts w:ascii="Calibri" w:hAnsi="Calibri" w:eastAsia="Calibri"/>
                <w:color w:val="172033"/>
                <w:sz w:val="17"/>
              </w:rPr>
              <w:t>Refresh mínimo no núcleo; no-op semântico; chave/retorno incremental</w:t>
            </w:r>
          </w:p>
        </w:tc>
      </w:tr>
      <w:tr>
        <w:trPr>
          <w:cantSplit/>
        </w:trPr>
        <w:tc>
          <w:tcPr>
            <w:tcW w:type="dxa" w:w="2800"/>
            <w:shd w:fill="F8FAFC" w:val="clear"/>
            <w:vAlign w:val="center"/>
          </w:tcPr>
          <w:p>
            <w:pPr>
              <w:spacing w:after="0"/>
            </w:pPr>
            <w:r>
              <w:rPr>
                <w:rFonts w:ascii="Calibri" w:hAnsi="Calibri" w:eastAsia="Calibri"/>
                <w:color w:val="172033"/>
                <w:sz w:val="17"/>
              </w:rPr>
              <w:t>src/application/verification-service.js</w:t>
            </w:r>
          </w:p>
        </w:tc>
        <w:tc>
          <w:tcPr>
            <w:tcW w:type="dxa" w:w="2700"/>
            <w:shd w:fill="F8FAFC" w:val="clear"/>
            <w:vAlign w:val="center"/>
          </w:tcPr>
          <w:p>
            <w:pPr>
              <w:spacing w:after="0"/>
            </w:pPr>
            <w:r>
              <w:rPr>
                <w:rFonts w:ascii="Calibri" w:hAnsi="Calibri" w:eastAsia="Calibri"/>
                <w:color w:val="172033"/>
                <w:sz w:val="17"/>
              </w:rPr>
              <w:t>Transições de avaliação</w:t>
            </w:r>
          </w:p>
        </w:tc>
        <w:tc>
          <w:tcPr>
            <w:tcW w:type="dxa" w:w="3860"/>
            <w:shd w:fill="F8FAFC" w:val="clear"/>
            <w:vAlign w:val="center"/>
          </w:tcPr>
          <w:p>
            <w:pPr>
              <w:spacing w:after="0"/>
            </w:pPr>
            <w:r>
              <w:rPr>
                <w:rFonts w:ascii="Calibri" w:hAnsi="Calibri" w:eastAsia="Calibri"/>
                <w:color w:val="172033"/>
                <w:sz w:val="17"/>
              </w:rPr>
              <w:t>Consumir regra compartilhada; nunca deixar Assessoria vazia sem serviço</w:t>
            </w:r>
          </w:p>
        </w:tc>
      </w:tr>
      <w:tr>
        <w:trPr>
          <w:cantSplit/>
        </w:trPr>
        <w:tc>
          <w:tcPr>
            <w:tcW w:type="dxa" w:w="2800"/>
            <w:vAlign w:val="center"/>
          </w:tcPr>
          <w:p>
            <w:pPr>
              <w:spacing w:after="0"/>
            </w:pPr>
            <w:r>
              <w:rPr>
                <w:rFonts w:ascii="Calibri" w:hAnsi="Calibri" w:eastAsia="Calibri"/>
                <w:color w:val="172033"/>
                <w:sz w:val="17"/>
              </w:rPr>
              <w:t>product-extensions-bootstrap / readiness</w:t>
            </w:r>
          </w:p>
        </w:tc>
        <w:tc>
          <w:tcPr>
            <w:tcW w:type="dxa" w:w="2700"/>
            <w:vAlign w:val="center"/>
          </w:tcPr>
          <w:p>
            <w:pPr>
              <w:spacing w:after="0"/>
            </w:pPr>
            <w:r>
              <w:rPr>
                <w:rFonts w:ascii="Calibri" w:hAnsi="Calibri" w:eastAsia="Calibri"/>
                <w:color w:val="172033"/>
                <w:sz w:val="17"/>
              </w:rPr>
              <w:t>Carrega e instala extensões</w:t>
            </w:r>
          </w:p>
        </w:tc>
        <w:tc>
          <w:tcPr>
            <w:tcW w:type="dxa" w:w="3860"/>
            <w:vAlign w:val="center"/>
          </w:tcPr>
          <w:p>
            <w:pPr>
              <w:spacing w:after="0"/>
            </w:pPr>
            <w:r>
              <w:rPr>
                <w:rFonts w:ascii="Calibri" w:hAnsi="Calibri" w:eastAsia="Calibri"/>
                <w:color w:val="172033"/>
                <w:sz w:val="17"/>
              </w:rPr>
              <w:t>Registro de prontidão por módulo e falha isolada</w:t>
            </w:r>
          </w:p>
        </w:tc>
      </w:tr>
      <w:tr>
        <w:trPr>
          <w:cantSplit/>
        </w:trPr>
        <w:tc>
          <w:tcPr>
            <w:tcW w:type="dxa" w:w="2800"/>
            <w:shd w:fill="F8FAFC" w:val="clear"/>
            <w:vAlign w:val="center"/>
          </w:tcPr>
          <w:p>
            <w:pPr>
              <w:spacing w:after="0"/>
            </w:pPr>
            <w:r>
              <w:rPr>
                <w:rFonts w:ascii="Calibri" w:hAnsi="Calibri" w:eastAsia="Calibri"/>
                <w:color w:val="172033"/>
                <w:sz w:val="17"/>
              </w:rPr>
              <w:t>task-9-pendencias-page.js</w:t>
            </w:r>
          </w:p>
        </w:tc>
        <w:tc>
          <w:tcPr>
            <w:tcW w:type="dxa" w:w="2700"/>
            <w:shd w:fill="F8FAFC" w:val="clear"/>
            <w:vAlign w:val="center"/>
          </w:tcPr>
          <w:p>
            <w:pPr>
              <w:spacing w:after="0"/>
            </w:pPr>
            <w:r>
              <w:rPr>
                <w:rFonts w:ascii="Calibri" w:hAnsi="Calibri" w:eastAsia="Calibri"/>
                <w:color w:val="172033"/>
                <w:sz w:val="17"/>
              </w:rPr>
              <w:t>Fila, filtros, abas e ações-base</w:t>
            </w:r>
          </w:p>
        </w:tc>
        <w:tc>
          <w:tcPr>
            <w:tcW w:type="dxa" w:w="3860"/>
            <w:shd w:fill="F8FAFC" w:val="clear"/>
            <w:vAlign w:val="center"/>
          </w:tcPr>
          <w:p>
            <w:pPr>
              <w:spacing w:after="0"/>
            </w:pPr>
            <w:r>
              <w:rPr>
                <w:rFonts w:ascii="Calibri" w:hAnsi="Calibri" w:eastAsia="Calibri"/>
                <w:color w:val="172033"/>
                <w:sz w:val="17"/>
              </w:rPr>
              <w:t>Escopo/R.A.; prioridade; cartões; ação única; combobox</w:t>
            </w:r>
          </w:p>
        </w:tc>
      </w:tr>
      <w:tr>
        <w:trPr>
          <w:cantSplit/>
        </w:trPr>
        <w:tc>
          <w:tcPr>
            <w:tcW w:type="dxa" w:w="2800"/>
            <w:vAlign w:val="center"/>
          </w:tcPr>
          <w:p>
            <w:pPr>
              <w:spacing w:after="0"/>
            </w:pPr>
            <w:r>
              <w:rPr>
                <w:rFonts w:ascii="Calibri" w:hAnsi="Calibri" w:eastAsia="Calibri"/>
                <w:color w:val="172033"/>
                <w:sz w:val="17"/>
              </w:rPr>
              <w:t>pendency-passive-queue-ux.js</w:t>
            </w:r>
          </w:p>
        </w:tc>
        <w:tc>
          <w:tcPr>
            <w:tcW w:type="dxa" w:w="2700"/>
            <w:vAlign w:val="center"/>
          </w:tcPr>
          <w:p>
            <w:pPr>
              <w:spacing w:after="0"/>
            </w:pPr>
            <w:r>
              <w:rPr>
                <w:rFonts w:ascii="Calibri" w:hAnsi="Calibri" w:eastAsia="Calibri"/>
                <w:color w:val="172033"/>
                <w:sz w:val="17"/>
              </w:rPr>
              <w:t>Decora filtros e registros após render</w:t>
            </w:r>
          </w:p>
        </w:tc>
        <w:tc>
          <w:tcPr>
            <w:tcW w:type="dxa" w:w="3860"/>
            <w:vAlign w:val="center"/>
          </w:tcPr>
          <w:p>
            <w:pPr>
              <w:spacing w:after="0"/>
            </w:pPr>
            <w:r>
              <w:rPr>
                <w:rFonts w:ascii="Calibri" w:hAnsi="Calibri" w:eastAsia="Calibri"/>
                <w:color w:val="172033"/>
                <w:sz w:val="17"/>
              </w:rPr>
              <w:t>Reduzir a decorador não crítico; retirar regra/ações</w:t>
            </w:r>
          </w:p>
        </w:tc>
      </w:tr>
      <w:tr>
        <w:trPr>
          <w:cantSplit/>
        </w:trPr>
        <w:tc>
          <w:tcPr>
            <w:tcW w:type="dxa" w:w="2800"/>
            <w:shd w:fill="F8FAFC" w:val="clear"/>
            <w:vAlign w:val="center"/>
          </w:tcPr>
          <w:p>
            <w:pPr>
              <w:spacing w:after="0"/>
            </w:pPr>
            <w:r>
              <w:rPr>
                <w:rFonts w:ascii="Calibri" w:hAnsi="Calibri" w:eastAsia="Calibri"/>
                <w:color w:val="172033"/>
                <w:sz w:val="17"/>
              </w:rPr>
              <w:t>task-10-11-pendency-actions.js</w:t>
            </w:r>
          </w:p>
        </w:tc>
        <w:tc>
          <w:tcPr>
            <w:tcW w:type="dxa" w:w="2700"/>
            <w:shd w:fill="F8FAFC" w:val="clear"/>
            <w:vAlign w:val="center"/>
          </w:tcPr>
          <w:p>
            <w:pPr>
              <w:spacing w:after="0"/>
            </w:pPr>
            <w:r>
              <w:rPr>
                <w:rFonts w:ascii="Calibri" w:hAnsi="Calibri" w:eastAsia="Calibri"/>
                <w:color w:val="172033"/>
                <w:sz w:val="17"/>
              </w:rPr>
              <w:t>Acrescenta contato, cancelar e reabrir</w:t>
            </w:r>
          </w:p>
        </w:tc>
        <w:tc>
          <w:tcPr>
            <w:tcW w:type="dxa" w:w="3860"/>
            <w:shd w:fill="F8FAFC" w:val="clear"/>
            <w:vAlign w:val="center"/>
          </w:tcPr>
          <w:p>
            <w:pPr>
              <w:spacing w:after="0"/>
            </w:pPr>
            <w:r>
              <w:rPr>
                <w:rFonts w:ascii="Calibri" w:hAnsi="Calibri" w:eastAsia="Calibri"/>
                <w:color w:val="172033"/>
                <w:sz w:val="17"/>
              </w:rPr>
              <w:t>Integrar ao action model; permitir cancelada conforme domínio</w:t>
            </w:r>
          </w:p>
        </w:tc>
      </w:tr>
      <w:tr>
        <w:trPr>
          <w:cantSplit/>
        </w:trPr>
        <w:tc>
          <w:tcPr>
            <w:tcW w:type="dxa" w:w="2800"/>
            <w:vAlign w:val="center"/>
          </w:tcPr>
          <w:p>
            <w:pPr>
              <w:spacing w:after="0"/>
            </w:pPr>
            <w:r>
              <w:rPr>
                <w:rFonts w:ascii="Calibri" w:hAnsi="Calibri" w:eastAsia="Calibri"/>
                <w:color w:val="172033"/>
                <w:sz w:val="17"/>
              </w:rPr>
              <w:t>pendencias-view-model.js / action model</w:t>
            </w:r>
          </w:p>
        </w:tc>
        <w:tc>
          <w:tcPr>
            <w:tcW w:type="dxa" w:w="2700"/>
            <w:vAlign w:val="center"/>
          </w:tcPr>
          <w:p>
            <w:pPr>
              <w:spacing w:after="0"/>
            </w:pPr>
            <w:r>
              <w:rPr>
                <w:rFonts w:ascii="Calibri" w:hAnsi="Calibri" w:eastAsia="Calibri"/>
                <w:color w:val="172033"/>
                <w:sz w:val="17"/>
              </w:rPr>
              <w:t>Projeção, filtros e ações permitidas</w:t>
            </w:r>
          </w:p>
        </w:tc>
        <w:tc>
          <w:tcPr>
            <w:tcW w:type="dxa" w:w="3860"/>
            <w:vAlign w:val="center"/>
          </w:tcPr>
          <w:p>
            <w:pPr>
              <w:spacing w:after="0"/>
            </w:pPr>
            <w:r>
              <w:rPr>
                <w:rFonts w:ascii="Calibri" w:hAnsi="Calibri" w:eastAsia="Calibri"/>
                <w:color w:val="172033"/>
                <w:sz w:val="17"/>
              </w:rPr>
              <w:t>Usar tempo canônico; R.A.; escopo; ação por estado/perfil</w:t>
            </w:r>
          </w:p>
        </w:tc>
      </w:tr>
      <w:tr>
        <w:trPr>
          <w:cantSplit/>
        </w:trPr>
        <w:tc>
          <w:tcPr>
            <w:tcW w:type="dxa" w:w="2800"/>
            <w:shd w:fill="F8FAFC" w:val="clear"/>
            <w:vAlign w:val="center"/>
          </w:tcPr>
          <w:p>
            <w:pPr>
              <w:spacing w:after="0"/>
            </w:pPr>
            <w:r>
              <w:rPr>
                <w:rFonts w:ascii="Calibri" w:hAnsi="Calibri" w:eastAsia="Calibri"/>
                <w:color w:val="172033"/>
                <w:sz w:val="17"/>
              </w:rPr>
              <w:t>operational-projection.js</w:t>
            </w:r>
          </w:p>
        </w:tc>
        <w:tc>
          <w:tcPr>
            <w:tcW w:type="dxa" w:w="2700"/>
            <w:shd w:fill="F8FAFC" w:val="clear"/>
            <w:vAlign w:val="center"/>
          </w:tcPr>
          <w:p>
            <w:pPr>
              <w:spacing w:after="0"/>
            </w:pPr>
            <w:r>
              <w:rPr>
                <w:rFonts w:ascii="Calibri" w:hAnsi="Calibri" w:eastAsia="Calibri"/>
                <w:color w:val="172033"/>
                <w:sz w:val="17"/>
              </w:rPr>
              <w:t>Verdade de tempo/próxima ação</w:t>
            </w:r>
          </w:p>
        </w:tc>
        <w:tc>
          <w:tcPr>
            <w:tcW w:type="dxa" w:w="3860"/>
            <w:shd w:fill="F8FAFC" w:val="clear"/>
            <w:vAlign w:val="center"/>
          </w:tcPr>
          <w:p>
            <w:pPr>
              <w:spacing w:after="0"/>
            </w:pPr>
            <w:r>
              <w:rPr>
                <w:rFonts w:ascii="Calibri" w:hAnsi="Calibri" w:eastAsia="Calibri"/>
                <w:color w:val="172033"/>
                <w:sz w:val="17"/>
              </w:rPr>
              <w:t>Extrair fonte compartilhada para lista, filtros e ordenação</w:t>
            </w:r>
          </w:p>
        </w:tc>
      </w:tr>
      <w:tr>
        <w:trPr>
          <w:cantSplit/>
        </w:trPr>
        <w:tc>
          <w:tcPr>
            <w:tcW w:type="dxa" w:w="2800"/>
            <w:vAlign w:val="center"/>
          </w:tcPr>
          <w:p>
            <w:pPr>
              <w:spacing w:after="0"/>
            </w:pPr>
            <w:r>
              <w:rPr>
                <w:rFonts w:ascii="Calibri" w:hAnsi="Calibri" w:eastAsia="Calibri"/>
                <w:color w:val="172033"/>
                <w:sz w:val="17"/>
              </w:rPr>
              <w:t>task-9-pendencias.css / passive-queue.css</w:t>
            </w:r>
          </w:p>
        </w:tc>
        <w:tc>
          <w:tcPr>
            <w:tcW w:type="dxa" w:w="2700"/>
            <w:vAlign w:val="center"/>
          </w:tcPr>
          <w:p>
            <w:pPr>
              <w:spacing w:after="0"/>
            </w:pPr>
            <w:r>
              <w:rPr>
                <w:rFonts w:ascii="Calibri" w:hAnsi="Calibri" w:eastAsia="Calibri"/>
                <w:color w:val="172033"/>
                <w:sz w:val="17"/>
              </w:rPr>
              <w:t>Layout atual</w:t>
            </w:r>
          </w:p>
        </w:tc>
        <w:tc>
          <w:tcPr>
            <w:tcW w:type="dxa" w:w="3860"/>
            <w:vAlign w:val="center"/>
          </w:tcPr>
          <w:p>
            <w:pPr>
              <w:spacing w:after="0"/>
            </w:pPr>
            <w:r>
              <w:rPr>
                <w:rFonts w:ascii="Calibri" w:hAnsi="Calibri" w:eastAsia="Calibri"/>
                <w:color w:val="172033"/>
                <w:sz w:val="17"/>
              </w:rPr>
              <w:t>Hierarquia, chips, card compacto, modal e estados</w:t>
            </w:r>
          </w:p>
        </w:tc>
      </w:tr>
      <w:tr>
        <w:trPr>
          <w:cantSplit/>
        </w:trPr>
        <w:tc>
          <w:tcPr>
            <w:tcW w:type="dxa" w:w="2800"/>
            <w:shd w:fill="F8FAFC" w:val="clear"/>
            <w:vAlign w:val="center"/>
          </w:tcPr>
          <w:p>
            <w:pPr>
              <w:spacing w:after="0"/>
            </w:pPr>
            <w:r>
              <w:rPr>
                <w:rFonts w:ascii="Calibri" w:hAnsi="Calibri" w:eastAsia="Calibri"/>
                <w:color w:val="172033"/>
                <w:sz w:val="17"/>
              </w:rPr>
              <w:t>Supabase RPC/migrations</w:t>
            </w:r>
          </w:p>
        </w:tc>
        <w:tc>
          <w:tcPr>
            <w:tcW w:type="dxa" w:w="2700"/>
            <w:shd w:fill="F8FAFC" w:val="clear"/>
            <w:vAlign w:val="center"/>
          </w:tcPr>
          <w:p>
            <w:pPr>
              <w:spacing w:after="0"/>
            </w:pPr>
            <w:r>
              <w:rPr>
                <w:rFonts w:ascii="Calibri" w:hAnsi="Calibri" w:eastAsia="Calibri"/>
                <w:color w:val="172033"/>
                <w:sz w:val="17"/>
              </w:rPr>
              <w:t>Persistência atômica</w:t>
            </w:r>
          </w:p>
        </w:tc>
        <w:tc>
          <w:tcPr>
            <w:tcW w:type="dxa" w:w="3860"/>
            <w:shd w:fill="F8FAFC" w:val="clear"/>
            <w:vAlign w:val="center"/>
          </w:tcPr>
          <w:p>
            <w:pPr>
              <w:spacing w:after="0"/>
            </w:pPr>
            <w:r>
              <w:rPr>
                <w:rFonts w:ascii="Calibri" w:hAnsi="Calibri" w:eastAsia="Calibri"/>
                <w:color w:val="172033"/>
                <w:sz w:val="17"/>
              </w:rPr>
              <w:t>Reparo condicionado; idempotência; resposta completa em etapas próprias</w:t>
            </w:r>
          </w:p>
        </w:tc>
      </w:tr>
    </w:tbl>
    <w:p>
      <w:pPr>
        <w:spacing w:after="0"/>
      </w:pPr>
    </w:p>
    <w:tbl>
      <w:tblPr>
        <w:tblW w:type="dxa" w:w="9360"/>
        <w:jc w:val="center"/>
        <w:tblLook w:firstColumn="1" w:firstRow="1" w:lastColumn="0" w:lastRow="0" w:noHBand="0" w:noVBand="1" w:val="04A0"/>
        <w:tblInd w:w="0" w:type="dxa"/>
        <w:tblLayout w:type="fixed"/>
        <w:tblBorders>
          <w:top w:val="single" w:sz="0" w:space="0" w:color="EAF2F8"/>
          <w:left w:val="single" w:sz="0" w:space="0" w:color="EAF2F8"/>
          <w:bottom w:val="single" w:sz="0" w:space="0" w:color="EAF2F8"/>
          <w:right w:val="single" w:sz="0" w:space="0" w:color="EAF2F8"/>
        </w:tblBorders>
      </w:tblPr>
      <w:tblGrid>
        <w:gridCol w:w="120"/>
        <w:gridCol w:w="9240"/>
      </w:tblGrid>
      <w:tr>
        <w:tc>
          <w:tcPr>
            <w:tcW w:type="dxa" w:w="120"/>
            <w:tcMar>
              <w:top w:w="120" w:type="dxa"/>
              <w:start w:w="0" w:type="dxa"/>
              <w:bottom w:w="120" w:type="dxa"/>
              <w:end w:w="0" w:type="dxa"/>
            </w:tcMar>
            <w:shd w:fill="2E74B5" w:val="clear"/>
          </w:tcPr>
          <w:p/>
        </w:tc>
        <w:tc>
          <w:tcPr>
            <w:tcW w:type="dxa" w:w="9240"/>
            <w:tcMar>
              <w:top w:w="150" w:type="dxa"/>
              <w:start w:w="180" w:type="dxa"/>
              <w:bottom w:w="150" w:type="dxa"/>
              <w:end w:w="180" w:type="dxa"/>
            </w:tcMar>
            <w:shd w:fill="EAF2F8" w:val="clear"/>
          </w:tcPr>
          <w:p>
            <w:pPr>
              <w:spacing w:after="80"/>
            </w:pPr>
            <w:r>
              <w:rPr>
                <w:rFonts w:ascii="Calibri" w:hAnsi="Calibri" w:eastAsia="Calibri"/>
                <w:b/>
                <w:color w:val="2E74B5"/>
                <w:sz w:val="22"/>
              </w:rPr>
              <w:t>Escopo de banco</w:t>
            </w:r>
          </w:p>
          <w:p>
            <w:pPr>
              <w:widowControl/>
              <w:spacing w:after="0"/>
            </w:pPr>
            <w:r>
              <w:t>Filtros por R.A., controlador, escola e datas já podem ser implementados com os dados disponíveis. As primeiras melhorias da fila não exigem mudança de esquema no Supabase.</w:t>
            </w:r>
          </w:p>
        </w:tc>
      </w:tr>
    </w:tbl>
    <w:p>
      <w:pPr>
        <w:spacing w:after="0"/>
      </w:pPr>
    </w:p>
    <w:p>
      <w:pPr>
        <w:pStyle w:val="Heading1"/>
        <w:keepNext/>
        <w:keepLines/>
        <w:widowControl/>
      </w:pPr>
      <w:r>
        <w:t>10. Entregas recomendadas</w:t>
      </w:r>
    </w:p>
    <w:p>
      <w:pPr>
        <w:widowControl/>
      </w:pPr>
      <w:r>
        <w:t>O plano final organiza oito etapas operacionais em nove PRs pequenos — a experiência de pendências é dividida em 7A e 7B. Antes do primeiro PR, a Etapa 0 congela a linha de base: commit 4542bbf, consultas somente leitura, comandos dos conjuntos de 22 e 31 testes, métricas de gravação e matriz de smoke tests. A Etapa 0 não altera código nem dados.</w:t>
      </w:r>
    </w:p>
    <w:tbl>
      <w:tblPr>
        <w:tblW w:type="dxa" w:w="9360"/>
        <w:jc w:val="center"/>
        <w:tblLook w:firstColumn="1" w:firstRow="1" w:lastColumn="0" w:lastRow="0" w:noHBand="0" w:noVBand="1" w:val="04A0"/>
        <w:tblInd w:w="0" w:type="dxa"/>
        <w:tblLayout w:type="fixed"/>
        <w:tblBorders>
          <w:top w:val="single" w:sz="0" w:space="0" w:color="F3E8FF"/>
          <w:left w:val="single" w:sz="0" w:space="0" w:color="F3E8FF"/>
          <w:bottom w:val="single" w:sz="0" w:space="0" w:color="F3E8FF"/>
          <w:right w:val="single" w:sz="0" w:space="0" w:color="F3E8FF"/>
        </w:tblBorders>
      </w:tblPr>
      <w:tblGrid>
        <w:gridCol w:w="120"/>
        <w:gridCol w:w="9240"/>
      </w:tblGrid>
      <w:tr>
        <w:tc>
          <w:tcPr>
            <w:tcW w:type="dxa" w:w="120"/>
            <w:tcMar>
              <w:top w:w="120" w:type="dxa"/>
              <w:start w:w="0" w:type="dxa"/>
              <w:bottom w:w="120" w:type="dxa"/>
              <w:end w:w="0" w:type="dxa"/>
            </w:tcMar>
            <w:shd w:fill="6D28D9" w:val="clear"/>
          </w:tcPr>
          <w:p/>
        </w:tc>
        <w:tc>
          <w:tcPr>
            <w:tcW w:type="dxa" w:w="9240"/>
            <w:tcMar>
              <w:top w:w="150" w:type="dxa"/>
              <w:start w:w="180" w:type="dxa"/>
              <w:bottom w:w="150" w:type="dxa"/>
              <w:end w:w="180" w:type="dxa"/>
            </w:tcMar>
            <w:shd w:fill="F3E8FF" w:val="clear"/>
          </w:tcPr>
          <w:p>
            <w:pPr>
              <w:spacing w:after="80"/>
            </w:pPr>
            <w:r>
              <w:rPr>
                <w:rFonts w:ascii="Calibri" w:hAnsi="Calibri" w:eastAsia="Calibri"/>
                <w:b/>
                <w:color w:val="6D28D9"/>
                <w:sz w:val="22"/>
              </w:rPr>
              <w:t>Princípio de sequenciamento</w:t>
            </w:r>
          </w:p>
          <w:p>
            <w:pPr>
              <w:widowControl/>
              <w:spacing w:after="0"/>
            </w:pPr>
            <w:r>
              <w:t>Corrigir primeiro o risco em produção; depois estabilizar as verdades derivadas e a inicialização; reparar dados somente após o código; concluir a idempotência antes da reforma visual; redesenhar a fila sobre um contrato funcional já testado; ampliar a resposta da RPC por último.</w:t>
            </w:r>
          </w:p>
        </w:tc>
      </w:tr>
    </w:tbl>
    <w:p>
      <w:pPr>
        <w:spacing w:after="0"/>
      </w:pP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700"/>
        <w:gridCol w:w="4100"/>
        <w:gridCol w:w="1450"/>
        <w:gridCol w:w="2110"/>
      </w:tblGrid>
      <w:tr>
        <w:trPr>
          <w:tblHeader w:val="true"/>
          <w:cantSplit/>
        </w:trPr>
        <w:tc>
          <w:tcPr>
            <w:tcW w:type="dxa" w:w="17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PR</w:t>
            </w:r>
          </w:p>
        </w:tc>
        <w:tc>
          <w:tcPr>
            <w:tcW w:type="dxa" w:w="41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Conteúdo</w:t>
            </w:r>
          </w:p>
        </w:tc>
        <w:tc>
          <w:tcPr>
            <w:tcW w:type="dxa" w:w="145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Risco</w:t>
            </w:r>
          </w:p>
        </w:tc>
        <w:tc>
          <w:tcPr>
            <w:tcW w:type="dxa" w:w="211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Condição para avançar</w:t>
            </w:r>
          </w:p>
        </w:tc>
      </w:tr>
      <w:tr>
        <w:trPr>
          <w:cantSplit/>
        </w:trPr>
        <w:tc>
          <w:tcPr>
            <w:tcW w:type="dxa" w:w="1700"/>
            <w:vAlign w:val="center"/>
          </w:tcPr>
          <w:p>
            <w:pPr>
              <w:spacing w:after="0"/>
            </w:pPr>
            <w:r>
              <w:rPr>
                <w:rFonts w:ascii="Calibri" w:hAnsi="Calibri" w:eastAsia="Calibri"/>
                <w:color w:val="172033"/>
                <w:sz w:val="17"/>
              </w:rPr>
              <w:t>1 — Contenção</w:t>
            </w:r>
          </w:p>
        </w:tc>
        <w:tc>
          <w:tcPr>
            <w:tcW w:type="dxa" w:w="4100"/>
            <w:vAlign w:val="center"/>
          </w:tcPr>
          <w:p>
            <w:pPr>
              <w:spacing w:after="0"/>
            </w:pPr>
            <w:r>
              <w:rPr>
                <w:rFonts w:ascii="Calibri" w:hAnsi="Calibri" w:eastAsia="Calibri"/>
                <w:color w:val="172033"/>
                <w:sz w:val="17"/>
              </w:rPr>
              <w:t>Trava síncrona; Salvando…; Enter/cliques bloqueados; dispensa de reler históricos declarada no núcleo</w:t>
            </w:r>
          </w:p>
        </w:tc>
        <w:tc>
          <w:tcPr>
            <w:tcW w:type="dxa" w:w="1450"/>
            <w:vAlign w:val="center"/>
          </w:tcPr>
          <w:p>
            <w:pPr>
              <w:spacing w:after="0"/>
            </w:pPr>
            <w:r>
              <w:rPr>
                <w:rFonts w:ascii="Calibri" w:hAnsi="Calibri" w:eastAsia="Calibri"/>
                <w:color w:val="172033"/>
                <w:sz w:val="17"/>
              </w:rPr>
              <w:t>Baixo</w:t>
            </w:r>
          </w:p>
        </w:tc>
        <w:tc>
          <w:tcPr>
            <w:tcW w:type="dxa" w:w="2110"/>
            <w:vAlign w:val="center"/>
          </w:tcPr>
          <w:p>
            <w:pPr>
              <w:spacing w:after="0"/>
            </w:pPr>
            <w:r>
              <w:rPr>
                <w:rFonts w:ascii="Calibri" w:hAnsi="Calibri" w:eastAsia="Calibri"/>
                <w:color w:val="172033"/>
                <w:sz w:val="17"/>
              </w:rPr>
              <w:t>Um gesto = uma chamada; caminho normal não busca 1.562 históricos</w:t>
            </w:r>
          </w:p>
        </w:tc>
      </w:tr>
      <w:tr>
        <w:trPr>
          <w:cantSplit/>
        </w:trPr>
        <w:tc>
          <w:tcPr>
            <w:tcW w:type="dxa" w:w="1700"/>
            <w:shd w:fill="F8FAFC" w:val="clear"/>
            <w:vAlign w:val="center"/>
          </w:tcPr>
          <w:p>
            <w:pPr>
              <w:spacing w:after="0"/>
            </w:pPr>
            <w:r>
              <w:rPr>
                <w:rFonts w:ascii="Calibri" w:hAnsi="Calibri" w:eastAsia="Calibri"/>
                <w:color w:val="172033"/>
                <w:sz w:val="17"/>
              </w:rPr>
              <w:t>2 — Efeitos canônicos</w:t>
            </w:r>
          </w:p>
        </w:tc>
        <w:tc>
          <w:tcPr>
            <w:tcW w:type="dxa" w:w="4100"/>
            <w:shd w:fill="F8FAFC" w:val="clear"/>
            <w:vAlign w:val="center"/>
          </w:tcPr>
          <w:p>
            <w:pPr>
              <w:spacing w:after="0"/>
            </w:pPr>
            <w:r>
              <w:rPr>
                <w:rFonts w:ascii="Calibri" w:hAnsi="Calibri" w:eastAsia="Calibri"/>
                <w:color w:val="172033"/>
                <w:sz w:val="17"/>
              </w:rPr>
              <w:t>Regra compartilhada da Assessoria; planejador de efeitos; no-op verdadeiramente semântico; mensagens</w:t>
            </w:r>
          </w:p>
        </w:tc>
        <w:tc>
          <w:tcPr>
            <w:tcW w:type="dxa" w:w="1450"/>
            <w:shd w:fill="F8FAFC" w:val="clear"/>
            <w:vAlign w:val="center"/>
          </w:tcPr>
          <w:p>
            <w:pPr>
              <w:spacing w:after="0"/>
            </w:pPr>
            <w:r>
              <w:rPr>
                <w:rFonts w:ascii="Calibri" w:hAnsi="Calibri" w:eastAsia="Calibri"/>
                <w:color w:val="172033"/>
                <w:sz w:val="17"/>
              </w:rPr>
              <w:t>Médio</w:t>
            </w:r>
          </w:p>
        </w:tc>
        <w:tc>
          <w:tcPr>
            <w:tcW w:type="dxa" w:w="2110"/>
            <w:shd w:fill="F8FAFC" w:val="clear"/>
            <w:vAlign w:val="center"/>
          </w:tcPr>
          <w:p>
            <w:pPr>
              <w:spacing w:after="0"/>
            </w:pPr>
            <w:r>
              <w:rPr>
                <w:rFonts w:ascii="Calibri" w:hAnsi="Calibri" w:eastAsia="Calibri"/>
                <w:color w:val="172033"/>
                <w:sz w:val="17"/>
              </w:rPr>
              <w:t>Zero cópia paralela; unchanged não grava e inconsistência derivada é reconciliada</w:t>
            </w:r>
          </w:p>
        </w:tc>
      </w:tr>
      <w:tr>
        <w:trPr>
          <w:cantSplit/>
        </w:trPr>
        <w:tc>
          <w:tcPr>
            <w:tcW w:type="dxa" w:w="1700"/>
            <w:vAlign w:val="center"/>
          </w:tcPr>
          <w:p>
            <w:pPr>
              <w:spacing w:after="0"/>
            </w:pPr>
            <w:r>
              <w:rPr>
                <w:rFonts w:ascii="Calibri" w:hAnsi="Calibri" w:eastAsia="Calibri"/>
                <w:color w:val="172033"/>
                <w:sz w:val="17"/>
              </w:rPr>
              <w:t>3 — Prontidão crítica</w:t>
            </w:r>
          </w:p>
        </w:tc>
        <w:tc>
          <w:tcPr>
            <w:tcW w:type="dxa" w:w="4100"/>
            <w:vAlign w:val="center"/>
          </w:tcPr>
          <w:p>
            <w:pPr>
              <w:spacing w:after="0"/>
            </w:pPr>
            <w:r>
              <w:rPr>
                <w:rFonts w:ascii="Calibri" w:hAnsi="Calibri" w:eastAsia="Calibri"/>
                <w:color w:val="172033"/>
                <w:sz w:val="17"/>
              </w:rPr>
              <w:t>Registro de instalação por módulo; espera real; isolamento entre crítico e auxiliar</w:t>
            </w:r>
          </w:p>
        </w:tc>
        <w:tc>
          <w:tcPr>
            <w:tcW w:type="dxa" w:w="1450"/>
            <w:vAlign w:val="center"/>
          </w:tcPr>
          <w:p>
            <w:pPr>
              <w:spacing w:after="0"/>
            </w:pPr>
            <w:r>
              <w:rPr>
                <w:rFonts w:ascii="Calibri" w:hAnsi="Calibri" w:eastAsia="Calibri"/>
                <w:color w:val="172033"/>
                <w:sz w:val="17"/>
              </w:rPr>
              <w:t>Médio</w:t>
            </w:r>
          </w:p>
        </w:tc>
        <w:tc>
          <w:tcPr>
            <w:tcW w:type="dxa" w:w="2110"/>
            <w:vAlign w:val="center"/>
          </w:tcPr>
          <w:p>
            <w:pPr>
              <w:spacing w:after="0"/>
            </w:pPr>
            <w:r>
              <w:rPr>
                <w:rFonts w:ascii="Calibri" w:hAnsi="Calibri" w:eastAsia="Calibri"/>
                <w:color w:val="172033"/>
                <w:sz w:val="17"/>
              </w:rPr>
              <w:t>Carga &gt;10 s funciona; falha auxiliar não interrompe módulo crítico posterior</w:t>
            </w:r>
          </w:p>
        </w:tc>
      </w:tr>
      <w:tr>
        <w:trPr>
          <w:cantSplit/>
        </w:trPr>
        <w:tc>
          <w:tcPr>
            <w:tcW w:type="dxa" w:w="1700"/>
            <w:shd w:fill="F8FAFC" w:val="clear"/>
            <w:vAlign w:val="center"/>
          </w:tcPr>
          <w:p>
            <w:pPr>
              <w:spacing w:after="0"/>
            </w:pPr>
            <w:r>
              <w:rPr>
                <w:rFonts w:ascii="Calibri" w:hAnsi="Calibri" w:eastAsia="Calibri"/>
                <w:color w:val="172033"/>
                <w:sz w:val="17"/>
              </w:rPr>
              <w:t>4 — Reparo de dados</w:t>
            </w:r>
          </w:p>
        </w:tc>
        <w:tc>
          <w:tcPr>
            <w:tcW w:type="dxa" w:w="4100"/>
            <w:shd w:fill="F8FAFC" w:val="clear"/>
            <w:vAlign w:val="center"/>
          </w:tcPr>
          <w:p>
            <w:pPr>
              <w:spacing w:after="0"/>
            </w:pPr>
            <w:r>
              <w:rPr>
                <w:rFonts w:ascii="Calibri" w:hAnsi="Calibri" w:eastAsia="Calibri"/>
                <w:color w:val="172033"/>
                <w:sz w:val="17"/>
              </w:rPr>
              <w:t>Data fix condicionado ao conjunto aprovado e ainda inconsistente</w:t>
            </w:r>
          </w:p>
        </w:tc>
        <w:tc>
          <w:tcPr>
            <w:tcW w:type="dxa" w:w="1450"/>
            <w:shd w:fill="F8FAFC" w:val="clear"/>
            <w:vAlign w:val="center"/>
          </w:tcPr>
          <w:p>
            <w:pPr>
              <w:spacing w:after="0"/>
            </w:pPr>
            <w:r>
              <w:rPr>
                <w:rFonts w:ascii="Calibri" w:hAnsi="Calibri" w:eastAsia="Calibri"/>
                <w:color w:val="172033"/>
                <w:sz w:val="17"/>
              </w:rPr>
              <w:t>Baixo/controlado</w:t>
            </w:r>
          </w:p>
        </w:tc>
        <w:tc>
          <w:tcPr>
            <w:tcW w:type="dxa" w:w="2110"/>
            <w:shd w:fill="F8FAFC" w:val="clear"/>
            <w:vAlign w:val="center"/>
          </w:tcPr>
          <w:p>
            <w:pPr>
              <w:spacing w:after="0"/>
            </w:pPr>
            <w:r>
              <w:rPr>
                <w:rFonts w:ascii="Calibri" w:hAnsi="Calibri" w:eastAsia="Calibri"/>
                <w:color w:val="172033"/>
                <w:sz w:val="17"/>
              </w:rPr>
              <w:t>Zero divergências e caso 04.10.002 consolidável</w:t>
            </w:r>
          </w:p>
        </w:tc>
      </w:tr>
      <w:tr>
        <w:trPr>
          <w:cantSplit/>
        </w:trPr>
        <w:tc>
          <w:tcPr>
            <w:tcW w:type="dxa" w:w="1700"/>
            <w:vAlign w:val="center"/>
          </w:tcPr>
          <w:p>
            <w:pPr>
              <w:spacing w:after="0"/>
            </w:pPr>
            <w:r>
              <w:rPr>
                <w:rFonts w:ascii="Calibri" w:hAnsi="Calibri" w:eastAsia="Calibri"/>
                <w:color w:val="172033"/>
                <w:sz w:val="17"/>
              </w:rPr>
              <w:t>5 — Idempotência</w:t>
            </w:r>
          </w:p>
        </w:tc>
        <w:tc>
          <w:tcPr>
            <w:tcW w:type="dxa" w:w="4100"/>
            <w:vAlign w:val="center"/>
          </w:tcPr>
          <w:p>
            <w:pPr>
              <w:spacing w:after="0"/>
            </w:pPr>
            <w:r>
              <w:rPr>
                <w:rFonts w:ascii="Calibri" w:hAnsi="Calibri" w:eastAsia="Calibri"/>
                <w:color w:val="172033"/>
                <w:sz w:val="17"/>
              </w:rPr>
              <w:t>Chave por intenção; reserva atômica; compatibilidade gradual; testes concorrentes</w:t>
            </w:r>
          </w:p>
        </w:tc>
        <w:tc>
          <w:tcPr>
            <w:tcW w:type="dxa" w:w="1450"/>
            <w:vAlign w:val="center"/>
          </w:tcPr>
          <w:p>
            <w:pPr>
              <w:spacing w:after="0"/>
            </w:pPr>
            <w:r>
              <w:rPr>
                <w:rFonts w:ascii="Calibri" w:hAnsi="Calibri" w:eastAsia="Calibri"/>
                <w:color w:val="172033"/>
                <w:sz w:val="17"/>
              </w:rPr>
              <w:t>Médio</w:t>
            </w:r>
          </w:p>
        </w:tc>
        <w:tc>
          <w:tcPr>
            <w:tcW w:type="dxa" w:w="2110"/>
            <w:vAlign w:val="center"/>
          </w:tcPr>
          <w:p>
            <w:pPr>
              <w:spacing w:after="0"/>
            </w:pPr>
            <w:r>
              <w:rPr>
                <w:rFonts w:ascii="Calibri" w:hAnsi="Calibri" w:eastAsia="Calibri"/>
                <w:color w:val="172033"/>
                <w:sz w:val="17"/>
              </w:rPr>
              <w:t>Repetição da mesma chave reutiliza resultado; chave nova preserva lançamento legítimo</w:t>
            </w:r>
          </w:p>
        </w:tc>
      </w:tr>
      <w:tr>
        <w:trPr>
          <w:cantSplit/>
        </w:trPr>
        <w:tc>
          <w:tcPr>
            <w:tcW w:type="dxa" w:w="1700"/>
            <w:shd w:fill="F8FAFC" w:val="clear"/>
            <w:vAlign w:val="center"/>
          </w:tcPr>
          <w:p>
            <w:pPr>
              <w:spacing w:after="0"/>
            </w:pPr>
            <w:r>
              <w:rPr>
                <w:rFonts w:ascii="Calibri" w:hAnsi="Calibri" w:eastAsia="Calibri"/>
                <w:color w:val="172033"/>
                <w:sz w:val="17"/>
              </w:rPr>
              <w:t>6 — Contrato da fila</w:t>
            </w:r>
          </w:p>
        </w:tc>
        <w:tc>
          <w:tcPr>
            <w:tcW w:type="dxa" w:w="4100"/>
            <w:shd w:fill="F8FAFC" w:val="clear"/>
            <w:vAlign w:val="center"/>
          </w:tcPr>
          <w:p>
            <w:pPr>
              <w:spacing w:after="0"/>
            </w:pPr>
            <w:r>
              <w:rPr>
                <w:rFonts w:ascii="Calibri" w:hAnsi="Calibri" w:eastAsia="Calibri"/>
                <w:color w:val="172033"/>
                <w:sz w:val="17"/>
              </w:rPr>
              <w:t>Tempo canônico; prioridade por trabalho; reabrir cancelada; action model único</w:t>
            </w:r>
          </w:p>
        </w:tc>
        <w:tc>
          <w:tcPr>
            <w:tcW w:type="dxa" w:w="1450"/>
            <w:shd w:fill="F8FAFC" w:val="clear"/>
            <w:vAlign w:val="center"/>
          </w:tcPr>
          <w:p>
            <w:pPr>
              <w:spacing w:after="0"/>
            </w:pPr>
            <w:r>
              <w:rPr>
                <w:rFonts w:ascii="Calibri" w:hAnsi="Calibri" w:eastAsia="Calibri"/>
                <w:color w:val="172033"/>
                <w:sz w:val="17"/>
              </w:rPr>
              <w:t>Médio-baixo</w:t>
            </w:r>
          </w:p>
        </w:tc>
        <w:tc>
          <w:tcPr>
            <w:tcW w:type="dxa" w:w="2110"/>
            <w:shd w:fill="F8FAFC" w:val="clear"/>
            <w:vAlign w:val="center"/>
          </w:tcPr>
          <w:p>
            <w:pPr>
              <w:spacing w:after="0"/>
            </w:pPr>
            <w:r>
              <w:rPr>
                <w:rFonts w:ascii="Calibri" w:hAnsi="Calibri" w:eastAsia="Calibri"/>
                <w:color w:val="172033"/>
                <w:sz w:val="17"/>
              </w:rPr>
              <w:t>Domínio, lista, filtros e permissões mostram a mesma verdade</w:t>
            </w:r>
          </w:p>
        </w:tc>
      </w:tr>
      <w:tr>
        <w:trPr>
          <w:cantSplit/>
        </w:trPr>
        <w:tc>
          <w:tcPr>
            <w:tcW w:type="dxa" w:w="1700"/>
            <w:vAlign w:val="center"/>
          </w:tcPr>
          <w:p>
            <w:pPr>
              <w:spacing w:after="0"/>
            </w:pPr>
            <w:r>
              <w:rPr>
                <w:rFonts w:ascii="Calibri" w:hAnsi="Calibri" w:eastAsia="Calibri"/>
                <w:color w:val="172033"/>
                <w:sz w:val="17"/>
              </w:rPr>
              <w:t>7A — Fila e filtros</w:t>
            </w:r>
          </w:p>
        </w:tc>
        <w:tc>
          <w:tcPr>
            <w:tcW w:type="dxa" w:w="4100"/>
            <w:vAlign w:val="center"/>
          </w:tcPr>
          <w:p>
            <w:pPr>
              <w:spacing w:after="0"/>
            </w:pPr>
            <w:r>
              <w:rPr>
                <w:rFonts w:ascii="Calibri" w:hAnsi="Calibri" w:eastAsia="Calibri"/>
                <w:color w:val="172033"/>
                <w:sz w:val="17"/>
              </w:rPr>
              <w:t>Minha carteira; R.A.; controlador; combobox; tempo na etapa; cards; ação principal</w:t>
            </w:r>
          </w:p>
        </w:tc>
        <w:tc>
          <w:tcPr>
            <w:tcW w:type="dxa" w:w="1450"/>
            <w:vAlign w:val="center"/>
          </w:tcPr>
          <w:p>
            <w:pPr>
              <w:spacing w:after="0"/>
            </w:pPr>
            <w:r>
              <w:rPr>
                <w:rFonts w:ascii="Calibri" w:hAnsi="Calibri" w:eastAsia="Calibri"/>
                <w:color w:val="172033"/>
                <w:sz w:val="17"/>
              </w:rPr>
              <w:t>Médio</w:t>
            </w:r>
          </w:p>
        </w:tc>
        <w:tc>
          <w:tcPr>
            <w:tcW w:type="dxa" w:w="2110"/>
            <w:vAlign w:val="center"/>
          </w:tcPr>
          <w:p>
            <w:pPr>
              <w:spacing w:after="0"/>
            </w:pPr>
            <w:r>
              <w:rPr>
                <w:rFonts w:ascii="Calibri" w:hAnsi="Calibri" w:eastAsia="Calibri"/>
                <w:color w:val="172033"/>
                <w:sz w:val="17"/>
              </w:rPr>
              <w:t>Usuário localiza e inicia a ação correta no celular</w:t>
            </w:r>
          </w:p>
        </w:tc>
      </w:tr>
      <w:tr>
        <w:trPr>
          <w:cantSplit/>
        </w:trPr>
        <w:tc>
          <w:tcPr>
            <w:tcW w:type="dxa" w:w="1700"/>
            <w:shd w:fill="F8FAFC" w:val="clear"/>
            <w:vAlign w:val="center"/>
          </w:tcPr>
          <w:p>
            <w:pPr>
              <w:spacing w:after="0"/>
            </w:pPr>
            <w:r>
              <w:rPr>
                <w:rFonts w:ascii="Calibri" w:hAnsi="Calibri" w:eastAsia="Calibri"/>
                <w:color w:val="172033"/>
                <w:sz w:val="17"/>
              </w:rPr>
              <w:t>7B — Detalhe e reanálise</w:t>
            </w:r>
          </w:p>
        </w:tc>
        <w:tc>
          <w:tcPr>
            <w:tcW w:type="dxa" w:w="4100"/>
            <w:shd w:fill="F8FAFC" w:val="clear"/>
            <w:vAlign w:val="center"/>
          </w:tcPr>
          <w:p>
            <w:pPr>
              <w:spacing w:after="0"/>
            </w:pPr>
            <w:r>
              <w:rPr>
                <w:rFonts w:ascii="Calibri" w:hAnsi="Calibri" w:eastAsia="Calibri"/>
                <w:color w:val="172033"/>
                <w:sz w:val="17"/>
              </w:rPr>
              <w:t>Drawer/modal estruturados; divulgação progressiva; agrupamento opcional por escola</w:t>
            </w:r>
          </w:p>
        </w:tc>
        <w:tc>
          <w:tcPr>
            <w:tcW w:type="dxa" w:w="1450"/>
            <w:shd w:fill="F8FAFC" w:val="clear"/>
            <w:vAlign w:val="center"/>
          </w:tcPr>
          <w:p>
            <w:pPr>
              <w:spacing w:after="0"/>
            </w:pPr>
            <w:r>
              <w:rPr>
                <w:rFonts w:ascii="Calibri" w:hAnsi="Calibri" w:eastAsia="Calibri"/>
                <w:color w:val="172033"/>
                <w:sz w:val="17"/>
              </w:rPr>
              <w:t>Médio</w:t>
            </w:r>
          </w:p>
        </w:tc>
        <w:tc>
          <w:tcPr>
            <w:tcW w:type="dxa" w:w="2110"/>
            <w:shd w:fill="F8FAFC" w:val="clear"/>
            <w:vAlign w:val="center"/>
          </w:tcPr>
          <w:p>
            <w:pPr>
              <w:spacing w:after="0"/>
            </w:pPr>
            <w:r>
              <w:rPr>
                <w:rFonts w:ascii="Calibri" w:hAnsi="Calibri" w:eastAsia="Calibri"/>
                <w:color w:val="172033"/>
                <w:sz w:val="17"/>
              </w:rPr>
              <w:t>Decisão compreensível; histórico preservado; prioridade global não se perde</w:t>
            </w:r>
          </w:p>
        </w:tc>
      </w:tr>
      <w:tr>
        <w:trPr>
          <w:cantSplit/>
        </w:trPr>
        <w:tc>
          <w:tcPr>
            <w:tcW w:type="dxa" w:w="1700"/>
            <w:vAlign w:val="center"/>
          </w:tcPr>
          <w:p>
            <w:pPr>
              <w:spacing w:after="0"/>
            </w:pPr>
            <w:r>
              <w:rPr>
                <w:rFonts w:ascii="Calibri" w:hAnsi="Calibri" w:eastAsia="Calibri"/>
                <w:color w:val="172033"/>
                <w:sz w:val="17"/>
              </w:rPr>
              <w:t>8 — Desempenho completo</w:t>
            </w:r>
          </w:p>
        </w:tc>
        <w:tc>
          <w:tcPr>
            <w:tcW w:type="dxa" w:w="4100"/>
            <w:vAlign w:val="center"/>
          </w:tcPr>
          <w:p>
            <w:pPr>
              <w:spacing w:after="0"/>
            </w:pPr>
            <w:r>
              <w:rPr>
                <w:rFonts w:ascii="Calibri" w:hAnsi="Calibri" w:eastAsia="Calibri"/>
                <w:color w:val="172033"/>
                <w:sz w:val="17"/>
              </w:rPr>
              <w:t>Resposta autoritativa ampliada; remoções explícitas; aplicação incremental; métricas centrais</w:t>
            </w:r>
          </w:p>
        </w:tc>
        <w:tc>
          <w:tcPr>
            <w:tcW w:type="dxa" w:w="1450"/>
            <w:vAlign w:val="center"/>
          </w:tcPr>
          <w:p>
            <w:pPr>
              <w:spacing w:after="0"/>
            </w:pPr>
            <w:r>
              <w:rPr>
                <w:rFonts w:ascii="Calibri" w:hAnsi="Calibri" w:eastAsia="Calibri"/>
                <w:color w:val="172033"/>
                <w:sz w:val="17"/>
              </w:rPr>
              <w:t>Médio</w:t>
            </w:r>
          </w:p>
        </w:tc>
        <w:tc>
          <w:tcPr>
            <w:tcW w:type="dxa" w:w="2110"/>
            <w:vAlign w:val="center"/>
          </w:tcPr>
          <w:p>
            <w:pPr>
              <w:spacing w:after="0"/>
            </w:pPr>
            <w:r>
              <w:rPr>
                <w:rFonts w:ascii="Calibri" w:hAnsi="Calibri" w:eastAsia="Calibri"/>
                <w:color w:val="172033"/>
                <w:sz w:val="17"/>
              </w:rPr>
              <w:t>Sem refetch global; estado local correto em todas as transições</w:t>
            </w:r>
          </w:p>
        </w:tc>
      </w:tr>
    </w:tbl>
    <w:p>
      <w:pPr>
        <w:spacing w:after="0"/>
      </w:pPr>
    </w:p>
    <w:p>
      <w:pPr>
        <w:pStyle w:val="Heading2"/>
        <w:keepNext/>
        <w:keepLines/>
        <w:widowControl/>
      </w:pPr>
      <w:r>
        <w:t>10.1 Detalhamento e reversão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00"/>
        <w:gridCol w:w="7760"/>
      </w:tblGrid>
      <w:tr>
        <w:trPr>
          <w:tblHeader w:val="true"/>
          <w:cantSplit/>
        </w:trPr>
        <w:tc>
          <w:tcPr>
            <w:tcW w:type="dxa" w:w="16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Entrega</w:t>
            </w:r>
          </w:p>
        </w:tc>
        <w:tc>
          <w:tcPr>
            <w:tcW w:type="dxa" w:w="77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Estratégia de controle</w:t>
            </w:r>
          </w:p>
        </w:tc>
      </w:tr>
      <w:tr>
        <w:trPr>
          <w:cantSplit/>
        </w:trPr>
        <w:tc>
          <w:tcPr>
            <w:tcW w:type="dxa" w:w="1600"/>
            <w:vAlign w:val="center"/>
          </w:tcPr>
          <w:p>
            <w:pPr>
              <w:spacing w:after="0"/>
            </w:pPr>
            <w:r>
              <w:rPr>
                <w:rFonts w:ascii="Calibri" w:hAnsi="Calibri" w:eastAsia="Calibri"/>
                <w:color w:val="172033"/>
                <w:sz w:val="17"/>
              </w:rPr>
              <w:t>PR 1</w:t>
            </w:r>
          </w:p>
        </w:tc>
        <w:tc>
          <w:tcPr>
            <w:tcW w:type="dxa" w:w="7760"/>
            <w:vAlign w:val="center"/>
          </w:tcPr>
          <w:p>
            <w:pPr>
              <w:spacing w:after="0"/>
            </w:pPr>
            <w:r>
              <w:rPr>
                <w:rFonts w:ascii="Calibri" w:hAnsi="Calibri" w:eastAsia="Calibri"/>
                <w:color w:val="172033"/>
                <w:sz w:val="17"/>
              </w:rPr>
              <w:t>Sem migration. Reversão restaura apenas o formulário e a política de refresh; deve fechar a janela de duplo clique comum antes de qualquer refatoração.</w:t>
            </w:r>
          </w:p>
        </w:tc>
      </w:tr>
      <w:tr>
        <w:trPr>
          <w:cantSplit/>
        </w:trPr>
        <w:tc>
          <w:tcPr>
            <w:tcW w:type="dxa" w:w="1600"/>
            <w:shd w:fill="F8FAFC" w:val="clear"/>
            <w:vAlign w:val="center"/>
          </w:tcPr>
          <w:p>
            <w:pPr>
              <w:spacing w:after="0"/>
            </w:pPr>
            <w:r>
              <w:rPr>
                <w:rFonts w:ascii="Calibri" w:hAnsi="Calibri" w:eastAsia="Calibri"/>
                <w:color w:val="172033"/>
                <w:sz w:val="17"/>
              </w:rPr>
              <w:t>PR 2</w:t>
            </w:r>
          </w:p>
        </w:tc>
        <w:tc>
          <w:tcPr>
            <w:tcW w:type="dxa" w:w="7760"/>
            <w:shd w:fill="F8FAFC" w:val="clear"/>
            <w:vAlign w:val="center"/>
          </w:tcPr>
          <w:p>
            <w:pPr>
              <w:spacing w:after="0"/>
            </w:pPr>
            <w:r>
              <w:rPr>
                <w:rFonts w:ascii="Calibri" w:hAnsi="Calibri" w:eastAsia="Calibri"/>
                <w:color w:val="172033"/>
                <w:sz w:val="17"/>
              </w:rPr>
              <w:t>Extrair primeiro a função pura; depois migrar os dois serviços; por último ativar o no-op. A ordem impede que o no-op use regra provisória.</w:t>
            </w:r>
          </w:p>
        </w:tc>
      </w:tr>
      <w:tr>
        <w:trPr>
          <w:cantSplit/>
        </w:trPr>
        <w:tc>
          <w:tcPr>
            <w:tcW w:type="dxa" w:w="1600"/>
            <w:vAlign w:val="center"/>
          </w:tcPr>
          <w:p>
            <w:pPr>
              <w:spacing w:after="0"/>
            </w:pPr>
            <w:r>
              <w:rPr>
                <w:rFonts w:ascii="Calibri" w:hAnsi="Calibri" w:eastAsia="Calibri"/>
                <w:color w:val="172033"/>
                <w:sz w:val="17"/>
              </w:rPr>
              <w:t>PR 3</w:t>
            </w:r>
          </w:p>
        </w:tc>
        <w:tc>
          <w:tcPr>
            <w:tcW w:type="dxa" w:w="7760"/>
            <w:vAlign w:val="center"/>
          </w:tcPr>
          <w:p>
            <w:pPr>
              <w:spacing w:after="0"/>
            </w:pPr>
            <w:r>
              <w:rPr>
                <w:rFonts w:ascii="Calibri" w:hAnsi="Calibri" w:eastAsia="Calibri"/>
                <w:color w:val="172033"/>
                <w:sz w:val="17"/>
              </w:rPr>
              <w:t>Falha crítica desabilita somente o controle dependente. Diagnóstico, métricas e estética falham abertos e não interrompem a cadeia de carga.</w:t>
            </w:r>
          </w:p>
        </w:tc>
      </w:tr>
      <w:tr>
        <w:trPr>
          <w:cantSplit/>
        </w:trPr>
        <w:tc>
          <w:tcPr>
            <w:tcW w:type="dxa" w:w="1600"/>
            <w:shd w:fill="F8FAFC" w:val="clear"/>
            <w:vAlign w:val="center"/>
          </w:tcPr>
          <w:p>
            <w:pPr>
              <w:spacing w:after="0"/>
            </w:pPr>
            <w:r>
              <w:rPr>
                <w:rFonts w:ascii="Calibri" w:hAnsi="Calibri" w:eastAsia="Calibri"/>
                <w:color w:val="172033"/>
                <w:sz w:val="17"/>
              </w:rPr>
              <w:t>PR 4</w:t>
            </w:r>
          </w:p>
        </w:tc>
        <w:tc>
          <w:tcPr>
            <w:tcW w:type="dxa" w:w="7760"/>
            <w:shd w:fill="F8FAFC" w:val="clear"/>
            <w:vAlign w:val="center"/>
          </w:tcPr>
          <w:p>
            <w:pPr>
              <w:spacing w:after="0"/>
            </w:pPr>
            <w:r>
              <w:rPr>
                <w:rFonts w:ascii="Calibri" w:hAnsi="Calibri" w:eastAsia="Calibri"/>
                <w:color w:val="172033"/>
                <w:sz w:val="17"/>
              </w:rPr>
              <w:t>Transação com consulta antes/depois, conjunto aprovado e snapshot. Aceitar 0–4 linhas ainda elegíveis; abortar se surgir divergência fora do conjunto autorizado.</w:t>
            </w:r>
          </w:p>
        </w:tc>
      </w:tr>
      <w:tr>
        <w:trPr>
          <w:cantSplit/>
        </w:trPr>
        <w:tc>
          <w:tcPr>
            <w:tcW w:type="dxa" w:w="1600"/>
            <w:vAlign w:val="center"/>
          </w:tcPr>
          <w:p>
            <w:pPr>
              <w:spacing w:after="0"/>
            </w:pPr>
            <w:r>
              <w:rPr>
                <w:rFonts w:ascii="Calibri" w:hAnsi="Calibri" w:eastAsia="Calibri"/>
                <w:color w:val="172033"/>
                <w:sz w:val="17"/>
              </w:rPr>
              <w:t>PR 5</w:t>
            </w:r>
          </w:p>
        </w:tc>
        <w:tc>
          <w:tcPr>
            <w:tcW w:type="dxa" w:w="7760"/>
            <w:vAlign w:val="center"/>
          </w:tcPr>
          <w:p>
            <w:pPr>
              <w:spacing w:after="0"/>
            </w:pPr>
            <w:r>
              <w:rPr>
                <w:rFonts w:ascii="Calibri" w:hAnsi="Calibri" w:eastAsia="Calibri"/>
                <w:color w:val="172033"/>
                <w:sz w:val="17"/>
              </w:rPr>
              <w:t>Migration expansiva e retrocompatível: chave opcional primeiro; cliente reutiliza a chave por intenção; obrigatoriedade somente após estabilização.</w:t>
            </w:r>
          </w:p>
        </w:tc>
      </w:tr>
      <w:tr>
        <w:trPr>
          <w:cantSplit/>
        </w:trPr>
        <w:tc>
          <w:tcPr>
            <w:tcW w:type="dxa" w:w="1600"/>
            <w:shd w:fill="F8FAFC" w:val="clear"/>
            <w:vAlign w:val="center"/>
          </w:tcPr>
          <w:p>
            <w:pPr>
              <w:spacing w:after="0"/>
            </w:pPr>
            <w:r>
              <w:rPr>
                <w:rFonts w:ascii="Calibri" w:hAnsi="Calibri" w:eastAsia="Calibri"/>
                <w:color w:val="172033"/>
                <w:sz w:val="17"/>
              </w:rPr>
              <w:t>PR 6</w:t>
            </w:r>
          </w:p>
        </w:tc>
        <w:tc>
          <w:tcPr>
            <w:tcW w:type="dxa" w:w="7760"/>
            <w:shd w:fill="F8FAFC" w:val="clear"/>
            <w:vAlign w:val="center"/>
          </w:tcPr>
          <w:p>
            <w:pPr>
              <w:spacing w:after="0"/>
            </w:pPr>
            <w:r>
              <w:rPr>
                <w:rFonts w:ascii="Calibri" w:hAnsi="Calibri" w:eastAsia="Calibri"/>
                <w:color w:val="172033"/>
                <w:sz w:val="17"/>
              </w:rPr>
              <w:t>Alterar módulos de domínio/view-model e testes antes da interface. O modelo de ação passa a ser contrato consumido por 7A e 7B.</w:t>
            </w:r>
          </w:p>
        </w:tc>
      </w:tr>
      <w:tr>
        <w:trPr>
          <w:cantSplit/>
        </w:trPr>
        <w:tc>
          <w:tcPr>
            <w:tcW w:type="dxa" w:w="1600"/>
            <w:vAlign w:val="center"/>
          </w:tcPr>
          <w:p>
            <w:pPr>
              <w:spacing w:after="0"/>
            </w:pPr>
            <w:r>
              <w:rPr>
                <w:rFonts w:ascii="Calibri" w:hAnsi="Calibri" w:eastAsia="Calibri"/>
                <w:color w:val="172033"/>
                <w:sz w:val="17"/>
              </w:rPr>
              <w:t>PR 7A</w:t>
            </w:r>
          </w:p>
        </w:tc>
        <w:tc>
          <w:tcPr>
            <w:tcW w:type="dxa" w:w="7760"/>
            <w:vAlign w:val="center"/>
          </w:tcPr>
          <w:p>
            <w:pPr>
              <w:spacing w:after="0"/>
            </w:pPr>
            <w:r>
              <w:rPr>
                <w:rFonts w:ascii="Calibri" w:hAnsi="Calibri" w:eastAsia="Calibri"/>
                <w:color w:val="172033"/>
                <w:sz w:val="17"/>
              </w:rPr>
              <w:t>Alterar a superfície da fila uma vez: filtros, cards e menus consomem o contrato do PR 6; decorators deixam de decidir regra essencial.</w:t>
            </w:r>
          </w:p>
        </w:tc>
      </w:tr>
      <w:tr>
        <w:trPr>
          <w:cantSplit/>
        </w:trPr>
        <w:tc>
          <w:tcPr>
            <w:tcW w:type="dxa" w:w="1600"/>
            <w:shd w:fill="F8FAFC" w:val="clear"/>
            <w:vAlign w:val="center"/>
          </w:tcPr>
          <w:p>
            <w:pPr>
              <w:spacing w:after="0"/>
            </w:pPr>
            <w:r>
              <w:rPr>
                <w:rFonts w:ascii="Calibri" w:hAnsi="Calibri" w:eastAsia="Calibri"/>
                <w:color w:val="172033"/>
                <w:sz w:val="17"/>
              </w:rPr>
              <w:t>PR 7B</w:t>
            </w:r>
          </w:p>
        </w:tc>
        <w:tc>
          <w:tcPr>
            <w:tcW w:type="dxa" w:w="7760"/>
            <w:shd w:fill="F8FAFC" w:val="clear"/>
            <w:vAlign w:val="center"/>
          </w:tcPr>
          <w:p>
            <w:pPr>
              <w:spacing w:after="0"/>
            </w:pPr>
            <w:r>
              <w:rPr>
                <w:rFonts w:ascii="Calibri" w:hAnsi="Calibri" w:eastAsia="Calibri"/>
                <w:color w:val="172033"/>
                <w:sz w:val="17"/>
              </w:rPr>
              <w:t>Reestruturar drawer e modal sem remover dados de auditoria. Agrupamento é alternância opcional e pode ser revertido isoladamente.</w:t>
            </w:r>
          </w:p>
        </w:tc>
      </w:tr>
      <w:tr>
        <w:trPr>
          <w:cantSplit/>
        </w:trPr>
        <w:tc>
          <w:tcPr>
            <w:tcW w:type="dxa" w:w="1600"/>
            <w:vAlign w:val="center"/>
          </w:tcPr>
          <w:p>
            <w:pPr>
              <w:spacing w:after="0"/>
            </w:pPr>
            <w:r>
              <w:rPr>
                <w:rFonts w:ascii="Calibri" w:hAnsi="Calibri" w:eastAsia="Calibri"/>
                <w:color w:val="172033"/>
                <w:sz w:val="17"/>
              </w:rPr>
              <w:t>PR 8</w:t>
            </w:r>
          </w:p>
        </w:tc>
        <w:tc>
          <w:tcPr>
            <w:tcW w:type="dxa" w:w="7760"/>
            <w:vAlign w:val="center"/>
          </w:tcPr>
          <w:p>
            <w:pPr>
              <w:spacing w:after="0"/>
            </w:pPr>
            <w:r>
              <w:rPr>
                <w:rFonts w:ascii="Calibri" w:hAnsi="Calibri" w:eastAsia="Calibri"/>
                <w:color w:val="172033"/>
                <w:sz w:val="17"/>
              </w:rPr>
              <w:t>Somente após a idempotência: ampliar RPC, devolver log e remoções, interpretar `deleted_asset_id` e ativar aplicação incremental por entidade.</w:t>
            </w:r>
          </w:p>
        </w:tc>
      </w:tr>
    </w:tbl>
    <w:p>
      <w:pPr>
        <w:spacing w:after="0"/>
      </w:pPr>
    </w:p>
    <w:p>
      <w:pPr>
        <w:pStyle w:val="Heading2"/>
        <w:keepNext/>
        <w:keepLines/>
        <w:widowControl/>
      </w:pPr>
      <w:r>
        <w:t>10.2 Contratos que evitam retrabalho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600"/>
        <w:gridCol w:w="1600"/>
        <w:gridCol w:w="4160"/>
      </w:tblGrid>
      <w:tr>
        <w:trPr>
          <w:tblHeader w:val="true"/>
          <w:cantSplit/>
        </w:trPr>
        <w:tc>
          <w:tcPr>
            <w:tcW w:type="dxa" w:w="36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Contrato estabilizado</w:t>
            </w:r>
          </w:p>
        </w:tc>
        <w:tc>
          <w:tcPr>
            <w:tcW w:type="dxa" w:w="16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Criado em</w:t>
            </w:r>
          </w:p>
        </w:tc>
        <w:tc>
          <w:tcPr>
            <w:tcW w:type="dxa" w:w="41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Consumido depois</w:t>
            </w:r>
          </w:p>
        </w:tc>
      </w:tr>
      <w:tr>
        <w:trPr>
          <w:cantSplit/>
        </w:trPr>
        <w:tc>
          <w:tcPr>
            <w:tcW w:type="dxa" w:w="3600"/>
            <w:vAlign w:val="center"/>
          </w:tcPr>
          <w:p>
            <w:pPr>
              <w:spacing w:after="0"/>
            </w:pPr>
            <w:r>
              <w:rPr>
                <w:rFonts w:ascii="Calibri" w:hAnsi="Calibri" w:eastAsia="Calibri"/>
                <w:color w:val="172033"/>
                <w:sz w:val="17"/>
              </w:rPr>
              <w:t>Guarda de envio + feedback de salvamento</w:t>
            </w:r>
          </w:p>
        </w:tc>
        <w:tc>
          <w:tcPr>
            <w:tcW w:type="dxa" w:w="1600"/>
            <w:vAlign w:val="center"/>
          </w:tcPr>
          <w:p>
            <w:pPr>
              <w:spacing w:after="0"/>
            </w:pPr>
            <w:r>
              <w:rPr>
                <w:rFonts w:ascii="Calibri" w:hAnsi="Calibri" w:eastAsia="Calibri"/>
                <w:color w:val="172033"/>
                <w:sz w:val="17"/>
              </w:rPr>
              <w:t>PR 1</w:t>
            </w:r>
          </w:p>
        </w:tc>
        <w:tc>
          <w:tcPr>
            <w:tcW w:type="dxa" w:w="4160"/>
            <w:vAlign w:val="center"/>
          </w:tcPr>
          <w:p>
            <w:pPr>
              <w:spacing w:after="0"/>
            </w:pPr>
            <w:r>
              <w:rPr>
                <w:rFonts w:ascii="Calibri" w:hAnsi="Calibri" w:eastAsia="Calibri"/>
                <w:color w:val="172033"/>
                <w:sz w:val="17"/>
              </w:rPr>
              <w:t>Permanece intacta nos PRs 2, 5 e 8</w:t>
            </w:r>
          </w:p>
        </w:tc>
      </w:tr>
      <w:tr>
        <w:trPr>
          <w:cantSplit/>
        </w:trPr>
        <w:tc>
          <w:tcPr>
            <w:tcW w:type="dxa" w:w="3600"/>
            <w:shd w:fill="F8FAFC" w:val="clear"/>
            <w:vAlign w:val="center"/>
          </w:tcPr>
          <w:p>
            <w:pPr>
              <w:spacing w:after="0"/>
            </w:pPr>
            <w:r>
              <w:rPr>
                <w:rFonts w:ascii="Calibri" w:hAnsi="Calibri" w:eastAsia="Calibri"/>
                <w:color w:val="172033"/>
                <w:sz w:val="17"/>
              </w:rPr>
              <w:t>Regra pura da Assessoria + planejador de efeitos</w:t>
            </w:r>
          </w:p>
        </w:tc>
        <w:tc>
          <w:tcPr>
            <w:tcW w:type="dxa" w:w="1600"/>
            <w:shd w:fill="F8FAFC" w:val="clear"/>
            <w:vAlign w:val="center"/>
          </w:tcPr>
          <w:p>
            <w:pPr>
              <w:spacing w:after="0"/>
            </w:pPr>
            <w:r>
              <w:rPr>
                <w:rFonts w:ascii="Calibri" w:hAnsi="Calibri" w:eastAsia="Calibri"/>
                <w:color w:val="172033"/>
                <w:sz w:val="17"/>
              </w:rPr>
              <w:t>PR 2</w:t>
            </w:r>
          </w:p>
        </w:tc>
        <w:tc>
          <w:tcPr>
            <w:tcW w:type="dxa" w:w="4160"/>
            <w:shd w:fill="F8FAFC" w:val="clear"/>
            <w:vAlign w:val="center"/>
          </w:tcPr>
          <w:p>
            <w:pPr>
              <w:spacing w:after="0"/>
            </w:pPr>
            <w:r>
              <w:rPr>
                <w:rFonts w:ascii="Calibri" w:hAnsi="Calibri" w:eastAsia="Calibri"/>
                <w:color w:val="172033"/>
                <w:sz w:val="17"/>
              </w:rPr>
              <w:t>No-op no PR 2; resposta incremental no PR 8</w:t>
            </w:r>
          </w:p>
        </w:tc>
      </w:tr>
      <w:tr>
        <w:trPr>
          <w:cantSplit/>
        </w:trPr>
        <w:tc>
          <w:tcPr>
            <w:tcW w:type="dxa" w:w="3600"/>
            <w:vAlign w:val="center"/>
          </w:tcPr>
          <w:p>
            <w:pPr>
              <w:spacing w:after="0"/>
            </w:pPr>
            <w:r>
              <w:rPr>
                <w:rFonts w:ascii="Calibri" w:hAnsi="Calibri" w:eastAsia="Calibri"/>
                <w:color w:val="172033"/>
                <w:sz w:val="17"/>
              </w:rPr>
              <w:t>Registro de prontidão por módulo</w:t>
            </w:r>
          </w:p>
        </w:tc>
        <w:tc>
          <w:tcPr>
            <w:tcW w:type="dxa" w:w="1600"/>
            <w:vAlign w:val="center"/>
          </w:tcPr>
          <w:p>
            <w:pPr>
              <w:spacing w:after="0"/>
            </w:pPr>
            <w:r>
              <w:rPr>
                <w:rFonts w:ascii="Calibri" w:hAnsi="Calibri" w:eastAsia="Calibri"/>
                <w:color w:val="172033"/>
                <w:sz w:val="17"/>
              </w:rPr>
              <w:t>PR 3</w:t>
            </w:r>
          </w:p>
        </w:tc>
        <w:tc>
          <w:tcPr>
            <w:tcW w:type="dxa" w:w="4160"/>
            <w:vAlign w:val="center"/>
          </w:tcPr>
          <w:p>
            <w:pPr>
              <w:spacing w:after="0"/>
            </w:pPr>
            <w:r>
              <w:rPr>
                <w:rFonts w:ascii="Calibri" w:hAnsi="Calibri" w:eastAsia="Calibri"/>
                <w:color w:val="172033"/>
                <w:sz w:val="17"/>
              </w:rPr>
              <w:t>Todo módulo crítico futuro, sem polling fixo</w:t>
            </w:r>
          </w:p>
        </w:tc>
      </w:tr>
      <w:tr>
        <w:trPr>
          <w:cantSplit/>
        </w:trPr>
        <w:tc>
          <w:tcPr>
            <w:tcW w:type="dxa" w:w="3600"/>
            <w:shd w:fill="F8FAFC" w:val="clear"/>
            <w:vAlign w:val="center"/>
          </w:tcPr>
          <w:p>
            <w:pPr>
              <w:spacing w:after="0"/>
            </w:pPr>
            <w:r>
              <w:rPr>
                <w:rFonts w:ascii="Calibri" w:hAnsi="Calibri" w:eastAsia="Calibri"/>
                <w:color w:val="172033"/>
                <w:sz w:val="17"/>
              </w:rPr>
              <w:t>Chave de operação opcional e reserva atômica</w:t>
            </w:r>
          </w:p>
        </w:tc>
        <w:tc>
          <w:tcPr>
            <w:tcW w:type="dxa" w:w="1600"/>
            <w:shd w:fill="F8FAFC" w:val="clear"/>
            <w:vAlign w:val="center"/>
          </w:tcPr>
          <w:p>
            <w:pPr>
              <w:spacing w:after="0"/>
            </w:pPr>
            <w:r>
              <w:rPr>
                <w:rFonts w:ascii="Calibri" w:hAnsi="Calibri" w:eastAsia="Calibri"/>
                <w:color w:val="172033"/>
                <w:sz w:val="17"/>
              </w:rPr>
              <w:t>PR 5</w:t>
            </w:r>
          </w:p>
        </w:tc>
        <w:tc>
          <w:tcPr>
            <w:tcW w:type="dxa" w:w="4160"/>
            <w:shd w:fill="F8FAFC" w:val="clear"/>
            <w:vAlign w:val="center"/>
          </w:tcPr>
          <w:p>
            <w:pPr>
              <w:spacing w:after="0"/>
            </w:pPr>
            <w:r>
              <w:rPr>
                <w:rFonts w:ascii="Calibri" w:hAnsi="Calibri" w:eastAsia="Calibri"/>
                <w:color w:val="172033"/>
                <w:sz w:val="17"/>
              </w:rPr>
              <w:t>Incluída na resposta ampliada do PR 8</w:t>
            </w:r>
          </w:p>
        </w:tc>
      </w:tr>
      <w:tr>
        <w:trPr>
          <w:cantSplit/>
        </w:trPr>
        <w:tc>
          <w:tcPr>
            <w:tcW w:type="dxa" w:w="3600"/>
            <w:vAlign w:val="center"/>
          </w:tcPr>
          <w:p>
            <w:pPr>
              <w:spacing w:after="0"/>
            </w:pPr>
            <w:r>
              <w:rPr>
                <w:rFonts w:ascii="Calibri" w:hAnsi="Calibri" w:eastAsia="Calibri"/>
                <w:color w:val="172033"/>
                <w:sz w:val="17"/>
              </w:rPr>
              <w:t>PendencyQueueModel + PendencyActionModel</w:t>
            </w:r>
          </w:p>
        </w:tc>
        <w:tc>
          <w:tcPr>
            <w:tcW w:type="dxa" w:w="1600"/>
            <w:vAlign w:val="center"/>
          </w:tcPr>
          <w:p>
            <w:pPr>
              <w:spacing w:after="0"/>
            </w:pPr>
            <w:r>
              <w:rPr>
                <w:rFonts w:ascii="Calibri" w:hAnsi="Calibri" w:eastAsia="Calibri"/>
                <w:color w:val="172033"/>
                <w:sz w:val="17"/>
              </w:rPr>
              <w:t>PR 6</w:t>
            </w:r>
          </w:p>
        </w:tc>
        <w:tc>
          <w:tcPr>
            <w:tcW w:type="dxa" w:w="4160"/>
            <w:vAlign w:val="center"/>
          </w:tcPr>
          <w:p>
            <w:pPr>
              <w:spacing w:after="0"/>
            </w:pPr>
            <w:r>
              <w:rPr>
                <w:rFonts w:ascii="Calibri" w:hAnsi="Calibri" w:eastAsia="Calibri"/>
                <w:color w:val="172033"/>
                <w:sz w:val="17"/>
              </w:rPr>
              <w:t>Renderização de 7A e 7B sem repetir regra</w:t>
            </w:r>
          </w:p>
        </w:tc>
      </w:tr>
      <w:tr>
        <w:trPr>
          <w:cantSplit/>
        </w:trPr>
        <w:tc>
          <w:tcPr>
            <w:tcW w:type="dxa" w:w="3600"/>
            <w:shd w:fill="F8FAFC" w:val="clear"/>
            <w:vAlign w:val="center"/>
          </w:tcPr>
          <w:p>
            <w:pPr>
              <w:spacing w:after="0"/>
            </w:pPr>
            <w:r>
              <w:rPr>
                <w:rFonts w:ascii="Calibri" w:hAnsi="Calibri" w:eastAsia="Calibri"/>
                <w:color w:val="172033"/>
                <w:sz w:val="17"/>
              </w:rPr>
              <w:t>Resposta RPC completa por entidade</w:t>
            </w:r>
          </w:p>
        </w:tc>
        <w:tc>
          <w:tcPr>
            <w:tcW w:type="dxa" w:w="1600"/>
            <w:shd w:fill="F8FAFC" w:val="clear"/>
            <w:vAlign w:val="center"/>
          </w:tcPr>
          <w:p>
            <w:pPr>
              <w:spacing w:after="0"/>
            </w:pPr>
            <w:r>
              <w:rPr>
                <w:rFonts w:ascii="Calibri" w:hAnsi="Calibri" w:eastAsia="Calibri"/>
                <w:color w:val="172033"/>
                <w:sz w:val="17"/>
              </w:rPr>
              <w:t>PR 8</w:t>
            </w:r>
          </w:p>
        </w:tc>
        <w:tc>
          <w:tcPr>
            <w:tcW w:type="dxa" w:w="4160"/>
            <w:shd w:fill="F8FAFC" w:val="clear"/>
            <w:vAlign w:val="center"/>
          </w:tcPr>
          <w:p>
            <w:pPr>
              <w:spacing w:after="0"/>
            </w:pPr>
            <w:r>
              <w:rPr>
                <w:rFonts w:ascii="Calibri" w:hAnsi="Calibri" w:eastAsia="Calibri"/>
                <w:color w:val="172033"/>
                <w:sz w:val="17"/>
              </w:rPr>
              <w:t>Base para otimizações futuras sem refetch</w:t>
            </w:r>
          </w:p>
        </w:tc>
      </w:tr>
    </w:tbl>
    <w:p>
      <w:pPr>
        <w:spacing w:after="0"/>
      </w:pPr>
    </w:p>
    <w:tbl>
      <w:tblPr>
        <w:tblW w:type="dxa" w:w="9360"/>
        <w:jc w:val="center"/>
        <w:tblLook w:firstColumn="1" w:firstRow="1" w:lastColumn="0" w:lastRow="0" w:noHBand="0" w:noVBand="1" w:val="04A0"/>
        <w:tblInd w:w="0" w:type="dxa"/>
        <w:tblLayout w:type="fixed"/>
        <w:tblBorders>
          <w:top w:val="single" w:sz="0" w:space="0" w:color="FFFAEB"/>
          <w:left w:val="single" w:sz="0" w:space="0" w:color="FFFAEB"/>
          <w:bottom w:val="single" w:sz="0" w:space="0" w:color="FFFAEB"/>
          <w:right w:val="single" w:sz="0" w:space="0" w:color="FFFAEB"/>
        </w:tblBorders>
      </w:tblPr>
      <w:tblGrid>
        <w:gridCol w:w="120"/>
        <w:gridCol w:w="9240"/>
      </w:tblGrid>
      <w:tr>
        <w:tc>
          <w:tcPr>
            <w:tcW w:type="dxa" w:w="120"/>
            <w:tcMar>
              <w:top w:w="120" w:type="dxa"/>
              <w:start w:w="0" w:type="dxa"/>
              <w:bottom w:w="120" w:type="dxa"/>
              <w:end w:w="0" w:type="dxa"/>
            </w:tcMar>
            <w:shd w:fill="B54708" w:val="clear"/>
          </w:tcPr>
          <w:p/>
        </w:tc>
        <w:tc>
          <w:tcPr>
            <w:tcW w:type="dxa" w:w="9240"/>
            <w:tcMar>
              <w:top w:w="150" w:type="dxa"/>
              <w:start w:w="180" w:type="dxa"/>
              <w:bottom w:w="150" w:type="dxa"/>
              <w:end w:w="180" w:type="dxa"/>
            </w:tcMar>
            <w:shd w:fill="FFFAEB" w:val="clear"/>
          </w:tcPr>
          <w:p>
            <w:pPr>
              <w:spacing w:after="80"/>
            </w:pPr>
            <w:r>
              <w:rPr>
                <w:rFonts w:ascii="Calibri" w:hAnsi="Calibri" w:eastAsia="Calibri"/>
                <w:b/>
                <w:color w:val="B54708"/>
                <w:sz w:val="22"/>
              </w:rPr>
              <w:t>Gates obrigatórios</w:t>
            </w:r>
          </w:p>
          <w:p>
            <w:pPr>
              <w:widowControl/>
              <w:spacing w:after="0"/>
            </w:pPr>
            <w:r>
              <w:t>PR 4 só pode executar depois de PR 2 publicado e validado. PR 7A/7B só começa após PR 6 estabilizar o modelo funcional. PR 8 só ativa resposta autoritativa depois de PR 5 tornar a operação idempotente e de os testes de remoção patrimonial cobrirem `deleted_asset_id`.</w:t>
            </w:r>
          </w:p>
        </w:tc>
      </w:tr>
    </w:tbl>
    <w:p>
      <w:pPr>
        <w:spacing w:after="0"/>
      </w:pPr>
    </w:p>
    <w:p>
      <w:r>
        <w:br w:type="page"/>
      </w:r>
    </w:p>
    <w:p>
      <w:pPr>
        <w:pStyle w:val="Heading1"/>
        <w:keepNext/>
        <w:keepLines/>
        <w:widowControl/>
      </w:pPr>
      <w:r>
        <w:t>11. Critérios de aceite</w:t>
      </w:r>
    </w:p>
    <w:p>
      <w:pPr>
        <w:pStyle w:val="Heading2"/>
        <w:keepNext/>
        <w:keepLines/>
        <w:widowControl/>
      </w:pPr>
      <w:r>
        <w:t>11.1 Despesas e consolidação</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000"/>
        <w:gridCol w:w="3960"/>
        <w:gridCol w:w="2400"/>
      </w:tblGrid>
      <w:tr>
        <w:trPr>
          <w:tblHeader w:val="true"/>
          <w:cantSplit/>
        </w:trPr>
        <w:tc>
          <w:tcPr>
            <w:tcW w:type="dxa" w:w="30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Cenário</w:t>
            </w:r>
          </w:p>
        </w:tc>
        <w:tc>
          <w:tcPr>
            <w:tcW w:type="dxa" w:w="39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Resultado obrigatório</w:t>
            </w:r>
          </w:p>
        </w:tc>
        <w:tc>
          <w:tcPr>
            <w:tcW w:type="dxa" w:w="24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Evidência</w:t>
            </w:r>
          </w:p>
        </w:tc>
      </w:tr>
      <w:tr>
        <w:trPr>
          <w:cantSplit/>
        </w:trPr>
        <w:tc>
          <w:tcPr>
            <w:tcW w:type="dxa" w:w="3000"/>
            <w:vAlign w:val="center"/>
          </w:tcPr>
          <w:p>
            <w:pPr>
              <w:spacing w:after="0"/>
            </w:pPr>
            <w:r>
              <w:rPr>
                <w:rFonts w:ascii="Calibri" w:hAnsi="Calibri" w:eastAsia="Calibri"/>
                <w:color w:val="172033"/>
                <w:sz w:val="17"/>
              </w:rPr>
              <w:t>Dois cliques ou Enter + clique</w:t>
            </w:r>
          </w:p>
        </w:tc>
        <w:tc>
          <w:tcPr>
            <w:tcW w:type="dxa" w:w="3960"/>
            <w:vAlign w:val="center"/>
          </w:tcPr>
          <w:p>
            <w:pPr>
              <w:spacing w:after="0"/>
            </w:pPr>
            <w:r>
              <w:rPr>
                <w:rFonts w:ascii="Calibri" w:hAnsi="Calibri" w:eastAsia="Calibri"/>
                <w:color w:val="172033"/>
                <w:sz w:val="17"/>
              </w:rPr>
              <w:t>Uma única operação</w:t>
            </w:r>
          </w:p>
        </w:tc>
        <w:tc>
          <w:tcPr>
            <w:tcW w:type="dxa" w:w="2400"/>
            <w:vAlign w:val="center"/>
          </w:tcPr>
          <w:p>
            <w:pPr>
              <w:spacing w:after="0"/>
            </w:pPr>
            <w:r>
              <w:rPr>
                <w:rFonts w:ascii="Calibri" w:hAnsi="Calibri" w:eastAsia="Calibri"/>
                <w:color w:val="172033"/>
                <w:sz w:val="17"/>
              </w:rPr>
              <w:t>Teste de navegador e contagem de RPC</w:t>
            </w:r>
          </w:p>
        </w:tc>
      </w:tr>
      <w:tr>
        <w:trPr>
          <w:cantSplit/>
        </w:trPr>
        <w:tc>
          <w:tcPr>
            <w:tcW w:type="dxa" w:w="3000"/>
            <w:shd w:fill="F8FAFC" w:val="clear"/>
            <w:vAlign w:val="center"/>
          </w:tcPr>
          <w:p>
            <w:pPr>
              <w:spacing w:after="0"/>
            </w:pPr>
            <w:r>
              <w:rPr>
                <w:rFonts w:ascii="Calibri" w:hAnsi="Calibri" w:eastAsia="Calibri"/>
                <w:color w:val="172033"/>
                <w:sz w:val="17"/>
              </w:rPr>
              <w:t>Edição sem alteração e derivados coerentes</w:t>
            </w:r>
          </w:p>
        </w:tc>
        <w:tc>
          <w:tcPr>
            <w:tcW w:type="dxa" w:w="3960"/>
            <w:shd w:fill="F8FAFC" w:val="clear"/>
            <w:vAlign w:val="center"/>
          </w:tcPr>
          <w:p>
            <w:pPr>
              <w:spacing w:after="0"/>
            </w:pPr>
            <w:r>
              <w:rPr>
                <w:rFonts w:ascii="Calibri" w:hAnsi="Calibri" w:eastAsia="Calibri"/>
                <w:color w:val="172033"/>
                <w:sz w:val="17"/>
              </w:rPr>
              <w:t>`unchanged: true`; nenhuma RPC, versão, histórico ou reabertura</w:t>
            </w:r>
          </w:p>
        </w:tc>
        <w:tc>
          <w:tcPr>
            <w:tcW w:type="dxa" w:w="2400"/>
            <w:shd w:fill="F8FAFC" w:val="clear"/>
            <w:vAlign w:val="center"/>
          </w:tcPr>
          <w:p>
            <w:pPr>
              <w:spacing w:after="0"/>
            </w:pPr>
            <w:r>
              <w:rPr>
                <w:rFonts w:ascii="Calibri" w:hAnsi="Calibri" w:eastAsia="Calibri"/>
                <w:color w:val="172033"/>
                <w:sz w:val="17"/>
              </w:rPr>
              <w:t>Teste unitário + contadores do repositório</w:t>
            </w:r>
          </w:p>
        </w:tc>
      </w:tr>
      <w:tr>
        <w:trPr>
          <w:cantSplit/>
        </w:trPr>
        <w:tc>
          <w:tcPr>
            <w:tcW w:type="dxa" w:w="3000"/>
            <w:vAlign w:val="center"/>
          </w:tcPr>
          <w:p>
            <w:pPr>
              <w:spacing w:after="0"/>
            </w:pPr>
            <w:r>
              <w:rPr>
                <w:rFonts w:ascii="Calibri" w:hAnsi="Calibri" w:eastAsia="Calibri"/>
                <w:color w:val="172033"/>
                <w:sz w:val="17"/>
              </w:rPr>
              <w:t>Campos iguais, mas derivado inconsistente</w:t>
            </w:r>
          </w:p>
        </w:tc>
        <w:tc>
          <w:tcPr>
            <w:tcW w:type="dxa" w:w="3960"/>
            <w:vAlign w:val="center"/>
          </w:tcPr>
          <w:p>
            <w:pPr>
              <w:spacing w:after="0"/>
            </w:pPr>
            <w:r>
              <w:rPr>
                <w:rFonts w:ascii="Calibri" w:hAnsi="Calibri" w:eastAsia="Calibri"/>
                <w:color w:val="172033"/>
                <w:sz w:val="17"/>
              </w:rPr>
              <w:t>Reconciliar o derivado; não retornar no-op</w:t>
            </w:r>
          </w:p>
        </w:tc>
        <w:tc>
          <w:tcPr>
            <w:tcW w:type="dxa" w:w="2400"/>
            <w:vAlign w:val="center"/>
          </w:tcPr>
          <w:p>
            <w:pPr>
              <w:spacing w:after="0"/>
            </w:pPr>
            <w:r>
              <w:rPr>
                <w:rFonts w:ascii="Calibri" w:hAnsi="Calibri" w:eastAsia="Calibri"/>
                <w:color w:val="172033"/>
                <w:sz w:val="17"/>
              </w:rPr>
              <w:t>Teste de propriedade do planejador</w:t>
            </w:r>
          </w:p>
        </w:tc>
      </w:tr>
      <w:tr>
        <w:trPr>
          <w:cantSplit/>
        </w:trPr>
        <w:tc>
          <w:tcPr>
            <w:tcW w:type="dxa" w:w="3000"/>
            <w:shd w:fill="F8FAFC" w:val="clear"/>
            <w:vAlign w:val="center"/>
          </w:tcPr>
          <w:p>
            <w:pPr>
              <w:spacing w:after="0"/>
            </w:pPr>
            <w:r>
              <w:rPr>
                <w:rFonts w:ascii="Calibri" w:hAnsi="Calibri" w:eastAsia="Calibri"/>
                <w:color w:val="172033"/>
                <w:sz w:val="17"/>
              </w:rPr>
              <w:t>Mesma chave repetida</w:t>
            </w:r>
          </w:p>
        </w:tc>
        <w:tc>
          <w:tcPr>
            <w:tcW w:type="dxa" w:w="3960"/>
            <w:shd w:fill="F8FAFC" w:val="clear"/>
            <w:vAlign w:val="center"/>
          </w:tcPr>
          <w:p>
            <w:pPr>
              <w:spacing w:after="0"/>
            </w:pPr>
            <w:r>
              <w:rPr>
                <w:rFonts w:ascii="Calibri" w:hAnsi="Calibri" w:eastAsia="Calibri"/>
                <w:color w:val="172033"/>
                <w:sz w:val="17"/>
              </w:rPr>
              <w:t>Mesmo resultado; sem novo efeito</w:t>
            </w:r>
          </w:p>
        </w:tc>
        <w:tc>
          <w:tcPr>
            <w:tcW w:type="dxa" w:w="2400"/>
            <w:shd w:fill="F8FAFC" w:val="clear"/>
            <w:vAlign w:val="center"/>
          </w:tcPr>
          <w:p>
            <w:pPr>
              <w:spacing w:after="0"/>
            </w:pPr>
            <w:r>
              <w:rPr>
                <w:rFonts w:ascii="Calibri" w:hAnsi="Calibri" w:eastAsia="Calibri"/>
                <w:color w:val="172033"/>
                <w:sz w:val="17"/>
              </w:rPr>
              <w:t>Teste concorrente da RPC</w:t>
            </w:r>
          </w:p>
        </w:tc>
      </w:tr>
      <w:tr>
        <w:trPr>
          <w:cantSplit/>
        </w:trPr>
        <w:tc>
          <w:tcPr>
            <w:tcW w:type="dxa" w:w="3000"/>
            <w:vAlign w:val="center"/>
          </w:tcPr>
          <w:p>
            <w:pPr>
              <w:spacing w:after="0"/>
            </w:pPr>
            <w:r>
              <w:rPr>
                <w:rFonts w:ascii="Calibri" w:hAnsi="Calibri" w:eastAsia="Calibri"/>
                <w:color w:val="172033"/>
                <w:sz w:val="17"/>
              </w:rPr>
              <w:t>Duas intenções iguais</w:t>
            </w:r>
          </w:p>
        </w:tc>
        <w:tc>
          <w:tcPr>
            <w:tcW w:type="dxa" w:w="3960"/>
            <w:vAlign w:val="center"/>
          </w:tcPr>
          <w:p>
            <w:pPr>
              <w:spacing w:after="0"/>
            </w:pPr>
            <w:r>
              <w:rPr>
                <w:rFonts w:ascii="Calibri" w:hAnsi="Calibri" w:eastAsia="Calibri"/>
                <w:color w:val="172033"/>
                <w:sz w:val="17"/>
              </w:rPr>
              <w:t>Duas despesas permitidas</w:t>
            </w:r>
          </w:p>
        </w:tc>
        <w:tc>
          <w:tcPr>
            <w:tcW w:type="dxa" w:w="2400"/>
            <w:vAlign w:val="center"/>
          </w:tcPr>
          <w:p>
            <w:pPr>
              <w:spacing w:after="0"/>
            </w:pPr>
            <w:r>
              <w:rPr>
                <w:rFonts w:ascii="Calibri" w:hAnsi="Calibri" w:eastAsia="Calibri"/>
                <w:color w:val="172033"/>
                <w:sz w:val="17"/>
              </w:rPr>
              <w:t>Duas chaves diferentes</w:t>
            </w:r>
          </w:p>
        </w:tc>
      </w:tr>
      <w:tr>
        <w:trPr>
          <w:cantSplit/>
        </w:trPr>
        <w:tc>
          <w:tcPr>
            <w:tcW w:type="dxa" w:w="3000"/>
            <w:shd w:fill="F8FAFC" w:val="clear"/>
            <w:vAlign w:val="center"/>
          </w:tcPr>
          <w:p>
            <w:pPr>
              <w:spacing w:after="0"/>
            </w:pPr>
            <w:r>
              <w:rPr>
                <w:rFonts w:ascii="Calibri" w:hAnsi="Calibri" w:eastAsia="Calibri"/>
                <w:color w:val="172033"/>
                <w:sz w:val="17"/>
              </w:rPr>
              <w:t>Sem NF de serviço</w:t>
            </w:r>
          </w:p>
        </w:tc>
        <w:tc>
          <w:tcPr>
            <w:tcW w:type="dxa" w:w="3960"/>
            <w:shd w:fill="F8FAFC" w:val="clear"/>
            <w:vAlign w:val="center"/>
          </w:tcPr>
          <w:p>
            <w:pPr>
              <w:spacing w:after="0"/>
            </w:pPr>
            <w:r>
              <w:rPr>
                <w:rFonts w:ascii="Calibri" w:hAnsi="Calibri" w:eastAsia="Calibri"/>
                <w:color w:val="172033"/>
                <w:sz w:val="17"/>
              </w:rPr>
              <w:t>Assessoria persistida como N/A</w:t>
            </w:r>
          </w:p>
        </w:tc>
        <w:tc>
          <w:tcPr>
            <w:tcW w:type="dxa" w:w="2400"/>
            <w:shd w:fill="F8FAFC" w:val="clear"/>
            <w:vAlign w:val="center"/>
          </w:tcPr>
          <w:p>
            <w:pPr>
              <w:spacing w:after="0"/>
            </w:pPr>
            <w:r>
              <w:rPr>
                <w:rFonts w:ascii="Calibri" w:hAnsi="Calibri" w:eastAsia="Calibri"/>
                <w:color w:val="172033"/>
                <w:sz w:val="17"/>
              </w:rPr>
              <w:t>Serviço, tela e banco</w:t>
            </w:r>
          </w:p>
        </w:tc>
      </w:tr>
      <w:tr>
        <w:trPr>
          <w:cantSplit/>
        </w:trPr>
        <w:tc>
          <w:tcPr>
            <w:tcW w:type="dxa" w:w="3000"/>
            <w:vAlign w:val="center"/>
          </w:tcPr>
          <w:p>
            <w:pPr>
              <w:spacing w:after="0"/>
            </w:pPr>
            <w:r>
              <w:rPr>
                <w:rFonts w:ascii="Calibri" w:hAnsi="Calibri" w:eastAsia="Calibri"/>
                <w:color w:val="172033"/>
                <w:sz w:val="17"/>
              </w:rPr>
              <w:t>Transição N/A → Sim/Não</w:t>
            </w:r>
          </w:p>
        </w:tc>
        <w:tc>
          <w:tcPr>
            <w:tcW w:type="dxa" w:w="3960"/>
            <w:vAlign w:val="center"/>
          </w:tcPr>
          <w:p>
            <w:pPr>
              <w:spacing w:after="0"/>
            </w:pPr>
            <w:r>
              <w:rPr>
                <w:rFonts w:ascii="Calibri" w:hAnsi="Calibri" w:eastAsia="Calibri"/>
                <w:color w:val="172033"/>
                <w:sz w:val="17"/>
              </w:rPr>
              <w:t>Assessoria nunca fica vazia</w:t>
            </w:r>
          </w:p>
        </w:tc>
        <w:tc>
          <w:tcPr>
            <w:tcW w:type="dxa" w:w="2400"/>
            <w:vAlign w:val="center"/>
          </w:tcPr>
          <w:p>
            <w:pPr>
              <w:spacing w:after="0"/>
            </w:pPr>
            <w:r>
              <w:rPr>
                <w:rFonts w:ascii="Calibri" w:hAnsi="Calibri" w:eastAsia="Calibri"/>
                <w:color w:val="172033"/>
                <w:sz w:val="17"/>
              </w:rPr>
              <w:t>Teste de transição</w:t>
            </w:r>
          </w:p>
        </w:tc>
      </w:tr>
      <w:tr>
        <w:trPr>
          <w:cantSplit/>
        </w:trPr>
        <w:tc>
          <w:tcPr>
            <w:tcW w:type="dxa" w:w="3000"/>
            <w:shd w:fill="F8FAFC" w:val="clear"/>
            <w:vAlign w:val="center"/>
          </w:tcPr>
          <w:p>
            <w:pPr>
              <w:spacing w:after="0"/>
            </w:pPr>
            <w:r>
              <w:rPr>
                <w:rFonts w:ascii="Calibri" w:hAnsi="Calibri" w:eastAsia="Calibri"/>
                <w:color w:val="172033"/>
                <w:sz w:val="17"/>
              </w:rPr>
              <w:t>04.10.002/março</w:t>
            </w:r>
          </w:p>
        </w:tc>
        <w:tc>
          <w:tcPr>
            <w:tcW w:type="dxa" w:w="3960"/>
            <w:shd w:fill="F8FAFC" w:val="clear"/>
            <w:vAlign w:val="center"/>
          </w:tcPr>
          <w:p>
            <w:pPr>
              <w:spacing w:after="0"/>
            </w:pPr>
            <w:r>
              <w:rPr>
                <w:rFonts w:ascii="Calibri" w:hAnsi="Calibri" w:eastAsia="Calibri"/>
                <w:color w:val="172033"/>
                <w:sz w:val="17"/>
              </w:rPr>
              <w:t>Consolida se demais bonificações estiverem completas</w:t>
            </w:r>
          </w:p>
        </w:tc>
        <w:tc>
          <w:tcPr>
            <w:tcW w:type="dxa" w:w="2400"/>
            <w:shd w:fill="F8FAFC" w:val="clear"/>
            <w:vAlign w:val="center"/>
          </w:tcPr>
          <w:p>
            <w:pPr>
              <w:spacing w:after="0"/>
            </w:pPr>
            <w:r>
              <w:rPr>
                <w:rFonts w:ascii="Calibri" w:hAnsi="Calibri" w:eastAsia="Calibri"/>
                <w:color w:val="172033"/>
                <w:sz w:val="17"/>
              </w:rPr>
              <w:t>Teste funcional pós-reparo</w:t>
            </w:r>
          </w:p>
        </w:tc>
      </w:tr>
      <w:tr>
        <w:trPr>
          <w:cantSplit/>
        </w:trPr>
        <w:tc>
          <w:tcPr>
            <w:tcW w:type="dxa" w:w="3000"/>
            <w:vAlign w:val="center"/>
          </w:tcPr>
          <w:p>
            <w:pPr>
              <w:spacing w:after="0"/>
            </w:pPr>
            <w:r>
              <w:rPr>
                <w:rFonts w:ascii="Calibri" w:hAnsi="Calibri" w:eastAsia="Calibri"/>
                <w:color w:val="172033"/>
                <w:sz w:val="17"/>
              </w:rPr>
              <w:t>Carga inicial de 15 s</w:t>
            </w:r>
          </w:p>
        </w:tc>
        <w:tc>
          <w:tcPr>
            <w:tcW w:type="dxa" w:w="3960"/>
            <w:vAlign w:val="center"/>
          </w:tcPr>
          <w:p>
            <w:pPr>
              <w:spacing w:after="0"/>
            </w:pPr>
            <w:r>
              <w:rPr>
                <w:rFonts w:ascii="Calibri" w:hAnsi="Calibri" w:eastAsia="Calibri"/>
                <w:color w:val="172033"/>
                <w:sz w:val="17"/>
              </w:rPr>
              <w:t>Fluxo Incorreto + pendência abre e grava atomicamente</w:t>
            </w:r>
          </w:p>
        </w:tc>
        <w:tc>
          <w:tcPr>
            <w:tcW w:type="dxa" w:w="2400"/>
            <w:vAlign w:val="center"/>
          </w:tcPr>
          <w:p>
            <w:pPr>
              <w:spacing w:after="0"/>
            </w:pPr>
            <w:r>
              <w:rPr>
                <w:rFonts w:ascii="Calibri" w:hAnsi="Calibri" w:eastAsia="Calibri"/>
                <w:color w:val="172033"/>
                <w:sz w:val="17"/>
              </w:rPr>
              <w:t>Teste de inicialização lenta</w:t>
            </w:r>
          </w:p>
        </w:tc>
      </w:tr>
      <w:tr>
        <w:trPr>
          <w:cantSplit/>
        </w:trPr>
        <w:tc>
          <w:tcPr>
            <w:tcW w:type="dxa" w:w="3000"/>
            <w:shd w:fill="F8FAFC" w:val="clear"/>
            <w:vAlign w:val="center"/>
          </w:tcPr>
          <w:p>
            <w:pPr>
              <w:spacing w:after="0"/>
            </w:pPr>
            <w:r>
              <w:rPr>
                <w:rFonts w:ascii="Calibri" w:hAnsi="Calibri" w:eastAsia="Calibri"/>
                <w:color w:val="172033"/>
                <w:sz w:val="17"/>
              </w:rPr>
              <w:t>Falha de módulo auxiliar</w:t>
            </w:r>
          </w:p>
        </w:tc>
        <w:tc>
          <w:tcPr>
            <w:tcW w:type="dxa" w:w="3960"/>
            <w:shd w:fill="F8FAFC" w:val="clear"/>
            <w:vAlign w:val="center"/>
          </w:tcPr>
          <w:p>
            <w:pPr>
              <w:spacing w:after="0"/>
            </w:pPr>
            <w:r>
              <w:rPr>
                <w:rFonts w:ascii="Calibri" w:hAnsi="Calibri" w:eastAsia="Calibri"/>
                <w:color w:val="172033"/>
                <w:sz w:val="17"/>
              </w:rPr>
              <w:t>Módulo crítico posterior ainda instala; RADAR continua operável</w:t>
            </w:r>
          </w:p>
        </w:tc>
        <w:tc>
          <w:tcPr>
            <w:tcW w:type="dxa" w:w="2400"/>
            <w:shd w:fill="F8FAFC" w:val="clear"/>
            <w:vAlign w:val="center"/>
          </w:tcPr>
          <w:p>
            <w:pPr>
              <w:spacing w:after="0"/>
            </w:pPr>
            <w:r>
              <w:rPr>
                <w:rFonts w:ascii="Calibri" w:hAnsi="Calibri" w:eastAsia="Calibri"/>
                <w:color w:val="172033"/>
                <w:sz w:val="17"/>
              </w:rPr>
              <w:t>Teste do bootstrap</w:t>
            </w:r>
          </w:p>
        </w:tc>
      </w:tr>
    </w:tbl>
    <w:p>
      <w:pPr>
        <w:spacing w:after="0"/>
      </w:pPr>
    </w:p>
    <w:p>
      <w:pPr>
        <w:pStyle w:val="Heading2"/>
        <w:keepNext/>
        <w:keepLines/>
        <w:widowControl/>
      </w:pPr>
      <w:r>
        <w:t>11.2 Fila de pendências</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950"/>
        <w:gridCol w:w="4110"/>
        <w:gridCol w:w="2300"/>
      </w:tblGrid>
      <w:tr>
        <w:trPr>
          <w:tblHeader w:val="true"/>
          <w:cantSplit/>
        </w:trPr>
        <w:tc>
          <w:tcPr>
            <w:tcW w:type="dxa" w:w="295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Cenário</w:t>
            </w:r>
          </w:p>
        </w:tc>
        <w:tc>
          <w:tcPr>
            <w:tcW w:type="dxa" w:w="411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Resultado obrigatório</w:t>
            </w:r>
          </w:p>
        </w:tc>
        <w:tc>
          <w:tcPr>
            <w:tcW w:type="dxa" w:w="23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Evidência</w:t>
            </w:r>
          </w:p>
        </w:tc>
      </w:tr>
      <w:tr>
        <w:trPr>
          <w:cantSplit/>
        </w:trPr>
        <w:tc>
          <w:tcPr>
            <w:tcW w:type="dxa" w:w="2950"/>
            <w:vAlign w:val="center"/>
          </w:tcPr>
          <w:p>
            <w:pPr>
              <w:spacing w:after="0"/>
            </w:pPr>
            <w:r>
              <w:rPr>
                <w:rFonts w:ascii="Calibri" w:hAnsi="Calibri" w:eastAsia="Calibri"/>
                <w:color w:val="172033"/>
                <w:sz w:val="17"/>
              </w:rPr>
              <w:t>Todas as competências</w:t>
            </w:r>
          </w:p>
        </w:tc>
        <w:tc>
          <w:tcPr>
            <w:tcW w:type="dxa" w:w="4110"/>
            <w:vAlign w:val="center"/>
          </w:tcPr>
          <w:p>
            <w:pPr>
              <w:spacing w:after="0"/>
            </w:pPr>
            <w:r>
              <w:rPr>
                <w:rFonts w:ascii="Calibri" w:hAnsi="Calibri" w:eastAsia="Calibri"/>
                <w:color w:val="172033"/>
                <w:sz w:val="17"/>
              </w:rPr>
              <w:t>Nenhuma competência global filtra a fila implicitamente</w:t>
            </w:r>
          </w:p>
        </w:tc>
        <w:tc>
          <w:tcPr>
            <w:tcW w:type="dxa" w:w="2300"/>
            <w:vAlign w:val="center"/>
          </w:tcPr>
          <w:p>
            <w:pPr>
              <w:spacing w:after="0"/>
            </w:pPr>
            <w:r>
              <w:rPr>
                <w:rFonts w:ascii="Calibri" w:hAnsi="Calibri" w:eastAsia="Calibri"/>
                <w:color w:val="172033"/>
                <w:sz w:val="17"/>
              </w:rPr>
              <w:t>Teste ADR-044</w:t>
            </w:r>
          </w:p>
        </w:tc>
      </w:tr>
      <w:tr>
        <w:trPr>
          <w:cantSplit/>
        </w:trPr>
        <w:tc>
          <w:tcPr>
            <w:tcW w:type="dxa" w:w="2950"/>
            <w:shd w:fill="F8FAFC" w:val="clear"/>
            <w:vAlign w:val="center"/>
          </w:tcPr>
          <w:p>
            <w:pPr>
              <w:spacing w:after="0"/>
            </w:pPr>
            <w:r>
              <w:rPr>
                <w:rFonts w:ascii="Calibri" w:hAnsi="Calibri" w:eastAsia="Calibri"/>
                <w:color w:val="172033"/>
                <w:sz w:val="17"/>
              </w:rPr>
              <w:t>Minha carteira</w:t>
            </w:r>
          </w:p>
        </w:tc>
        <w:tc>
          <w:tcPr>
            <w:tcW w:type="dxa" w:w="4110"/>
            <w:shd w:fill="F8FAFC" w:val="clear"/>
            <w:vAlign w:val="center"/>
          </w:tcPr>
          <w:p>
            <w:pPr>
              <w:spacing w:after="0"/>
            </w:pPr>
            <w:r>
              <w:rPr>
                <w:rFonts w:ascii="Calibri" w:hAnsi="Calibri" w:eastAsia="Calibri"/>
                <w:color w:val="172033"/>
                <w:sz w:val="17"/>
              </w:rPr>
              <w:t>Somente escolas do controlador; troca para Todas em um gesto</w:t>
            </w:r>
          </w:p>
        </w:tc>
        <w:tc>
          <w:tcPr>
            <w:tcW w:type="dxa" w:w="2300"/>
            <w:shd w:fill="F8FAFC" w:val="clear"/>
            <w:vAlign w:val="center"/>
          </w:tcPr>
          <w:p>
            <w:pPr>
              <w:spacing w:after="0"/>
            </w:pPr>
            <w:r>
              <w:rPr>
                <w:rFonts w:ascii="Calibri" w:hAnsi="Calibri" w:eastAsia="Calibri"/>
                <w:color w:val="172033"/>
                <w:sz w:val="17"/>
              </w:rPr>
              <w:t>Teste por perfil</w:t>
            </w:r>
          </w:p>
        </w:tc>
      </w:tr>
      <w:tr>
        <w:trPr>
          <w:cantSplit/>
        </w:trPr>
        <w:tc>
          <w:tcPr>
            <w:tcW w:type="dxa" w:w="2950"/>
            <w:vAlign w:val="center"/>
          </w:tcPr>
          <w:p>
            <w:pPr>
              <w:spacing w:after="0"/>
            </w:pPr>
            <w:r>
              <w:rPr>
                <w:rFonts w:ascii="Calibri" w:hAnsi="Calibri" w:eastAsia="Calibri"/>
                <w:color w:val="172033"/>
                <w:sz w:val="17"/>
              </w:rPr>
              <w:t>Filtro R.A.</w:t>
            </w:r>
          </w:p>
        </w:tc>
        <w:tc>
          <w:tcPr>
            <w:tcW w:type="dxa" w:w="4110"/>
            <w:vAlign w:val="center"/>
          </w:tcPr>
          <w:p>
            <w:pPr>
              <w:spacing w:after="0"/>
            </w:pPr>
            <w:r>
              <w:rPr>
                <w:rFonts w:ascii="Calibri" w:hAnsi="Calibri" w:eastAsia="Calibri"/>
                <w:color w:val="172033"/>
                <w:sz w:val="17"/>
              </w:rPr>
              <w:t>Recorte correto e combinável com os demais</w:t>
            </w:r>
          </w:p>
        </w:tc>
        <w:tc>
          <w:tcPr>
            <w:tcW w:type="dxa" w:w="2300"/>
            <w:vAlign w:val="center"/>
          </w:tcPr>
          <w:p>
            <w:pPr>
              <w:spacing w:after="0"/>
            </w:pPr>
            <w:r>
              <w:rPr>
                <w:rFonts w:ascii="Calibri" w:hAnsi="Calibri" w:eastAsia="Calibri"/>
                <w:color w:val="172033"/>
                <w:sz w:val="17"/>
              </w:rPr>
              <w:t>Teste unitário + navegador</w:t>
            </w:r>
          </w:p>
        </w:tc>
      </w:tr>
      <w:tr>
        <w:trPr>
          <w:cantSplit/>
        </w:trPr>
        <w:tc>
          <w:tcPr>
            <w:tcW w:type="dxa" w:w="2950"/>
            <w:shd w:fill="F8FAFC" w:val="clear"/>
            <w:vAlign w:val="center"/>
          </w:tcPr>
          <w:p>
            <w:pPr>
              <w:spacing w:after="0"/>
            </w:pPr>
            <w:r>
              <w:rPr>
                <w:rFonts w:ascii="Calibri" w:hAnsi="Calibri" w:eastAsia="Calibri"/>
                <w:color w:val="172033"/>
                <w:sz w:val="17"/>
              </w:rPr>
              <w:t>Escola pesquisável</w:t>
            </w:r>
          </w:p>
        </w:tc>
        <w:tc>
          <w:tcPr>
            <w:tcW w:type="dxa" w:w="4110"/>
            <w:shd w:fill="F8FAFC" w:val="clear"/>
            <w:vAlign w:val="center"/>
          </w:tcPr>
          <w:p>
            <w:pPr>
              <w:spacing w:after="0"/>
            </w:pPr>
            <w:r>
              <w:rPr>
                <w:rFonts w:ascii="Calibri" w:hAnsi="Calibri" w:eastAsia="Calibri"/>
                <w:color w:val="172033"/>
                <w:sz w:val="17"/>
              </w:rPr>
              <w:t>Busca por nome/designação, teclado e leitor de tela</w:t>
            </w:r>
          </w:p>
        </w:tc>
        <w:tc>
          <w:tcPr>
            <w:tcW w:type="dxa" w:w="2300"/>
            <w:shd w:fill="F8FAFC" w:val="clear"/>
            <w:vAlign w:val="center"/>
          </w:tcPr>
          <w:p>
            <w:pPr>
              <w:spacing w:after="0"/>
            </w:pPr>
            <w:r>
              <w:rPr>
                <w:rFonts w:ascii="Calibri" w:hAnsi="Calibri" w:eastAsia="Calibri"/>
                <w:color w:val="172033"/>
                <w:sz w:val="17"/>
              </w:rPr>
              <w:t>Teste E2E + acessibilidade</w:t>
            </w:r>
          </w:p>
        </w:tc>
      </w:tr>
      <w:tr>
        <w:trPr>
          <w:cantSplit/>
        </w:trPr>
        <w:tc>
          <w:tcPr>
            <w:tcW w:type="dxa" w:w="2950"/>
            <w:vAlign w:val="center"/>
          </w:tcPr>
          <w:p>
            <w:pPr>
              <w:spacing w:after="0"/>
            </w:pPr>
            <w:r>
              <w:rPr>
                <w:rFonts w:ascii="Calibri" w:hAnsi="Calibri" w:eastAsia="Calibri"/>
                <w:color w:val="172033"/>
                <w:sz w:val="17"/>
              </w:rPr>
              <w:t>Controlador com 2 reanálises</w:t>
            </w:r>
          </w:p>
        </w:tc>
        <w:tc>
          <w:tcPr>
            <w:tcW w:type="dxa" w:w="4110"/>
            <w:vAlign w:val="center"/>
          </w:tcPr>
          <w:p>
            <w:pPr>
              <w:spacing w:after="0"/>
            </w:pPr>
            <w:r>
              <w:rPr>
                <w:rFonts w:ascii="Calibri" w:hAnsi="Calibri" w:eastAsia="Calibri"/>
                <w:color w:val="172033"/>
                <w:sz w:val="17"/>
              </w:rPr>
              <w:t>Abre em Para reanalisar</w:t>
            </w:r>
          </w:p>
        </w:tc>
        <w:tc>
          <w:tcPr>
            <w:tcW w:type="dxa" w:w="2300"/>
            <w:vAlign w:val="center"/>
          </w:tcPr>
          <w:p>
            <w:pPr>
              <w:spacing w:after="0"/>
            </w:pPr>
            <w:r>
              <w:rPr>
                <w:rFonts w:ascii="Calibri" w:hAnsi="Calibri" w:eastAsia="Calibri"/>
                <w:color w:val="172033"/>
                <w:sz w:val="17"/>
              </w:rPr>
              <w:t>Teste do estado inicial</w:t>
            </w:r>
          </w:p>
        </w:tc>
      </w:tr>
      <w:tr>
        <w:trPr>
          <w:cantSplit/>
        </w:trPr>
        <w:tc>
          <w:tcPr>
            <w:tcW w:type="dxa" w:w="2950"/>
            <w:shd w:fill="F8FAFC" w:val="clear"/>
            <w:vAlign w:val="center"/>
          </w:tcPr>
          <w:p>
            <w:pPr>
              <w:spacing w:after="0"/>
            </w:pPr>
            <w:r>
              <w:rPr>
                <w:rFonts w:ascii="Calibri" w:hAnsi="Calibri" w:eastAsia="Calibri"/>
                <w:color w:val="172033"/>
                <w:sz w:val="17"/>
              </w:rPr>
              <w:t>Aberta após reanálise incorreta</w:t>
            </w:r>
          </w:p>
        </w:tc>
        <w:tc>
          <w:tcPr>
            <w:tcW w:type="dxa" w:w="4110"/>
            <w:shd w:fill="F8FAFC" w:val="clear"/>
            <w:vAlign w:val="center"/>
          </w:tcPr>
          <w:p>
            <w:pPr>
              <w:spacing w:after="0"/>
            </w:pPr>
            <w:r>
              <w:rPr>
                <w:rFonts w:ascii="Calibri" w:hAnsi="Calibri" w:eastAsia="Calibri"/>
                <w:color w:val="172033"/>
                <w:sz w:val="17"/>
              </w:rPr>
              <w:t>Tempo e ordem usam a transição mais recente</w:t>
            </w:r>
          </w:p>
        </w:tc>
        <w:tc>
          <w:tcPr>
            <w:tcW w:type="dxa" w:w="2300"/>
            <w:shd w:fill="F8FAFC" w:val="clear"/>
            <w:vAlign w:val="center"/>
          </w:tcPr>
          <w:p>
            <w:pPr>
              <w:spacing w:after="0"/>
            </w:pPr>
            <w:r>
              <w:rPr>
                <w:rFonts w:ascii="Calibri" w:hAnsi="Calibri" w:eastAsia="Calibri"/>
                <w:color w:val="172033"/>
                <w:sz w:val="17"/>
              </w:rPr>
              <w:t>Teste de projeção canônica</w:t>
            </w:r>
          </w:p>
        </w:tc>
      </w:tr>
      <w:tr>
        <w:trPr>
          <w:cantSplit/>
        </w:trPr>
        <w:tc>
          <w:tcPr>
            <w:tcW w:type="dxa" w:w="2950"/>
            <w:vAlign w:val="center"/>
          </w:tcPr>
          <w:p>
            <w:pPr>
              <w:spacing w:after="0"/>
            </w:pPr>
            <w:r>
              <w:rPr>
                <w:rFonts w:ascii="Calibri" w:hAnsi="Calibri" w:eastAsia="Calibri"/>
                <w:color w:val="172033"/>
                <w:sz w:val="17"/>
              </w:rPr>
              <w:t>Cancelada autorizada</w:t>
            </w:r>
          </w:p>
        </w:tc>
        <w:tc>
          <w:tcPr>
            <w:tcW w:type="dxa" w:w="4110"/>
            <w:vAlign w:val="center"/>
          </w:tcPr>
          <w:p>
            <w:pPr>
              <w:spacing w:after="0"/>
            </w:pPr>
            <w:r>
              <w:rPr>
                <w:rFonts w:ascii="Calibri" w:hAnsi="Calibri" w:eastAsia="Calibri"/>
                <w:color w:val="172033"/>
                <w:sz w:val="17"/>
              </w:rPr>
              <w:t>Ação Reabrir disponível e contrato aceito</w:t>
            </w:r>
          </w:p>
        </w:tc>
        <w:tc>
          <w:tcPr>
            <w:tcW w:type="dxa" w:w="2300"/>
            <w:vAlign w:val="center"/>
          </w:tcPr>
          <w:p>
            <w:pPr>
              <w:spacing w:after="0"/>
            </w:pPr>
            <w:r>
              <w:rPr>
                <w:rFonts w:ascii="Calibri" w:hAnsi="Calibri" w:eastAsia="Calibri"/>
                <w:color w:val="172033"/>
                <w:sz w:val="17"/>
              </w:rPr>
              <w:t>Teste de UI + domínio</w:t>
            </w:r>
          </w:p>
        </w:tc>
      </w:tr>
      <w:tr>
        <w:trPr>
          <w:cantSplit/>
        </w:trPr>
        <w:tc>
          <w:tcPr>
            <w:tcW w:type="dxa" w:w="2950"/>
            <w:shd w:fill="F8FAFC" w:val="clear"/>
            <w:vAlign w:val="center"/>
          </w:tcPr>
          <w:p>
            <w:pPr>
              <w:spacing w:after="0"/>
            </w:pPr>
            <w:r>
              <w:rPr>
                <w:rFonts w:ascii="Calibri" w:hAnsi="Calibri" w:eastAsia="Calibri"/>
                <w:color w:val="172033"/>
                <w:sz w:val="17"/>
              </w:rPr>
              <w:t>Cartão aberto</w:t>
            </w:r>
          </w:p>
        </w:tc>
        <w:tc>
          <w:tcPr>
            <w:tcW w:type="dxa" w:w="4110"/>
            <w:shd w:fill="F8FAFC" w:val="clear"/>
            <w:vAlign w:val="center"/>
          </w:tcPr>
          <w:p>
            <w:pPr>
              <w:spacing w:after="0"/>
            </w:pPr>
            <w:r>
              <w:rPr>
                <w:rFonts w:ascii="Calibri" w:hAnsi="Calibri" w:eastAsia="Calibri"/>
                <w:color w:val="172033"/>
                <w:sz w:val="17"/>
              </w:rPr>
              <w:t>Uma única ação principal; secundárias em menu</w:t>
            </w:r>
          </w:p>
        </w:tc>
        <w:tc>
          <w:tcPr>
            <w:tcW w:type="dxa" w:w="2300"/>
            <w:shd w:fill="F8FAFC" w:val="clear"/>
            <w:vAlign w:val="center"/>
          </w:tcPr>
          <w:p>
            <w:pPr>
              <w:spacing w:after="0"/>
            </w:pPr>
            <w:r>
              <w:rPr>
                <w:rFonts w:ascii="Calibri" w:hAnsi="Calibri" w:eastAsia="Calibri"/>
                <w:color w:val="172033"/>
                <w:sz w:val="17"/>
              </w:rPr>
              <w:t>Teste visual e funcional</w:t>
            </w:r>
          </w:p>
        </w:tc>
      </w:tr>
      <w:tr>
        <w:trPr>
          <w:cantSplit/>
        </w:trPr>
        <w:tc>
          <w:tcPr>
            <w:tcW w:type="dxa" w:w="2950"/>
            <w:vAlign w:val="center"/>
          </w:tcPr>
          <w:p>
            <w:pPr>
              <w:spacing w:after="0"/>
            </w:pPr>
            <w:r>
              <w:rPr>
                <w:rFonts w:ascii="Calibri" w:hAnsi="Calibri" w:eastAsia="Calibri"/>
                <w:color w:val="172033"/>
                <w:sz w:val="17"/>
              </w:rPr>
              <w:t>Detalhe cancelado</w:t>
            </w:r>
          </w:p>
        </w:tc>
        <w:tc>
          <w:tcPr>
            <w:tcW w:type="dxa" w:w="4110"/>
            <w:vAlign w:val="center"/>
          </w:tcPr>
          <w:p>
            <w:pPr>
              <w:spacing w:after="0"/>
            </w:pPr>
            <w:r>
              <w:rPr>
                <w:rFonts w:ascii="Calibri" w:hAnsi="Calibri" w:eastAsia="Calibri"/>
                <w:color w:val="172033"/>
                <w:sz w:val="17"/>
              </w:rPr>
              <w:t>Sem título “Erros atuais”; histórico preservado</w:t>
            </w:r>
          </w:p>
        </w:tc>
        <w:tc>
          <w:tcPr>
            <w:tcW w:type="dxa" w:w="2300"/>
            <w:vAlign w:val="center"/>
          </w:tcPr>
          <w:p>
            <w:pPr>
              <w:spacing w:after="0"/>
            </w:pPr>
            <w:r>
              <w:rPr>
                <w:rFonts w:ascii="Calibri" w:hAnsi="Calibri" w:eastAsia="Calibri"/>
                <w:color w:val="172033"/>
                <w:sz w:val="17"/>
              </w:rPr>
              <w:t>Teste de conteúdo</w:t>
            </w:r>
          </w:p>
        </w:tc>
      </w:tr>
      <w:tr>
        <w:trPr>
          <w:cantSplit/>
        </w:trPr>
        <w:tc>
          <w:tcPr>
            <w:tcW w:type="dxa" w:w="2950"/>
            <w:shd w:fill="F8FAFC" w:val="clear"/>
            <w:vAlign w:val="center"/>
          </w:tcPr>
          <w:p>
            <w:pPr>
              <w:spacing w:after="0"/>
            </w:pPr>
            <w:r>
              <w:rPr>
                <w:rFonts w:ascii="Calibri" w:hAnsi="Calibri" w:eastAsia="Calibri"/>
                <w:color w:val="172033"/>
                <w:sz w:val="17"/>
              </w:rPr>
              <w:t>Modal de reanálise</w:t>
            </w:r>
          </w:p>
        </w:tc>
        <w:tc>
          <w:tcPr>
            <w:tcW w:type="dxa" w:w="4110"/>
            <w:shd w:fill="F8FAFC" w:val="clear"/>
            <w:vAlign w:val="center"/>
          </w:tcPr>
          <w:p>
            <w:pPr>
              <w:spacing w:after="0"/>
            </w:pPr>
            <w:r>
              <w:rPr>
                <w:rFonts w:ascii="Calibri" w:hAnsi="Calibri" w:eastAsia="Calibri"/>
                <w:color w:val="172033"/>
                <w:sz w:val="17"/>
              </w:rPr>
              <w:t>Contexto separado da decisão; efeito explicado</w:t>
            </w:r>
          </w:p>
        </w:tc>
        <w:tc>
          <w:tcPr>
            <w:tcW w:type="dxa" w:w="2300"/>
            <w:shd w:fill="F8FAFC" w:val="clear"/>
            <w:vAlign w:val="center"/>
          </w:tcPr>
          <w:p>
            <w:pPr>
              <w:spacing w:after="0"/>
            </w:pPr>
            <w:r>
              <w:rPr>
                <w:rFonts w:ascii="Calibri" w:hAnsi="Calibri" w:eastAsia="Calibri"/>
                <w:color w:val="172033"/>
                <w:sz w:val="17"/>
              </w:rPr>
              <w:t>Teste com usuários e snapshot visual</w:t>
            </w:r>
          </w:p>
        </w:tc>
      </w:tr>
      <w:tr>
        <w:trPr>
          <w:cantSplit/>
        </w:trPr>
        <w:tc>
          <w:tcPr>
            <w:tcW w:type="dxa" w:w="2950"/>
            <w:vAlign w:val="center"/>
          </w:tcPr>
          <w:p>
            <w:pPr>
              <w:spacing w:after="0"/>
            </w:pPr>
            <w:r>
              <w:rPr>
                <w:rFonts w:ascii="Calibri" w:hAnsi="Calibri" w:eastAsia="Calibri"/>
                <w:color w:val="172033"/>
                <w:sz w:val="17"/>
              </w:rPr>
              <w:t>Mobile 360–412 px</w:t>
            </w:r>
          </w:p>
        </w:tc>
        <w:tc>
          <w:tcPr>
            <w:tcW w:type="dxa" w:w="4110"/>
            <w:vAlign w:val="center"/>
          </w:tcPr>
          <w:p>
            <w:pPr>
              <w:spacing w:after="0"/>
            </w:pPr>
            <w:r>
              <w:rPr>
                <w:rFonts w:ascii="Calibri" w:hAnsi="Calibri" w:eastAsia="Calibri"/>
                <w:color w:val="172033"/>
                <w:sz w:val="17"/>
              </w:rPr>
              <w:t>Sem corte, sobreposição ou rolagem horizontal</w:t>
            </w:r>
          </w:p>
        </w:tc>
        <w:tc>
          <w:tcPr>
            <w:tcW w:type="dxa" w:w="2300"/>
            <w:vAlign w:val="center"/>
          </w:tcPr>
          <w:p>
            <w:pPr>
              <w:spacing w:after="0"/>
            </w:pPr>
            <w:r>
              <w:rPr>
                <w:rFonts w:ascii="Calibri" w:hAnsi="Calibri" w:eastAsia="Calibri"/>
                <w:color w:val="172033"/>
                <w:sz w:val="17"/>
              </w:rPr>
              <w:t>Matriz de viewport</w:t>
            </w:r>
          </w:p>
        </w:tc>
      </w:tr>
    </w:tbl>
    <w:p>
      <w:pPr>
        <w:spacing w:after="0"/>
      </w:pPr>
    </w:p>
    <w:p>
      <w:pPr>
        <w:pStyle w:val="Heading1"/>
        <w:keepNext/>
        <w:keepLines/>
        <w:widowControl/>
      </w:pPr>
      <w:r>
        <w:t>12. Testes automatizados a adicionar</w:t>
      </w:r>
    </w:p>
    <w:p>
      <w:pPr>
        <w:pStyle w:val="ReportBullet"/>
        <w:widowControl/>
      </w:pPr>
      <w:r>
        <w:t>Clique duplo, Enter + clique, duas requisições concorrentes com a mesma chave e falha de resposta depois do commit.</w:t>
      </w:r>
    </w:p>
    <w:p>
      <w:pPr>
        <w:pStyle w:val="ReportBullet"/>
        <w:widowControl/>
      </w:pPr>
      <w:r>
        <w:t>No-op semântico na edição, incluindo cenário em que campos visíveis são iguais, mas um efeito derivado precisa ser reconciliado.</w:t>
      </w:r>
    </w:p>
    <w:p>
      <w:pPr>
        <w:pStyle w:val="ReportBullet"/>
        <w:widowControl/>
      </w:pPr>
      <w:r>
        <w:t>Carga inicial de 12,5 e 15 segundos; módulo crítico ausente; módulo diagnóstico ausente.</w:t>
      </w:r>
    </w:p>
    <w:p>
      <w:pPr>
        <w:pStyle w:val="ReportBullet"/>
        <w:widowControl/>
      </w:pPr>
      <w:r>
        <w:t>Zero, uma e várias notas de serviço; todas as transições de tipo de despesa e Nota Fiscal.</w:t>
      </w:r>
    </w:p>
    <w:p>
      <w:pPr>
        <w:pStyle w:val="ReportBullet"/>
        <w:widowControl/>
      </w:pPr>
      <w:r>
        <w:t>Tempo na etapa após reabertura, reanálise incorreta e arquivo indisponível.</w:t>
      </w:r>
    </w:p>
    <w:p>
      <w:pPr>
        <w:pStyle w:val="ReportBullet"/>
        <w:widowControl/>
      </w:pPr>
      <w:r>
        <w:t>Filtros combinados de carteira, R.A., controlador, escola, competência e tempo na etapa.</w:t>
      </w:r>
    </w:p>
    <w:p>
      <w:pPr>
        <w:pStyle w:val="ReportBullet"/>
        <w:widowControl/>
      </w:pPr>
      <w:r>
        <w:t>Matriz completa de ações por estado, perfil e capacidade, incluindo cancelada → reabrir.</w:t>
      </w:r>
    </w:p>
    <w:p>
      <w:pPr>
        <w:pStyle w:val="ReportBullet"/>
        <w:widowControl/>
      </w:pPr>
      <w:r>
        <w:t>Snapshots visuais desktop/mobile e navegação por teclado nos filtros, cartões, drawer e modais.</w:t>
      </w:r>
    </w:p>
    <w:tbl>
      <w:tblPr>
        <w:tblW w:type="dxa" w:w="9360"/>
        <w:jc w:val="center"/>
        <w:tblLook w:firstColumn="1" w:firstRow="1" w:lastColumn="0" w:lastRow="0" w:noHBand="0" w:noVBand="1" w:val="04A0"/>
        <w:tblInd w:w="0" w:type="dxa"/>
        <w:tblLayout w:type="fixed"/>
        <w:tblBorders>
          <w:top w:val="single" w:sz="0" w:space="0" w:color="FFFAEB"/>
          <w:left w:val="single" w:sz="0" w:space="0" w:color="FFFAEB"/>
          <w:bottom w:val="single" w:sz="0" w:space="0" w:color="FFFAEB"/>
          <w:right w:val="single" w:sz="0" w:space="0" w:color="FFFAEB"/>
        </w:tblBorders>
      </w:tblPr>
      <w:tblGrid>
        <w:gridCol w:w="120"/>
        <w:gridCol w:w="9240"/>
      </w:tblGrid>
      <w:tr>
        <w:tc>
          <w:tcPr>
            <w:tcW w:type="dxa" w:w="120"/>
            <w:tcMar>
              <w:top w:w="120" w:type="dxa"/>
              <w:start w:w="0" w:type="dxa"/>
              <w:bottom w:w="120" w:type="dxa"/>
              <w:end w:w="0" w:type="dxa"/>
            </w:tcMar>
            <w:shd w:fill="B54708" w:val="clear"/>
          </w:tcPr>
          <w:p/>
        </w:tc>
        <w:tc>
          <w:tcPr>
            <w:tcW w:type="dxa" w:w="9240"/>
            <w:tcMar>
              <w:top w:w="150" w:type="dxa"/>
              <w:start w:w="180" w:type="dxa"/>
              <w:bottom w:w="150" w:type="dxa"/>
              <w:end w:w="180" w:type="dxa"/>
            </w:tcMar>
            <w:shd w:fill="FFFAEB" w:val="clear"/>
          </w:tcPr>
          <w:p>
            <w:pPr>
              <w:spacing w:after="80"/>
            </w:pPr>
            <w:r>
              <w:rPr>
                <w:rFonts w:ascii="Calibri" w:hAnsi="Calibri" w:eastAsia="Calibri"/>
                <w:b/>
                <w:color w:val="B54708"/>
                <w:sz w:val="22"/>
              </w:rPr>
              <w:t>Contagem de testes</w:t>
            </w:r>
          </w:p>
          <w:p>
            <w:pPr>
              <w:widowControl/>
              <w:spacing w:after="0"/>
            </w:pPr>
            <w:r>
              <w:t>Não transformar “22” ou “31” em número canônico. O relatório deve registrar sempre os arquivos/comando executados e o resultado daquele recorte.</w:t>
            </w:r>
          </w:p>
        </w:tc>
      </w:tr>
    </w:tbl>
    <w:p>
      <w:pPr>
        <w:spacing w:after="0"/>
      </w:pPr>
    </w:p>
    <w:p>
      <w:r>
        <w:br w:type="page"/>
      </w:r>
    </w:p>
    <w:p>
      <w:pPr>
        <w:pStyle w:val="Heading1"/>
        <w:keepNext/>
        <w:keepLines/>
        <w:widowControl/>
      </w:pPr>
      <w:r>
        <w:t>13. Implantação, observabilidade e suporte</w:t>
      </w:r>
    </w:p>
    <w:p>
      <w:pPr>
        <w:pStyle w:val="ReportNumber"/>
        <w:widowControl/>
        <w:numPr>
          <w:ilvl w:val="0"/>
          <w:numId w:val="11"/>
        </w:numPr>
      </w:pPr>
      <w:r>
        <w:t>Capturar baseline: tempo de RPC, pós-gravação, número de chamadas, distribuição das pendências e consulta de inconsistência da Assessoria.</w:t>
      </w:r>
    </w:p>
    <w:p>
      <w:pPr>
        <w:pStyle w:val="ReportNumber"/>
        <w:widowControl/>
        <w:numPr>
          <w:ilvl w:val="0"/>
          <w:numId w:val="11"/>
        </w:numPr>
      </w:pPr>
      <w:r>
        <w:t>Publicar cada PR separadamente e executar smoke tests de despesa, consolidação e pendência em desktop e celular.</w:t>
      </w:r>
    </w:p>
    <w:p>
      <w:pPr>
        <w:pStyle w:val="ReportNumber"/>
        <w:widowControl/>
        <w:numPr>
          <w:ilvl w:val="0"/>
          <w:numId w:val="11"/>
        </w:numPr>
      </w:pPr>
      <w:r>
        <w:t>No reparo, validar predicado e contagem dentro da transação; abortar diante de qualquer contexto inesperado.</w:t>
      </w:r>
    </w:p>
    <w:p>
      <w:pPr>
        <w:pStyle w:val="ReportNumber"/>
        <w:widowControl/>
        <w:numPr>
          <w:ilvl w:val="0"/>
          <w:numId w:val="11"/>
        </w:numPr>
      </w:pPr>
      <w:r>
        <w:t>Acompanhar por perfil: tempo até localizar uma pendência, tempo até executar a ação principal, erros de inicialização e duplicações rejeitadas.</w:t>
      </w:r>
    </w:p>
    <w:p>
      <w:pPr>
        <w:pStyle w:val="ReportNumber"/>
        <w:widowControl/>
        <w:numPr>
          <w:ilvl w:val="0"/>
          <w:numId w:val="11"/>
        </w:numPr>
      </w:pPr>
      <w:r>
        <w:t>Centralizar métricas técnicas agregadas; não depender de abrir DevTools no equipamento de cada usuário e não enviar dados de negócio.</w:t>
      </w:r>
    </w:p>
    <w:p>
      <w:pPr>
        <w:pStyle w:val="ReportNumber"/>
        <w:widowControl/>
        <w:numPr>
          <w:ilvl w:val="0"/>
          <w:numId w:val="11"/>
        </w:numPr>
      </w:pPr>
      <w:r>
        <w:t>Manter caminho de reversão por PR e registrar versão publicada, consulta antes/depois e resultado dos testes.</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000"/>
        <w:gridCol w:w="2600"/>
        <w:gridCol w:w="3760"/>
      </w:tblGrid>
      <w:tr>
        <w:trPr>
          <w:tblHeader w:val="true"/>
          <w:cantSplit/>
        </w:trPr>
        <w:tc>
          <w:tcPr>
            <w:tcW w:type="dxa" w:w="30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Métrica</w:t>
            </w:r>
          </w:p>
        </w:tc>
        <w:tc>
          <w:tcPr>
            <w:tcW w:type="dxa" w:w="26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Objetivo inicial</w:t>
            </w:r>
          </w:p>
        </w:tc>
        <w:tc>
          <w:tcPr>
            <w:tcW w:type="dxa" w:w="37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Observação</w:t>
            </w:r>
          </w:p>
        </w:tc>
      </w:tr>
      <w:tr>
        <w:trPr>
          <w:cantSplit/>
        </w:trPr>
        <w:tc>
          <w:tcPr>
            <w:tcW w:type="dxa" w:w="3000"/>
            <w:vAlign w:val="center"/>
          </w:tcPr>
          <w:p>
            <w:pPr>
              <w:spacing w:after="0"/>
            </w:pPr>
            <w:r>
              <w:rPr>
                <w:rFonts w:ascii="Calibri" w:hAnsi="Calibri" w:eastAsia="Calibri"/>
                <w:color w:val="172033"/>
                <w:sz w:val="17"/>
              </w:rPr>
              <w:t>Feedback após salvar</w:t>
            </w:r>
          </w:p>
        </w:tc>
        <w:tc>
          <w:tcPr>
            <w:tcW w:type="dxa" w:w="2600"/>
            <w:vAlign w:val="center"/>
          </w:tcPr>
          <w:p>
            <w:pPr>
              <w:spacing w:after="0"/>
            </w:pPr>
            <w:r>
              <w:rPr>
                <w:rFonts w:ascii="Calibri" w:hAnsi="Calibri" w:eastAsia="Calibri"/>
                <w:color w:val="172033"/>
                <w:sz w:val="17"/>
              </w:rPr>
              <w:t>≤ 100 ms</w:t>
            </w:r>
          </w:p>
        </w:tc>
        <w:tc>
          <w:tcPr>
            <w:tcW w:type="dxa" w:w="3760"/>
            <w:vAlign w:val="center"/>
          </w:tcPr>
          <w:p>
            <w:pPr>
              <w:spacing w:after="0"/>
            </w:pPr>
            <w:r>
              <w:rPr>
                <w:rFonts w:ascii="Calibri" w:hAnsi="Calibri" w:eastAsia="Calibri"/>
                <w:color w:val="172033"/>
                <w:sz w:val="17"/>
              </w:rPr>
              <w:t>Resposta visual, não tempo total de rede</w:t>
            </w:r>
          </w:p>
        </w:tc>
      </w:tr>
      <w:tr>
        <w:trPr>
          <w:cantSplit/>
        </w:trPr>
        <w:tc>
          <w:tcPr>
            <w:tcW w:type="dxa" w:w="3000"/>
            <w:shd w:fill="F8FAFC" w:val="clear"/>
            <w:vAlign w:val="center"/>
          </w:tcPr>
          <w:p>
            <w:pPr>
              <w:spacing w:after="0"/>
            </w:pPr>
            <w:r>
              <w:rPr>
                <w:rFonts w:ascii="Calibri" w:hAnsi="Calibri" w:eastAsia="Calibri"/>
                <w:color w:val="172033"/>
                <w:sz w:val="17"/>
              </w:rPr>
              <w:t>Aplicação local após RPC</w:t>
            </w:r>
          </w:p>
        </w:tc>
        <w:tc>
          <w:tcPr>
            <w:tcW w:type="dxa" w:w="2600"/>
            <w:shd w:fill="F8FAFC" w:val="clear"/>
            <w:vAlign w:val="center"/>
          </w:tcPr>
          <w:p>
            <w:pPr>
              <w:spacing w:after="0"/>
            </w:pPr>
            <w:r>
              <w:rPr>
                <w:rFonts w:ascii="Calibri" w:hAnsi="Calibri" w:eastAsia="Calibri"/>
                <w:color w:val="172033"/>
                <w:sz w:val="17"/>
              </w:rPr>
              <w:t>≤ 300 ms p95 em teste</w:t>
            </w:r>
          </w:p>
        </w:tc>
        <w:tc>
          <w:tcPr>
            <w:tcW w:type="dxa" w:w="3760"/>
            <w:shd w:fill="F8FAFC" w:val="clear"/>
            <w:vAlign w:val="center"/>
          </w:tcPr>
          <w:p>
            <w:pPr>
              <w:spacing w:after="0"/>
            </w:pPr>
            <w:r>
              <w:rPr>
                <w:rFonts w:ascii="Calibri" w:hAnsi="Calibri" w:eastAsia="Calibri"/>
                <w:color w:val="172033"/>
                <w:sz w:val="17"/>
              </w:rPr>
              <w:t>Sem refetch global no caminho normal</w:t>
            </w:r>
          </w:p>
        </w:tc>
      </w:tr>
      <w:tr>
        <w:trPr>
          <w:cantSplit/>
        </w:trPr>
        <w:tc>
          <w:tcPr>
            <w:tcW w:type="dxa" w:w="3000"/>
            <w:vAlign w:val="center"/>
          </w:tcPr>
          <w:p>
            <w:pPr>
              <w:spacing w:after="0"/>
            </w:pPr>
            <w:r>
              <w:rPr>
                <w:rFonts w:ascii="Calibri" w:hAnsi="Calibri" w:eastAsia="Calibri"/>
                <w:color w:val="172033"/>
                <w:sz w:val="17"/>
              </w:rPr>
              <w:t>Duplicação pela mesma operação</w:t>
            </w:r>
          </w:p>
        </w:tc>
        <w:tc>
          <w:tcPr>
            <w:tcW w:type="dxa" w:w="2600"/>
            <w:vAlign w:val="center"/>
          </w:tcPr>
          <w:p>
            <w:pPr>
              <w:spacing w:after="0"/>
            </w:pPr>
            <w:r>
              <w:rPr>
                <w:rFonts w:ascii="Calibri" w:hAnsi="Calibri" w:eastAsia="Calibri"/>
                <w:color w:val="172033"/>
                <w:sz w:val="17"/>
              </w:rPr>
              <w:t>0</w:t>
            </w:r>
          </w:p>
        </w:tc>
        <w:tc>
          <w:tcPr>
            <w:tcW w:type="dxa" w:w="3760"/>
            <w:vAlign w:val="center"/>
          </w:tcPr>
          <w:p>
            <w:pPr>
              <w:spacing w:after="0"/>
            </w:pPr>
            <w:r>
              <w:rPr>
                <w:rFonts w:ascii="Calibri" w:hAnsi="Calibri" w:eastAsia="Calibri"/>
                <w:color w:val="172033"/>
                <w:sz w:val="17"/>
              </w:rPr>
              <w:t>Cliente no PR 1 + idempotência no PR 5</w:t>
            </w:r>
          </w:p>
        </w:tc>
      </w:tr>
      <w:tr>
        <w:trPr>
          <w:cantSplit/>
        </w:trPr>
        <w:tc>
          <w:tcPr>
            <w:tcW w:type="dxa" w:w="3000"/>
            <w:shd w:fill="F8FAFC" w:val="clear"/>
            <w:vAlign w:val="center"/>
          </w:tcPr>
          <w:p>
            <w:pPr>
              <w:spacing w:after="0"/>
            </w:pPr>
            <w:r>
              <w:rPr>
                <w:rFonts w:ascii="Calibri" w:hAnsi="Calibri" w:eastAsia="Calibri"/>
                <w:color w:val="172033"/>
                <w:sz w:val="17"/>
              </w:rPr>
              <w:t>Divergência Assessoria</w:t>
            </w:r>
          </w:p>
        </w:tc>
        <w:tc>
          <w:tcPr>
            <w:tcW w:type="dxa" w:w="2600"/>
            <w:shd w:fill="F8FAFC" w:val="clear"/>
            <w:vAlign w:val="center"/>
          </w:tcPr>
          <w:p>
            <w:pPr>
              <w:spacing w:after="0"/>
            </w:pPr>
            <w:r>
              <w:rPr>
                <w:rFonts w:ascii="Calibri" w:hAnsi="Calibri" w:eastAsia="Calibri"/>
                <w:color w:val="172033"/>
                <w:sz w:val="17"/>
              </w:rPr>
              <w:t>0</w:t>
            </w:r>
          </w:p>
        </w:tc>
        <w:tc>
          <w:tcPr>
            <w:tcW w:type="dxa" w:w="3760"/>
            <w:shd w:fill="F8FAFC" w:val="clear"/>
            <w:vAlign w:val="center"/>
          </w:tcPr>
          <w:p>
            <w:pPr>
              <w:spacing w:after="0"/>
            </w:pPr>
            <w:r>
              <w:rPr>
                <w:rFonts w:ascii="Calibri" w:hAnsi="Calibri" w:eastAsia="Calibri"/>
                <w:color w:val="172033"/>
                <w:sz w:val="17"/>
              </w:rPr>
              <w:t>Consulta automática após transições</w:t>
            </w:r>
          </w:p>
        </w:tc>
      </w:tr>
      <w:tr>
        <w:trPr>
          <w:cantSplit/>
        </w:trPr>
        <w:tc>
          <w:tcPr>
            <w:tcW w:type="dxa" w:w="3000"/>
            <w:vAlign w:val="center"/>
          </w:tcPr>
          <w:p>
            <w:pPr>
              <w:spacing w:after="0"/>
            </w:pPr>
            <w:r>
              <w:rPr>
                <w:rFonts w:ascii="Calibri" w:hAnsi="Calibri" w:eastAsia="Calibri"/>
                <w:color w:val="172033"/>
                <w:sz w:val="17"/>
              </w:rPr>
              <w:t>Tempo para localizar pendência</w:t>
            </w:r>
          </w:p>
        </w:tc>
        <w:tc>
          <w:tcPr>
            <w:tcW w:type="dxa" w:w="2600"/>
            <w:vAlign w:val="center"/>
          </w:tcPr>
          <w:p>
            <w:pPr>
              <w:spacing w:after="0"/>
            </w:pPr>
            <w:r>
              <w:rPr>
                <w:rFonts w:ascii="Calibri" w:hAnsi="Calibri" w:eastAsia="Calibri"/>
                <w:color w:val="172033"/>
                <w:sz w:val="17"/>
              </w:rPr>
              <w:t>Medir antes/depois</w:t>
            </w:r>
          </w:p>
        </w:tc>
        <w:tc>
          <w:tcPr>
            <w:tcW w:type="dxa" w:w="3760"/>
            <w:vAlign w:val="center"/>
          </w:tcPr>
          <w:p>
            <w:pPr>
              <w:spacing w:after="0"/>
            </w:pPr>
            <w:r>
              <w:rPr>
                <w:rFonts w:ascii="Calibri" w:hAnsi="Calibri" w:eastAsia="Calibri"/>
                <w:color w:val="172033"/>
                <w:sz w:val="17"/>
              </w:rPr>
              <w:t>Teste por tarefa em celular</w:t>
            </w:r>
          </w:p>
        </w:tc>
      </w:tr>
      <w:tr>
        <w:trPr>
          <w:cantSplit/>
        </w:trPr>
        <w:tc>
          <w:tcPr>
            <w:tcW w:type="dxa" w:w="3000"/>
            <w:shd w:fill="F8FAFC" w:val="clear"/>
            <w:vAlign w:val="center"/>
          </w:tcPr>
          <w:p>
            <w:pPr>
              <w:spacing w:after="0"/>
            </w:pPr>
            <w:r>
              <w:rPr>
                <w:rFonts w:ascii="Calibri" w:hAnsi="Calibri" w:eastAsia="Calibri"/>
                <w:color w:val="172033"/>
                <w:sz w:val="17"/>
              </w:rPr>
              <w:t>Ações expostas por cartão</w:t>
            </w:r>
          </w:p>
        </w:tc>
        <w:tc>
          <w:tcPr>
            <w:tcW w:type="dxa" w:w="2600"/>
            <w:shd w:fill="F8FAFC" w:val="clear"/>
            <w:vAlign w:val="center"/>
          </w:tcPr>
          <w:p>
            <w:pPr>
              <w:spacing w:after="0"/>
            </w:pPr>
            <w:r>
              <w:rPr>
                <w:rFonts w:ascii="Calibri" w:hAnsi="Calibri" w:eastAsia="Calibri"/>
                <w:color w:val="172033"/>
                <w:sz w:val="17"/>
              </w:rPr>
              <w:t>1 principal</w:t>
            </w:r>
          </w:p>
        </w:tc>
        <w:tc>
          <w:tcPr>
            <w:tcW w:type="dxa" w:w="3760"/>
            <w:shd w:fill="F8FAFC" w:val="clear"/>
            <w:vAlign w:val="center"/>
          </w:tcPr>
          <w:p>
            <w:pPr>
              <w:spacing w:after="0"/>
            </w:pPr>
            <w:r>
              <w:rPr>
                <w:rFonts w:ascii="Calibri" w:hAnsi="Calibri" w:eastAsia="Calibri"/>
                <w:color w:val="172033"/>
                <w:sz w:val="17"/>
              </w:rPr>
              <w:t>Secundárias em menu contextual</w:t>
            </w:r>
          </w:p>
        </w:tc>
      </w:tr>
    </w:tbl>
    <w:p>
      <w:pPr>
        <w:spacing w:after="0"/>
      </w:pPr>
    </w:p>
    <w:p>
      <w:pPr>
        <w:pStyle w:val="Heading1"/>
        <w:keepNext/>
        <w:keepLines/>
        <w:widowControl/>
      </w:pPr>
      <w:r>
        <w:t>14. Decisões de produto recomendadas</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3320"/>
        <w:gridCol w:w="3840"/>
      </w:tblGrid>
      <w:tr>
        <w:trPr>
          <w:tblHeader w:val="true"/>
          <w:cantSplit/>
        </w:trPr>
        <w:tc>
          <w:tcPr>
            <w:tcW w:type="dxa" w:w="22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Decisão</w:t>
            </w:r>
          </w:p>
        </w:tc>
        <w:tc>
          <w:tcPr>
            <w:tcW w:type="dxa" w:w="332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Recomendação</w:t>
            </w:r>
          </w:p>
        </w:tc>
        <w:tc>
          <w:tcPr>
            <w:tcW w:type="dxa" w:w="384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Motivo</w:t>
            </w:r>
          </w:p>
        </w:tc>
      </w:tr>
      <w:tr>
        <w:trPr>
          <w:cantSplit/>
        </w:trPr>
        <w:tc>
          <w:tcPr>
            <w:tcW w:type="dxa" w:w="2200"/>
            <w:vAlign w:val="center"/>
          </w:tcPr>
          <w:p>
            <w:pPr>
              <w:spacing w:after="0"/>
            </w:pPr>
            <w:r>
              <w:rPr>
                <w:rFonts w:ascii="Calibri" w:hAnsi="Calibri" w:eastAsia="Calibri"/>
                <w:color w:val="172033"/>
                <w:sz w:val="17"/>
              </w:rPr>
              <w:t>Competências</w:t>
            </w:r>
          </w:p>
        </w:tc>
        <w:tc>
          <w:tcPr>
            <w:tcW w:type="dxa" w:w="3320"/>
            <w:vAlign w:val="center"/>
          </w:tcPr>
          <w:p>
            <w:pPr>
              <w:spacing w:after="0"/>
            </w:pPr>
            <w:r>
              <w:rPr>
                <w:rFonts w:ascii="Calibri" w:hAnsi="Calibri" w:eastAsia="Calibri"/>
                <w:color w:val="172033"/>
                <w:sz w:val="17"/>
              </w:rPr>
              <w:t>Manter todas visíveis</w:t>
            </w:r>
          </w:p>
        </w:tc>
        <w:tc>
          <w:tcPr>
            <w:tcW w:type="dxa" w:w="3840"/>
            <w:vAlign w:val="center"/>
          </w:tcPr>
          <w:p>
            <w:pPr>
              <w:spacing w:after="0"/>
            </w:pPr>
            <w:r>
              <w:rPr>
                <w:rFonts w:ascii="Calibri" w:hAnsi="Calibri" w:eastAsia="Calibri"/>
                <w:color w:val="172033"/>
                <w:sz w:val="17"/>
              </w:rPr>
              <w:t>Preserva o passivo e a ADR-044</w:t>
            </w:r>
          </w:p>
        </w:tc>
      </w:tr>
      <w:tr>
        <w:trPr>
          <w:cantSplit/>
        </w:trPr>
        <w:tc>
          <w:tcPr>
            <w:tcW w:type="dxa" w:w="2200"/>
            <w:shd w:fill="F8FAFC" w:val="clear"/>
            <w:vAlign w:val="center"/>
          </w:tcPr>
          <w:p>
            <w:pPr>
              <w:spacing w:after="0"/>
            </w:pPr>
            <w:r>
              <w:rPr>
                <w:rFonts w:ascii="Calibri" w:hAnsi="Calibri" w:eastAsia="Calibri"/>
                <w:color w:val="172033"/>
                <w:sz w:val="17"/>
              </w:rPr>
              <w:t>Escopo do controlador</w:t>
            </w:r>
          </w:p>
        </w:tc>
        <w:tc>
          <w:tcPr>
            <w:tcW w:type="dxa" w:w="3320"/>
            <w:shd w:fill="F8FAFC" w:val="clear"/>
            <w:vAlign w:val="center"/>
          </w:tcPr>
          <w:p>
            <w:pPr>
              <w:spacing w:after="0"/>
            </w:pPr>
            <w:r>
              <w:rPr>
                <w:rFonts w:ascii="Calibri" w:hAnsi="Calibri" w:eastAsia="Calibri"/>
                <w:color w:val="172033"/>
                <w:sz w:val="17"/>
              </w:rPr>
              <w:t>Minha carteira como padrão; Todas em um clique</w:t>
            </w:r>
          </w:p>
        </w:tc>
        <w:tc>
          <w:tcPr>
            <w:tcW w:type="dxa" w:w="3840"/>
            <w:shd w:fill="F8FAFC" w:val="clear"/>
            <w:vAlign w:val="center"/>
          </w:tcPr>
          <w:p>
            <w:pPr>
              <w:spacing w:after="0"/>
            </w:pPr>
            <w:r>
              <w:rPr>
                <w:rFonts w:ascii="Calibri" w:hAnsi="Calibri" w:eastAsia="Calibri"/>
                <w:color w:val="172033"/>
                <w:sz w:val="17"/>
              </w:rPr>
              <w:t>Faz o primeiro recorte real de gestão</w:t>
            </w:r>
          </w:p>
        </w:tc>
      </w:tr>
      <w:tr>
        <w:trPr>
          <w:cantSplit/>
        </w:trPr>
        <w:tc>
          <w:tcPr>
            <w:tcW w:type="dxa" w:w="2200"/>
            <w:vAlign w:val="center"/>
          </w:tcPr>
          <w:p>
            <w:pPr>
              <w:spacing w:after="0"/>
            </w:pPr>
            <w:r>
              <w:rPr>
                <w:rFonts w:ascii="Calibri" w:hAnsi="Calibri" w:eastAsia="Calibri"/>
                <w:color w:val="172033"/>
                <w:sz w:val="17"/>
              </w:rPr>
              <w:t>Aba inicial</w:t>
            </w:r>
          </w:p>
        </w:tc>
        <w:tc>
          <w:tcPr>
            <w:tcW w:type="dxa" w:w="3320"/>
            <w:vAlign w:val="center"/>
          </w:tcPr>
          <w:p>
            <w:pPr>
              <w:spacing w:after="0"/>
            </w:pPr>
            <w:r>
              <w:rPr>
                <w:rFonts w:ascii="Calibri" w:hAnsi="Calibri" w:eastAsia="Calibri"/>
                <w:color w:val="172033"/>
                <w:sz w:val="17"/>
              </w:rPr>
              <w:t>Para reanalisar quando houver trabalho do perfil</w:t>
            </w:r>
          </w:p>
        </w:tc>
        <w:tc>
          <w:tcPr>
            <w:tcW w:type="dxa" w:w="3840"/>
            <w:vAlign w:val="center"/>
          </w:tcPr>
          <w:p>
            <w:pPr>
              <w:spacing w:after="0"/>
            </w:pPr>
            <w:r>
              <w:rPr>
                <w:rFonts w:ascii="Calibri" w:hAnsi="Calibri" w:eastAsia="Calibri"/>
                <w:color w:val="172033"/>
                <w:sz w:val="17"/>
              </w:rPr>
              <w:t>Orienta pela ação, não pelo maior volume</w:t>
            </w:r>
          </w:p>
        </w:tc>
      </w:tr>
      <w:tr>
        <w:trPr>
          <w:cantSplit/>
        </w:trPr>
        <w:tc>
          <w:tcPr>
            <w:tcW w:type="dxa" w:w="2200"/>
            <w:shd w:fill="F8FAFC" w:val="clear"/>
            <w:vAlign w:val="center"/>
          </w:tcPr>
          <w:p>
            <w:pPr>
              <w:spacing w:after="0"/>
            </w:pPr>
            <w:r>
              <w:rPr>
                <w:rFonts w:ascii="Calibri" w:hAnsi="Calibri" w:eastAsia="Calibri"/>
                <w:color w:val="172033"/>
                <w:sz w:val="17"/>
              </w:rPr>
              <w:t>Agrupamento</w:t>
            </w:r>
          </w:p>
        </w:tc>
        <w:tc>
          <w:tcPr>
            <w:tcW w:type="dxa" w:w="3320"/>
            <w:shd w:fill="F8FAFC" w:val="clear"/>
            <w:vAlign w:val="center"/>
          </w:tcPr>
          <w:p>
            <w:pPr>
              <w:spacing w:after="0"/>
            </w:pPr>
            <w:r>
              <w:rPr>
                <w:rFonts w:ascii="Calibri" w:hAnsi="Calibri" w:eastAsia="Calibri"/>
                <w:color w:val="172033"/>
                <w:sz w:val="17"/>
              </w:rPr>
              <w:t>Opcional por escola; lista como padrão inicial</w:t>
            </w:r>
          </w:p>
        </w:tc>
        <w:tc>
          <w:tcPr>
            <w:tcW w:type="dxa" w:w="3840"/>
            <w:shd w:fill="F8FAFC" w:val="clear"/>
            <w:vAlign w:val="center"/>
          </w:tcPr>
          <w:p>
            <w:pPr>
              <w:spacing w:after="0"/>
            </w:pPr>
            <w:r>
              <w:rPr>
                <w:rFonts w:ascii="Calibri" w:hAnsi="Calibri" w:eastAsia="Calibri"/>
                <w:color w:val="172033"/>
                <w:sz w:val="17"/>
              </w:rPr>
              <w:t>Evita esconder cronologia antes de validar a regra</w:t>
            </w:r>
          </w:p>
        </w:tc>
      </w:tr>
      <w:tr>
        <w:trPr>
          <w:cantSplit/>
        </w:trPr>
        <w:tc>
          <w:tcPr>
            <w:tcW w:type="dxa" w:w="2200"/>
            <w:vAlign w:val="center"/>
          </w:tcPr>
          <w:p>
            <w:pPr>
              <w:spacing w:after="0"/>
            </w:pPr>
            <w:r>
              <w:rPr>
                <w:rFonts w:ascii="Calibri" w:hAnsi="Calibri" w:eastAsia="Calibri"/>
                <w:color w:val="172033"/>
                <w:sz w:val="17"/>
              </w:rPr>
              <w:t>Tempo</w:t>
            </w:r>
          </w:p>
        </w:tc>
        <w:tc>
          <w:tcPr>
            <w:tcW w:type="dxa" w:w="3320"/>
            <w:vAlign w:val="center"/>
          </w:tcPr>
          <w:p>
            <w:pPr>
              <w:spacing w:after="0"/>
            </w:pPr>
            <w:r>
              <w:rPr>
                <w:rFonts w:ascii="Calibri" w:hAnsi="Calibri" w:eastAsia="Calibri"/>
                <w:color w:val="172033"/>
                <w:sz w:val="17"/>
              </w:rPr>
              <w:t>Hoje, 1–3, 4–7, 8–15 e 16+</w:t>
            </w:r>
          </w:p>
        </w:tc>
        <w:tc>
          <w:tcPr>
            <w:tcW w:type="dxa" w:w="3840"/>
            <w:vAlign w:val="center"/>
          </w:tcPr>
          <w:p>
            <w:pPr>
              <w:spacing w:after="0"/>
            </w:pPr>
            <w:r>
              <w:rPr>
                <w:rFonts w:ascii="Calibri" w:hAnsi="Calibri" w:eastAsia="Calibri"/>
                <w:color w:val="172033"/>
                <w:sz w:val="17"/>
              </w:rPr>
              <w:t>Aderente à distribuição real observada</w:t>
            </w:r>
          </w:p>
        </w:tc>
      </w:tr>
      <w:tr>
        <w:trPr>
          <w:cantSplit/>
        </w:trPr>
        <w:tc>
          <w:tcPr>
            <w:tcW w:type="dxa" w:w="2200"/>
            <w:shd w:fill="F8FAFC" w:val="clear"/>
            <w:vAlign w:val="center"/>
          </w:tcPr>
          <w:p>
            <w:pPr>
              <w:spacing w:after="0"/>
            </w:pPr>
            <w:r>
              <w:rPr>
                <w:rFonts w:ascii="Calibri" w:hAnsi="Calibri" w:eastAsia="Calibri"/>
                <w:color w:val="172033"/>
                <w:sz w:val="17"/>
              </w:rPr>
              <w:t>Ações de grupo</w:t>
            </w:r>
          </w:p>
        </w:tc>
        <w:tc>
          <w:tcPr>
            <w:tcW w:type="dxa" w:w="3320"/>
            <w:shd w:fill="F8FAFC" w:val="clear"/>
            <w:vAlign w:val="center"/>
          </w:tcPr>
          <w:p>
            <w:pPr>
              <w:spacing w:after="0"/>
            </w:pPr>
            <w:r>
              <w:rPr>
                <w:rFonts w:ascii="Calibri" w:hAnsi="Calibri" w:eastAsia="Calibri"/>
                <w:color w:val="172033"/>
                <w:sz w:val="17"/>
              </w:rPr>
              <w:t>Não criar ainda</w:t>
            </w:r>
          </w:p>
        </w:tc>
        <w:tc>
          <w:tcPr>
            <w:tcW w:type="dxa" w:w="3840"/>
            <w:shd w:fill="F8FAFC" w:val="clear"/>
            <w:vAlign w:val="center"/>
          </w:tcPr>
          <w:p>
            <w:pPr>
              <w:spacing w:after="0"/>
            </w:pPr>
            <w:r>
              <w:rPr>
                <w:rFonts w:ascii="Calibri" w:hAnsi="Calibri" w:eastAsia="Calibri"/>
                <w:color w:val="172033"/>
                <w:sz w:val="17"/>
              </w:rPr>
              <w:t>Contato e prontuário exigem contexto de pendência/competência</w:t>
            </w:r>
          </w:p>
        </w:tc>
      </w:tr>
      <w:tr>
        <w:trPr>
          <w:cantSplit/>
        </w:trPr>
        <w:tc>
          <w:tcPr>
            <w:tcW w:type="dxa" w:w="2200"/>
            <w:vAlign w:val="center"/>
          </w:tcPr>
          <w:p>
            <w:pPr>
              <w:spacing w:after="0"/>
            </w:pPr>
            <w:r>
              <w:rPr>
                <w:rFonts w:ascii="Calibri" w:hAnsi="Calibri" w:eastAsia="Calibri"/>
                <w:color w:val="172033"/>
                <w:sz w:val="17"/>
              </w:rPr>
              <w:t>Figma</w:t>
            </w:r>
          </w:p>
        </w:tc>
        <w:tc>
          <w:tcPr>
            <w:tcW w:type="dxa" w:w="3320"/>
            <w:vAlign w:val="center"/>
          </w:tcPr>
          <w:p>
            <w:pPr>
              <w:spacing w:after="0"/>
            </w:pPr>
            <w:r>
              <w:rPr>
                <w:rFonts w:ascii="Calibri" w:hAnsi="Calibri" w:eastAsia="Calibri"/>
                <w:color w:val="172033"/>
                <w:sz w:val="17"/>
              </w:rPr>
              <w:t>Não é dependência</w:t>
            </w:r>
          </w:p>
        </w:tc>
        <w:tc>
          <w:tcPr>
            <w:tcW w:type="dxa" w:w="3840"/>
            <w:vAlign w:val="center"/>
          </w:tcPr>
          <w:p>
            <w:pPr>
              <w:spacing w:after="0"/>
            </w:pPr>
            <w:r>
              <w:rPr>
                <w:rFonts w:ascii="Calibri" w:hAnsi="Calibri" w:eastAsia="Calibri"/>
                <w:color w:val="172033"/>
                <w:sz w:val="17"/>
              </w:rPr>
              <w:t>Wireframes e especificação estão neste Word; implementação pode começar sem cota externa</w:t>
            </w:r>
          </w:p>
        </w:tc>
      </w:tr>
    </w:tbl>
    <w:p>
      <w:pPr>
        <w:spacing w:after="0"/>
      </w:pPr>
    </w:p>
    <w:p>
      <w:r>
        <w:br w:type="page"/>
      </w:r>
    </w:p>
    <w:p>
      <w:pPr>
        <w:pStyle w:val="Heading1"/>
        <w:keepNext/>
        <w:keepLines/>
        <w:widowControl/>
      </w:pPr>
      <w:r>
        <w:t>15. O que não fazer</w:t>
      </w:r>
    </w:p>
    <w:p>
      <w:pPr>
        <w:pStyle w:val="ReportBullet"/>
        <w:widowControl/>
      </w:pPr>
      <w:r>
        <w:t>Não voltar a filtrar pendências pela competência global.</w:t>
      </w:r>
    </w:p>
    <w:p>
      <w:pPr>
        <w:pStyle w:val="ReportBullet"/>
        <w:widowControl/>
      </w:pPr>
      <w:r>
        <w:t>Não mandar a consolidação ignorar Assessoria vazia.</w:t>
      </w:r>
    </w:p>
    <w:p>
      <w:pPr>
        <w:pStyle w:val="ReportBullet"/>
        <w:widowControl/>
      </w:pPr>
      <w:r>
        <w:t>Não aumentar apenas o timeout de dez segundos.</w:t>
      </w:r>
    </w:p>
    <w:p>
      <w:pPr>
        <w:pStyle w:val="ReportBullet"/>
        <w:widowControl/>
      </w:pPr>
      <w:r>
        <w:t>Não deduplicar despesas por conteúdo.</w:t>
      </w:r>
    </w:p>
    <w:p>
      <w:pPr>
        <w:pStyle w:val="ReportBullet"/>
        <w:widowControl/>
      </w:pPr>
      <w:r>
        <w:t>Não redesenhar todo o prontuário nem todo o histórico nesta primeira correção.</w:t>
      </w:r>
    </w:p>
    <w:p>
      <w:pPr>
        <w:pStyle w:val="ReportBullet"/>
        <w:widowControl/>
      </w:pPr>
      <w:r>
        <w:t>Não manter regras e ações essenciais espalhadas em MutationObservers.</w:t>
      </w:r>
    </w:p>
    <w:p>
      <w:pPr>
        <w:pStyle w:val="ReportBullet"/>
        <w:widowControl/>
      </w:pPr>
      <w:r>
        <w:t>Não tornar agrupamento por escola padrão sem preservar a prioridade global.</w:t>
      </w:r>
    </w:p>
    <w:p>
      <w:pPr>
        <w:pStyle w:val="ReportBullet"/>
        <w:widowControl/>
      </w:pPr>
      <w:r>
        <w:t>Não oferecer contato em pendência fechada nem cancelar sem confirmação.</w:t>
      </w:r>
    </w:p>
    <w:p>
      <w:pPr>
        <w:pStyle w:val="ReportBullet"/>
        <w:widowControl/>
      </w:pPr>
      <w:r>
        <w:t>Não esconder Canceladas se o domínio autoriza reabertura.</w:t>
      </w:r>
    </w:p>
    <w:p>
      <w:pPr>
        <w:pStyle w:val="ReportBullet"/>
        <w:widowControl/>
      </w:pPr>
      <w:r>
        <w:t>Não usar o PR 195 como referência, dependência ou fonte de código.</w:t>
      </w:r>
    </w:p>
    <w:p>
      <w:pPr>
        <w:pStyle w:val="Heading1"/>
        <w:keepNext/>
        <w:keepLines/>
        <w:widowControl/>
      </w:pPr>
      <w:r>
        <w:t>Conclusão</w:t>
      </w:r>
    </w:p>
    <w:p>
      <w:pPr>
        <w:widowControl/>
      </w:pPr>
      <w:r>
        <w:t>O caminho recomendado não muda as regras de produto acertadas. Ele impede gravações repetidas, elimina uma divergência real da Assessoria, torna módulos funcionais determinísticos, corrige a verdade operacional da fila e reorganiza a experiência em torno de localizar, priorizar e agir.</w:t>
      </w:r>
    </w:p>
    <w:p>
      <w:pPr>
        <w:widowControl/>
      </w:pPr>
      <w:r>
        <w:t>A gestão de pendências não precisa de uma reforma de banco para começar a melhorar. R.A., controlador, escola, datas e estados já existem. O primeiro ganho virá de usar esses dados com hierarquia, reduzir ações simultâneas e fazer a fila abrir onde cada perfil tem trabalho. A robustez definitiva — idempotência e resposta autoritativa completa — permanece no plano, mas em entrega separada e controlável.</w:t>
      </w:r>
    </w:p>
    <w:tbl>
      <w:tblPr>
        <w:tblW w:type="dxa" w:w="9360"/>
        <w:jc w:val="center"/>
        <w:tblLook w:firstColumn="1" w:firstRow="1" w:lastColumn="0" w:lastRow="0" w:noHBand="0" w:noVBand="1" w:val="04A0"/>
        <w:tblInd w:w="0" w:type="dxa"/>
        <w:tblLayout w:type="fixed"/>
        <w:tblBorders>
          <w:top w:val="single" w:sz="0" w:space="0" w:color="ECFDF3"/>
          <w:left w:val="single" w:sz="0" w:space="0" w:color="ECFDF3"/>
          <w:bottom w:val="single" w:sz="0" w:space="0" w:color="ECFDF3"/>
          <w:right w:val="single" w:sz="0" w:space="0" w:color="ECFDF3"/>
        </w:tblBorders>
      </w:tblPr>
      <w:tblGrid>
        <w:gridCol w:w="120"/>
        <w:gridCol w:w="9240"/>
      </w:tblGrid>
      <w:tr>
        <w:tc>
          <w:tcPr>
            <w:tcW w:type="dxa" w:w="120"/>
            <w:tcMar>
              <w:top w:w="120" w:type="dxa"/>
              <w:start w:w="0" w:type="dxa"/>
              <w:bottom w:w="120" w:type="dxa"/>
              <w:end w:w="0" w:type="dxa"/>
            </w:tcMar>
            <w:shd w:fill="067647" w:val="clear"/>
          </w:tcPr>
          <w:p/>
        </w:tc>
        <w:tc>
          <w:tcPr>
            <w:tcW w:type="dxa" w:w="9240"/>
            <w:tcMar>
              <w:top w:w="150" w:type="dxa"/>
              <w:start w:w="180" w:type="dxa"/>
              <w:bottom w:w="150" w:type="dxa"/>
              <w:end w:w="180" w:type="dxa"/>
            </w:tcMar>
            <w:shd w:fill="ECFDF3" w:val="clear"/>
          </w:tcPr>
          <w:p>
            <w:pPr>
              <w:spacing w:after="80"/>
            </w:pPr>
            <w:r>
              <w:rPr>
                <w:rFonts w:ascii="Calibri" w:hAnsi="Calibri" w:eastAsia="Calibri"/>
                <w:b/>
                <w:color w:val="067647"/>
                <w:sz w:val="22"/>
              </w:rPr>
              <w:t>Recomendação final</w:t>
            </w:r>
          </w:p>
          <w:p>
            <w:pPr>
              <w:widowControl/>
              <w:spacing w:after="0"/>
            </w:pPr>
            <w:r>
              <w:t>Aprovar as oito etapas na ordem proposta, materializadas em nove PRs porque a experiência de pendências foi dividida em 7A e 7B. Cada avanço depende do gate anterior; o Word contém especificação suficiente para iniciar o desenvolvimento sem depender de Figma.</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0" w:space="0" w:color="6D28D9"/>
          <w:left w:val="single" w:sz="0" w:space="0" w:color="6D28D9"/>
          <w:bottom w:val="single" w:sz="0" w:space="0" w:color="6D28D9"/>
          <w:right w:val="single" w:sz="0" w:space="0" w:color="6D28D9"/>
        </w:tblBorders>
      </w:tblPr>
      <w:tblGrid>
        <w:gridCol w:w="9360"/>
      </w:tblGrid>
      <w:tr>
        <w:tc>
          <w:tcPr>
            <w:tcW w:type="dxa" w:w="9360"/>
            <w:tcMar>
              <w:top w:w="360" w:type="dxa"/>
              <w:start w:w="360" w:type="dxa"/>
              <w:bottom w:w="360" w:type="dxa"/>
              <w:end w:w="360" w:type="dxa"/>
            </w:tcMar>
            <w:shd w:fill="4C1D95" w:val="clear"/>
          </w:tcPr>
          <w:p>
            <w:pPr>
              <w:jc w:val="left"/>
            </w:pPr>
            <w:r>
              <w:rPr>
                <w:rFonts w:ascii="Calibri" w:hAnsi="Calibri" w:eastAsia="Calibri"/>
                <w:b/>
                <w:color w:val="D8B4FE"/>
                <w:sz w:val="20"/>
              </w:rPr>
              <w:t>ANEXO A</w:t>
            </w:r>
          </w:p>
          <w:p>
            <w:pPr>
              <w:spacing w:before="120" w:after="160"/>
            </w:pPr>
            <w:r>
              <w:rPr>
                <w:rFonts w:ascii="Calibri" w:hAnsi="Calibri" w:eastAsia="Calibri"/>
                <w:b/>
                <w:color w:val="FFFFFF"/>
                <w:sz w:val="46"/>
              </w:rPr>
              <w:t>Evidências visuais</w:t>
            </w:r>
          </w:p>
          <w:p>
            <w:r>
              <w:rPr>
                <w:rFonts w:ascii="Calibri" w:hAnsi="Calibri" w:eastAsia="Calibri"/>
                <w:color w:val="EDE9FE"/>
                <w:sz w:val="22"/>
              </w:rPr>
              <w:t>Capturas fornecidas pelos usuários, organizadas por incidente e fluxo.</w:t>
            </w:r>
          </w:p>
        </w:tc>
      </w:tr>
    </w:tbl>
    <w:p/>
    <w:p>
      <w:pPr>
        <w:pStyle w:val="Heading1"/>
        <w:keepNext/>
        <w:keepLines/>
        <w:widowControl/>
      </w:pPr>
      <w:r>
        <w:t>A.1 Despesa e consolidação</w:t>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insideH w:val="single" w:sz="6" w:space="0" w:color="E4E7EC"/>
          <w:insideV w:val="single" w:sz="6" w:space="0" w:color="E4E7EC"/>
        </w:tblBorders>
      </w:tblPr>
      <w:tblGrid>
        <w:gridCol w:w="4680"/>
        <w:gridCol w:w="4680"/>
      </w:tblGrid>
      <w:tr>
        <w:trPr>
          <w:cantSplit/>
        </w:trPr>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1" name="Picture 1" title="Figura 1" descr="Tela móvel com modal Editar despesa a identificar e relato de duplo clique em Salvar alterações."/>
                  <wp:cNvGraphicFramePr>
                    <a:graphicFrameLocks noChangeAspect="1"/>
                  </wp:cNvGraphicFramePr>
                  <a:graphic>
                    <a:graphicData uri="http://schemas.openxmlformats.org/drawingml/2006/picture">
                      <pic:pic>
                        <pic:nvPicPr>
                          <pic:cNvPr id="0" name="01-1000332523.jpg"/>
                          <pic:cNvPicPr/>
                        </pic:nvPicPr>
                        <pic:blipFill>
                          <a:blip r:embed="rId11"/>
                          <a:stretch>
                            <a:fillRect/>
                          </a:stretch>
                        </pic:blipFill>
                        <pic:spPr>
                          <a:xfrm>
                            <a:off x="0" y="0"/>
                            <a:ext cx="2148840" cy="4609802"/>
                          </a:xfrm>
                          <a:prstGeom prst="rect"/>
                        </pic:spPr>
                      </pic:pic>
                    </a:graphicData>
                  </a:graphic>
                </wp:inline>
              </w:drawing>
            </w:r>
          </w:p>
        </w:tc>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2" name="Picture 2" title="Figura 4" descr="Recorte móvel da avaliação com o campo Não analisado circulado em azul."/>
                  <wp:cNvGraphicFramePr>
                    <a:graphicFrameLocks noChangeAspect="1"/>
                  </wp:cNvGraphicFramePr>
                  <a:graphic>
                    <a:graphicData uri="http://schemas.openxmlformats.org/drawingml/2006/picture">
                      <pic:pic>
                        <pic:nvPicPr>
                          <pic:cNvPr id="0" name="04-1000332489.jpg"/>
                          <pic:cNvPicPr/>
                        </pic:nvPicPr>
                        <pic:blipFill>
                          <a:blip r:embed="rId12"/>
                          <a:stretch>
                            <a:fillRect/>
                          </a:stretch>
                        </pic:blipFill>
                        <pic:spPr>
                          <a:xfrm>
                            <a:off x="0" y="0"/>
                            <a:ext cx="2148840" cy="4609802"/>
                          </a:xfrm>
                          <a:prstGeom prst="rect"/>
                        </pic:spPr>
                      </pic:pic>
                    </a:graphicData>
                  </a:graphic>
                </wp:inline>
              </w:drawing>
            </w:r>
          </w:p>
        </w:tc>
      </w:tr>
      <w:tr>
        <w:trPr>
          <w:cantSplit/>
        </w:trPr>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1 — Relato de lentidão e duplicação ao salvar despesa</w:t>
            </w:r>
          </w:p>
        </w:tc>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4 — Análise técnica “Não analisado” destacada</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tblBorders>
      </w:tblPr>
      <w:tblGrid>
        <w:gridCol w:w="9360"/>
      </w:tblGrid>
      <w:tr>
        <w:trPr>
          <w:cantSplit/>
        </w:trPr>
        <w:tc>
          <w:tcPr>
            <w:tcW w:type="dxa" w:w="9360"/>
            <w:tcMar>
              <w:top w:w="100" w:type="dxa"/>
              <w:start w:w="100" w:type="dxa"/>
              <w:bottom w:w="100" w:type="dxa"/>
              <w:end w:w="100" w:type="dxa"/>
            </w:tcMar>
            <w:shd w:fill="F8FAFC" w:val="clear"/>
          </w:tcPr>
          <w:p>
            <w:pPr>
              <w:jc w:val="center"/>
            </w:pPr>
            <w:r>
              <w:drawing>
                <wp:inline xmlns:a="http://schemas.openxmlformats.org/drawingml/2006/main" xmlns:pic="http://schemas.openxmlformats.org/drawingml/2006/picture">
                  <wp:extent cx="5212080" cy="6404604"/>
                  <wp:docPr id="3" name="Picture 3" title="Figura 2" descr="Tela de acompanhamento mensal mostrando alerta para preencher Consulta Assessoria antes de consolidar."/>
                  <wp:cNvGraphicFramePr>
                    <a:graphicFrameLocks noChangeAspect="1"/>
                  </wp:cNvGraphicFramePr>
                  <a:graphic>
                    <a:graphicData uri="http://schemas.openxmlformats.org/drawingml/2006/picture">
                      <pic:pic>
                        <pic:nvPicPr>
                          <pic:cNvPr id="0" name="02-1000332503.jpg"/>
                          <pic:cNvPicPr/>
                        </pic:nvPicPr>
                        <pic:blipFill>
                          <a:blip r:embed="rId13"/>
                          <a:stretch>
                            <a:fillRect/>
                          </a:stretch>
                        </pic:blipFill>
                        <pic:spPr>
                          <a:xfrm>
                            <a:off x="0" y="0"/>
                            <a:ext cx="5212080" cy="6404604"/>
                          </a:xfrm>
                          <a:prstGeom prst="rect"/>
                        </pic:spPr>
                      </pic:pic>
                    </a:graphicData>
                  </a:graphic>
                </wp:inline>
              </w:drawing>
            </w:r>
          </w:p>
        </w:tc>
      </w:tr>
      <w:tr>
        <w:trPr>
          <w:cantSplit/>
        </w:trPr>
        <w:tc>
          <w:tcPr>
            <w:tcW w:type="dxa" w:w="9360"/>
            <w:tcMar>
              <w:top w:w="80" w:type="dxa"/>
              <w:start w:w="120" w:type="dxa"/>
              <w:bottom w:w="80" w:type="dxa"/>
              <w:end w:w="120" w:type="dxa"/>
            </w:tcMar>
          </w:tcPr>
          <w:p>
            <w:pPr>
              <w:spacing w:after="0"/>
              <w:jc w:val="center"/>
            </w:pPr>
            <w:r>
              <w:rPr>
                <w:rFonts w:ascii="Calibri" w:hAnsi="Calibri" w:eastAsia="Calibri"/>
                <w:i/>
                <w:color w:val="667085"/>
                <w:sz w:val="17"/>
              </w:rPr>
              <w:t>Figura 2 — Mensagem de consolidação cita Consulta Assessoria</w:t>
            </w:r>
          </w:p>
        </w:tc>
      </w:tr>
    </w:tbl>
    <w:p>
      <w:pPr>
        <w:spacing w:after="0"/>
      </w:pP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tblBorders>
      </w:tblPr>
      <w:tblGrid>
        <w:gridCol w:w="9360"/>
      </w:tblGrid>
      <w:tr>
        <w:trPr>
          <w:cantSplit/>
        </w:trPr>
        <w:tc>
          <w:tcPr>
            <w:tcW w:type="dxa" w:w="9360"/>
            <w:tcMar>
              <w:top w:w="100" w:type="dxa"/>
              <w:start w:w="100" w:type="dxa"/>
              <w:bottom w:w="100" w:type="dxa"/>
              <w:end w:w="100" w:type="dxa"/>
            </w:tcMar>
            <w:shd w:fill="F8FAFC" w:val="clear"/>
          </w:tcPr>
          <w:p>
            <w:pPr>
              <w:jc w:val="center"/>
            </w:pPr>
            <w:r>
              <w:drawing>
                <wp:inline xmlns:a="http://schemas.openxmlformats.org/drawingml/2006/main" xmlns:pic="http://schemas.openxmlformats.org/drawingml/2006/picture">
                  <wp:extent cx="5212080" cy="2911435"/>
                  <wp:docPr id="4" name="Picture 4" title="Figura 3" descr="Tela desktop da escola 04.10.002 em março, com despesa a identificar e alerta de consolidação."/>
                  <wp:cNvGraphicFramePr>
                    <a:graphicFrameLocks noChangeAspect="1"/>
                  </wp:cNvGraphicFramePr>
                  <a:graphic>
                    <a:graphicData uri="http://schemas.openxmlformats.org/drawingml/2006/picture">
                      <pic:pic>
                        <pic:nvPicPr>
                          <pic:cNvPr id="0" name="03-1000332485.jpg"/>
                          <pic:cNvPicPr/>
                        </pic:nvPicPr>
                        <pic:blipFill>
                          <a:blip r:embed="rId14"/>
                          <a:stretch>
                            <a:fillRect/>
                          </a:stretch>
                        </pic:blipFill>
                        <pic:spPr>
                          <a:xfrm>
                            <a:off x="0" y="0"/>
                            <a:ext cx="5212080" cy="2911435"/>
                          </a:xfrm>
                          <a:prstGeom prst="rect"/>
                        </pic:spPr>
                      </pic:pic>
                    </a:graphicData>
                  </a:graphic>
                </wp:inline>
              </w:drawing>
            </w:r>
          </w:p>
        </w:tc>
      </w:tr>
      <w:tr>
        <w:trPr>
          <w:cantSplit/>
        </w:trPr>
        <w:tc>
          <w:tcPr>
            <w:tcW w:type="dxa" w:w="9360"/>
            <w:tcMar>
              <w:top w:w="80" w:type="dxa"/>
              <w:start w:w="120" w:type="dxa"/>
              <w:bottom w:w="80" w:type="dxa"/>
              <w:end w:w="120" w:type="dxa"/>
            </w:tcMar>
          </w:tcPr>
          <w:p>
            <w:pPr>
              <w:spacing w:after="0"/>
              <w:jc w:val="center"/>
            </w:pPr>
            <w:r>
              <w:rPr>
                <w:rFonts w:ascii="Calibri" w:hAnsi="Calibri" w:eastAsia="Calibri"/>
                <w:i/>
                <w:color w:val="667085"/>
                <w:sz w:val="17"/>
              </w:rPr>
              <w:t>Figura 3 — Mesmo contexto com despesa a identificar e Assessoria visualmente N/A</w:t>
            </w:r>
          </w:p>
        </w:tc>
      </w:tr>
    </w:tbl>
    <w:p>
      <w:pPr>
        <w:spacing w:after="0"/>
      </w:pPr>
    </w:p>
    <w:p>
      <w:r>
        <w:br w:type="page"/>
      </w:r>
    </w:p>
    <w:p>
      <w:pPr>
        <w:pStyle w:val="Heading1"/>
        <w:keepNext/>
        <w:keepLines/>
        <w:widowControl/>
      </w:pPr>
      <w:r>
        <w:t>A.2 Lista, filtros e seletor</w:t>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insideH w:val="single" w:sz="6" w:space="0" w:color="E4E7EC"/>
          <w:insideV w:val="single" w:sz="6" w:space="0" w:color="E4E7EC"/>
        </w:tblBorders>
      </w:tblPr>
      <w:tblGrid>
        <w:gridCol w:w="4680"/>
        <w:gridCol w:w="4680"/>
      </w:tblGrid>
      <w:tr>
        <w:trPr>
          <w:cantSplit/>
        </w:trPr>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5" name="Picture 5" title="Figura 5" descr="Lista móvel com vários cartões semelhantes da mesma escola e cinco ações empilhadas."/>
                  <wp:cNvGraphicFramePr>
                    <a:graphicFrameLocks noChangeAspect="1"/>
                  </wp:cNvGraphicFramePr>
                  <a:graphic>
                    <a:graphicData uri="http://schemas.openxmlformats.org/drawingml/2006/picture">
                      <pic:pic>
                        <pic:nvPicPr>
                          <pic:cNvPr id="0" name="01-1000332603.jpg"/>
                          <pic:cNvPicPr/>
                        </pic:nvPicPr>
                        <pic:blipFill>
                          <a:blip r:embed="rId15"/>
                          <a:stretch>
                            <a:fillRect/>
                          </a:stretch>
                        </pic:blipFill>
                        <pic:spPr>
                          <a:xfrm>
                            <a:off x="0" y="0"/>
                            <a:ext cx="2148840" cy="4609802"/>
                          </a:xfrm>
                          <a:prstGeom prst="rect"/>
                        </pic:spPr>
                      </pic:pic>
                    </a:graphicData>
                  </a:graphic>
                </wp:inline>
              </w:drawing>
            </w:r>
          </w:p>
        </w:tc>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6" name="Picture 6" title="Figura 6" descr="Tela móvel de Pendências operacionais com 21 ativas, filtros e cartões repetidos."/>
                  <wp:cNvGraphicFramePr>
                    <a:graphicFrameLocks noChangeAspect="1"/>
                  </wp:cNvGraphicFramePr>
                  <a:graphic>
                    <a:graphicData uri="http://schemas.openxmlformats.org/drawingml/2006/picture">
                      <pic:pic>
                        <pic:nvPicPr>
                          <pic:cNvPr id="0" name="02-1000332605.jpg"/>
                          <pic:cNvPicPr/>
                        </pic:nvPicPr>
                        <pic:blipFill>
                          <a:blip r:embed="rId16"/>
                          <a:stretch>
                            <a:fillRect/>
                          </a:stretch>
                        </pic:blipFill>
                        <pic:spPr>
                          <a:xfrm>
                            <a:off x="0" y="0"/>
                            <a:ext cx="2148840" cy="4609802"/>
                          </a:xfrm>
                          <a:prstGeom prst="rect"/>
                        </pic:spPr>
                      </pic:pic>
                    </a:graphicData>
                  </a:graphic>
                </wp:inline>
              </w:drawing>
            </w:r>
          </w:p>
        </w:tc>
      </w:tr>
      <w:tr>
        <w:trPr>
          <w:cantSplit/>
        </w:trPr>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5 — Cartões longos e ações repetidas</w:t>
            </w:r>
          </w:p>
        </w:tc>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6 — Topo, filtros e início da lista</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insideH w:val="single" w:sz="6" w:space="0" w:color="E4E7EC"/>
          <w:insideV w:val="single" w:sz="6" w:space="0" w:color="E4E7EC"/>
        </w:tblBorders>
      </w:tblPr>
      <w:tblGrid>
        <w:gridCol w:w="4680"/>
        <w:gridCol w:w="4680"/>
      </w:tblGrid>
      <w:tr>
        <w:trPr>
          <w:cantSplit/>
        </w:trPr>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7" name="Picture 7" title="Figura 7" descr="Drawer móvel de detalhe da Declaração BB Ágil com contexto, erros, observações, tentativas, contatos e linha do tempo."/>
                  <wp:cNvGraphicFramePr>
                    <a:graphicFrameLocks noChangeAspect="1"/>
                  </wp:cNvGraphicFramePr>
                  <a:graphic>
                    <a:graphicData uri="http://schemas.openxmlformats.org/drawingml/2006/picture">
                      <pic:pic>
                        <pic:nvPicPr>
                          <pic:cNvPr id="0" name="03-1000332607.jpg"/>
                          <pic:cNvPicPr/>
                        </pic:nvPicPr>
                        <pic:blipFill>
                          <a:blip r:embed="rId17"/>
                          <a:stretch>
                            <a:fillRect/>
                          </a:stretch>
                        </pic:blipFill>
                        <pic:spPr>
                          <a:xfrm>
                            <a:off x="0" y="0"/>
                            <a:ext cx="2148840" cy="4609802"/>
                          </a:xfrm>
                          <a:prstGeom prst="rect"/>
                        </pic:spPr>
                      </pic:pic>
                    </a:graphicData>
                  </a:graphic>
                </wp:inline>
              </w:drawing>
            </w:r>
          </w:p>
        </w:tc>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8" name="Picture 8" title="Figura 8" descr="Lista de seleção móvel escura e alta com Todas e duas escolas, sem busca."/>
                  <wp:cNvGraphicFramePr>
                    <a:graphicFrameLocks noChangeAspect="1"/>
                  </wp:cNvGraphicFramePr>
                  <a:graphic>
                    <a:graphicData uri="http://schemas.openxmlformats.org/drawingml/2006/picture">
                      <pic:pic>
                        <pic:nvPicPr>
                          <pic:cNvPr id="0" name="04-1000332609.jpg"/>
                          <pic:cNvPicPr/>
                        </pic:nvPicPr>
                        <pic:blipFill>
                          <a:blip r:embed="rId18"/>
                          <a:stretch>
                            <a:fillRect/>
                          </a:stretch>
                        </pic:blipFill>
                        <pic:spPr>
                          <a:xfrm>
                            <a:off x="0" y="0"/>
                            <a:ext cx="2148840" cy="4609802"/>
                          </a:xfrm>
                          <a:prstGeom prst="rect"/>
                        </pic:spPr>
                      </pic:pic>
                    </a:graphicData>
                  </a:graphic>
                </wp:inline>
              </w:drawing>
            </w:r>
          </w:p>
        </w:tc>
      </w:tr>
      <w:tr>
        <w:trPr>
          <w:cantSplit/>
        </w:trPr>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7 — Detalhe com muitas seções expandidas</w:t>
            </w:r>
          </w:p>
        </w:tc>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8 — Select nativo de escola em Android</w:t>
            </w:r>
          </w:p>
        </w:tc>
      </w:tr>
    </w:tbl>
    <w:p>
      <w:pPr>
        <w:spacing w:after="0"/>
      </w:pPr>
    </w:p>
    <w:p>
      <w:r>
        <w:br w:type="page"/>
      </w:r>
    </w:p>
    <w:p>
      <w:pPr>
        <w:pStyle w:val="Heading1"/>
        <w:keepNext/>
        <w:keepLines/>
        <w:widowControl/>
      </w:pPr>
      <w:r>
        <w:t>A.3 Aguardando reanálise, detalhe e decisão</w:t>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insideH w:val="single" w:sz="6" w:space="0" w:color="E4E7EC"/>
          <w:insideV w:val="single" w:sz="6" w:space="0" w:color="E4E7EC"/>
        </w:tblBorders>
      </w:tblPr>
      <w:tblGrid>
        <w:gridCol w:w="4680"/>
        <w:gridCol w:w="4680"/>
      </w:tblGrid>
      <w:tr>
        <w:trPr>
          <w:cantSplit/>
        </w:trPr>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9" name="Picture 9" title="Figura 9" descr="Dois cartões aguardando reanálise com seis ações possíveis em cada um."/>
                  <wp:cNvGraphicFramePr>
                    <a:graphicFrameLocks noChangeAspect="1"/>
                  </wp:cNvGraphicFramePr>
                  <a:graphic>
                    <a:graphicData uri="http://schemas.openxmlformats.org/drawingml/2006/picture">
                      <pic:pic>
                        <pic:nvPicPr>
                          <pic:cNvPr id="0" name="05-1000332611.jpg"/>
                          <pic:cNvPicPr/>
                        </pic:nvPicPr>
                        <pic:blipFill>
                          <a:blip r:embed="rId19"/>
                          <a:stretch>
                            <a:fillRect/>
                          </a:stretch>
                        </pic:blipFill>
                        <pic:spPr>
                          <a:xfrm>
                            <a:off x="0" y="0"/>
                            <a:ext cx="2148840" cy="4609802"/>
                          </a:xfrm>
                          <a:prstGeom prst="rect"/>
                        </pic:spPr>
                      </pic:pic>
                    </a:graphicData>
                  </a:graphic>
                </wp:inline>
              </w:drawing>
            </w:r>
          </w:p>
        </w:tc>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10" name="Picture 10" title="Figura 10" descr="Drawer móvel de Notas Fiscais com duas tentativas e observação de reanálise."/>
                  <wp:cNvGraphicFramePr>
                    <a:graphicFrameLocks noChangeAspect="1"/>
                  </wp:cNvGraphicFramePr>
                  <a:graphic>
                    <a:graphicData uri="http://schemas.openxmlformats.org/drawingml/2006/picture">
                      <pic:pic>
                        <pic:nvPicPr>
                          <pic:cNvPr id="0" name="06-1000332613.jpg"/>
                          <pic:cNvPicPr/>
                        </pic:nvPicPr>
                        <pic:blipFill>
                          <a:blip r:embed="rId20"/>
                          <a:stretch>
                            <a:fillRect/>
                          </a:stretch>
                        </pic:blipFill>
                        <pic:spPr>
                          <a:xfrm>
                            <a:off x="0" y="0"/>
                            <a:ext cx="2148840" cy="4609802"/>
                          </a:xfrm>
                          <a:prstGeom prst="rect"/>
                        </pic:spPr>
                      </pic:pic>
                    </a:graphicData>
                  </a:graphic>
                </wp:inline>
              </w:drawing>
            </w:r>
          </w:p>
        </w:tc>
      </w:tr>
      <w:tr>
        <w:trPr>
          <w:cantSplit/>
        </w:trPr>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9 — Aba aguardando reanálise</w:t>
            </w:r>
          </w:p>
        </w:tc>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10 — Detalhe das tentativas</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insideH w:val="single" w:sz="6" w:space="0" w:color="E4E7EC"/>
          <w:insideV w:val="single" w:sz="6" w:space="0" w:color="E4E7EC"/>
        </w:tblBorders>
      </w:tblPr>
      <w:tblGrid>
        <w:gridCol w:w="4680"/>
        <w:gridCol w:w="4680"/>
      </w:tblGrid>
      <w:tr>
        <w:trPr>
          <w:cantSplit/>
        </w:trPr>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11" name="Picture 11" title="Figura 11" descr="Mesmo detalhe de Notas Fiscais com botões Reanalisar, substituição, prontuário, contato e cancelar."/>
                  <wp:cNvGraphicFramePr>
                    <a:graphicFrameLocks noChangeAspect="1"/>
                  </wp:cNvGraphicFramePr>
                  <a:graphic>
                    <a:graphicData uri="http://schemas.openxmlformats.org/drawingml/2006/picture">
                      <pic:pic>
                        <pic:nvPicPr>
                          <pic:cNvPr id="0" name="07-1000332615.jpg"/>
                          <pic:cNvPicPr/>
                        </pic:nvPicPr>
                        <pic:blipFill>
                          <a:blip r:embed="rId21"/>
                          <a:stretch>
                            <a:fillRect/>
                          </a:stretch>
                        </pic:blipFill>
                        <pic:spPr>
                          <a:xfrm>
                            <a:off x="0" y="0"/>
                            <a:ext cx="2148840" cy="4609802"/>
                          </a:xfrm>
                          <a:prstGeom prst="rect"/>
                        </pic:spPr>
                      </pic:pic>
                    </a:graphicData>
                  </a:graphic>
                </wp:inline>
              </w:drawing>
            </w:r>
          </w:p>
        </w:tc>
        <w:tc>
          <w:tcPr>
            <w:tcW w:type="dxa" w:w="4680"/>
            <w:tcMar>
              <w:top w:w="80" w:type="dxa"/>
              <w:start w:w="80" w:type="dxa"/>
              <w:bottom w:w="80" w:type="dxa"/>
              <w:end w:w="80" w:type="dxa"/>
            </w:tcMar>
            <w:shd w:fill="F8FAFC" w:val="clear"/>
          </w:tcPr>
          <w:p>
            <w:pPr>
              <w:jc w:val="center"/>
            </w:pPr>
            <w:r>
              <w:drawing>
                <wp:inline xmlns:a="http://schemas.openxmlformats.org/drawingml/2006/main" xmlns:pic="http://schemas.openxmlformats.org/drawingml/2006/picture">
                  <wp:extent cx="2148840" cy="4609802"/>
                  <wp:docPr id="12" name="Picture 12" title="Figura 12" descr="Modal móvel com contexto disposto como texto corrido e campos de decisão abaixo."/>
                  <wp:cNvGraphicFramePr>
                    <a:graphicFrameLocks noChangeAspect="1"/>
                  </wp:cNvGraphicFramePr>
                  <a:graphic>
                    <a:graphicData uri="http://schemas.openxmlformats.org/drawingml/2006/picture">
                      <pic:pic>
                        <pic:nvPicPr>
                          <pic:cNvPr id="0" name="08-1000332617.jpg"/>
                          <pic:cNvPicPr/>
                        </pic:nvPicPr>
                        <pic:blipFill>
                          <a:blip r:embed="rId22"/>
                          <a:stretch>
                            <a:fillRect/>
                          </a:stretch>
                        </pic:blipFill>
                        <pic:spPr>
                          <a:xfrm>
                            <a:off x="0" y="0"/>
                            <a:ext cx="2148840" cy="4609802"/>
                          </a:xfrm>
                          <a:prstGeom prst="rect"/>
                        </pic:spPr>
                      </pic:pic>
                    </a:graphicData>
                  </a:graphic>
                </wp:inline>
              </w:drawing>
            </w:r>
          </w:p>
        </w:tc>
      </w:tr>
      <w:tr>
        <w:trPr>
          <w:cantSplit/>
        </w:trPr>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11 — Rodapé fixo repete muitas ações</w:t>
            </w:r>
          </w:p>
        </w:tc>
        <w:tc>
          <w:tcPr>
            <w:tcW w:type="dxa" w:w="4680"/>
            <w:tcMar>
              <w:top w:w="80" w:type="dxa"/>
              <w:start w:w="120" w:type="dxa"/>
              <w:bottom w:w="80" w:type="dxa"/>
              <w:end w:w="120" w:type="dxa"/>
            </w:tcMar>
          </w:tcPr>
          <w:p>
            <w:pPr>
              <w:spacing w:after="0"/>
              <w:jc w:val="center"/>
            </w:pPr>
            <w:r>
              <w:rPr>
                <w:rFonts w:ascii="Calibri" w:hAnsi="Calibri" w:eastAsia="Calibri"/>
                <w:i/>
                <w:color w:val="667085"/>
                <w:sz w:val="16"/>
              </w:rPr>
              <w:t>Figura 12 — Modal de reanálise sem hierarquia</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6" w:space="0" w:color="E4E7EC"/>
          <w:left w:val="single" w:sz="6" w:space="0" w:color="E4E7EC"/>
          <w:bottom w:val="single" w:sz="6" w:space="0" w:color="E4E7EC"/>
          <w:right w:val="single" w:sz="6" w:space="0" w:color="E4E7EC"/>
        </w:tblBorders>
      </w:tblPr>
      <w:tblGrid>
        <w:gridCol w:w="9360"/>
      </w:tblGrid>
      <w:tr>
        <w:trPr>
          <w:cantSplit/>
        </w:trPr>
        <w:tc>
          <w:tcPr>
            <w:tcW w:type="dxa" w:w="9360"/>
            <w:tcMar>
              <w:top w:w="100" w:type="dxa"/>
              <w:start w:w="100" w:type="dxa"/>
              <w:bottom w:w="100" w:type="dxa"/>
              <w:end w:w="100" w:type="dxa"/>
            </w:tcMar>
            <w:shd w:fill="F8FAFC" w:val="clear"/>
          </w:tcPr>
          <w:p>
            <w:pPr>
              <w:jc w:val="center"/>
            </w:pPr>
            <w:r>
              <w:drawing>
                <wp:inline xmlns:a="http://schemas.openxmlformats.org/drawingml/2006/main" xmlns:pic="http://schemas.openxmlformats.org/drawingml/2006/picture">
                  <wp:extent cx="2880360" cy="6179096"/>
                  <wp:docPr id="13" name="Picture 13" title="Figura 13" descr="Drawer móvel de Consulta Assessoria cancelada, com erro chamado atual, cancelamento, tentativa e linha do tempo."/>
                  <wp:cNvGraphicFramePr>
                    <a:graphicFrameLocks noChangeAspect="1"/>
                  </wp:cNvGraphicFramePr>
                  <a:graphic>
                    <a:graphicData uri="http://schemas.openxmlformats.org/drawingml/2006/picture">
                      <pic:pic>
                        <pic:nvPicPr>
                          <pic:cNvPr id="0" name="09-1000332619.jpg"/>
                          <pic:cNvPicPr/>
                        </pic:nvPicPr>
                        <pic:blipFill>
                          <a:blip r:embed="rId23"/>
                          <a:stretch>
                            <a:fillRect/>
                          </a:stretch>
                        </pic:blipFill>
                        <pic:spPr>
                          <a:xfrm>
                            <a:off x="0" y="0"/>
                            <a:ext cx="2880360" cy="6179096"/>
                          </a:xfrm>
                          <a:prstGeom prst="rect"/>
                        </pic:spPr>
                      </pic:pic>
                    </a:graphicData>
                  </a:graphic>
                </wp:inline>
              </w:drawing>
            </w:r>
          </w:p>
        </w:tc>
      </w:tr>
      <w:tr>
        <w:trPr>
          <w:cantSplit/>
        </w:trPr>
        <w:tc>
          <w:tcPr>
            <w:tcW w:type="dxa" w:w="9360"/>
            <w:tcMar>
              <w:top w:w="80" w:type="dxa"/>
              <w:start w:w="120" w:type="dxa"/>
              <w:bottom w:w="80" w:type="dxa"/>
              <w:end w:w="120" w:type="dxa"/>
            </w:tcMar>
          </w:tcPr>
          <w:p>
            <w:pPr>
              <w:spacing w:after="0"/>
              <w:jc w:val="center"/>
            </w:pPr>
            <w:r>
              <w:rPr>
                <w:rFonts w:ascii="Calibri" w:hAnsi="Calibri" w:eastAsia="Calibri"/>
                <w:i/>
                <w:color w:val="667085"/>
                <w:sz w:val="17"/>
              </w:rPr>
              <w:t>Figura 13 — Detalhe de pendência cancelada ainda apresenta “Erros atuais”</w:t>
            </w:r>
          </w:p>
        </w:tc>
      </w:tr>
    </w:tbl>
    <w:p>
      <w:pPr>
        <w:spacing w:after="0"/>
      </w:pPr>
    </w:p>
    <w:p>
      <w:r>
        <w:br w:type="page"/>
      </w:r>
    </w:p>
    <w:tbl>
      <w:tblPr>
        <w:tblW w:type="dxa" w:w="9360"/>
        <w:jc w:val="center"/>
        <w:tblLook w:firstColumn="1" w:firstRow="1" w:lastColumn="0" w:lastRow="0" w:noHBand="0" w:noVBand="1" w:val="04A0"/>
        <w:tblInd w:w="0" w:type="dxa"/>
        <w:tblLayout w:type="fixed"/>
        <w:tblBorders>
          <w:top w:val="single" w:sz="0" w:space="0" w:color="6D28D9"/>
          <w:left w:val="single" w:sz="0" w:space="0" w:color="6D28D9"/>
          <w:bottom w:val="single" w:sz="0" w:space="0" w:color="6D28D9"/>
          <w:right w:val="single" w:sz="0" w:space="0" w:color="6D28D9"/>
        </w:tblBorders>
      </w:tblPr>
      <w:tblGrid>
        <w:gridCol w:w="9360"/>
      </w:tblGrid>
      <w:tr>
        <w:tc>
          <w:tcPr>
            <w:tcW w:type="dxa" w:w="9360"/>
            <w:tcMar>
              <w:top w:w="360" w:type="dxa"/>
              <w:start w:w="360" w:type="dxa"/>
              <w:bottom w:w="360" w:type="dxa"/>
              <w:end w:w="360" w:type="dxa"/>
            </w:tcMar>
            <w:shd w:fill="4C1D95" w:val="clear"/>
          </w:tcPr>
          <w:p>
            <w:pPr>
              <w:jc w:val="left"/>
            </w:pPr>
            <w:r>
              <w:rPr>
                <w:rFonts w:ascii="Calibri" w:hAnsi="Calibri" w:eastAsia="Calibri"/>
                <w:b/>
                <w:color w:val="D8B4FE"/>
                <w:sz w:val="20"/>
              </w:rPr>
              <w:t>ANEXO B</w:t>
            </w:r>
          </w:p>
          <w:p>
            <w:pPr>
              <w:spacing w:before="120" w:after="160"/>
            </w:pPr>
            <w:r>
              <w:rPr>
                <w:rFonts w:ascii="Calibri" w:hAnsi="Calibri" w:eastAsia="Calibri"/>
                <w:b/>
                <w:color w:val="FFFFFF"/>
                <w:sz w:val="46"/>
              </w:rPr>
              <w:t>Evidências de código</w:t>
            </w:r>
          </w:p>
          <w:p>
            <w:r>
              <w:rPr>
                <w:rFonts w:ascii="Calibri" w:hAnsi="Calibri" w:eastAsia="Calibri"/>
                <w:color w:val="EDE9FE"/>
                <w:sz w:val="22"/>
              </w:rPr>
              <w:t>Trechos curtos do commit analisado; servem de rastreabilidade, não de patch.</w:t>
            </w:r>
          </w:p>
        </w:tc>
      </w:tr>
    </w:tbl>
    <w:p/>
    <w:p>
      <w:pPr>
        <w:pStyle w:val="Heading1"/>
        <w:keepNext/>
        <w:keepLines/>
        <w:widowControl/>
      </w:pPr>
      <w:r>
        <w:t>B.1 A aba inicial prioriza volume, não trabalho</w:t>
      </w:r>
    </w:p>
    <w:tbl>
      <w:tblPr>
        <w:tblW w:type="dxa" w:w="9360"/>
        <w:jc w:val="center"/>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80" w:type="dxa"/>
              <w:start w:w="120" w:type="dxa"/>
              <w:bottom w:w="80" w:type="dxa"/>
              <w:end w:w="120" w:type="dxa"/>
            </w:tcMar>
            <w:shd w:fill="1F4D78" w:val="clear"/>
          </w:tcPr>
          <w:p>
            <w:pPr>
              <w:spacing w:after="0"/>
            </w:pPr>
            <w:r>
              <w:rPr>
                <w:rFonts w:ascii="Calibri" w:hAnsi="Calibri" w:eastAsia="Calibri"/>
                <w:b/>
                <w:color w:val="FFFFFF"/>
                <w:sz w:val="19"/>
              </w:rPr>
              <w:t>Trecho confirmado</w:t>
            </w:r>
            <w:r>
              <w:rPr>
                <w:rFonts w:ascii="Calibri" w:hAnsi="Calibri" w:eastAsia="Calibri"/>
                <w:color w:val="DCE6F1"/>
                <w:sz w:val="17"/>
              </w:rPr>
              <w:t xml:space="preserve">  ·  src/integration/task-9-pendencias-page.js:108–118</w:t>
            </w:r>
          </w:p>
        </w:tc>
      </w:tr>
      <w:tr>
        <w:tc>
          <w:tcPr>
            <w:tcW w:type="dxa" w:w="9360"/>
            <w:tcMar>
              <w:top w:w="80" w:type="dxa"/>
              <w:start w:w="120" w:type="dxa"/>
              <w:bottom w:w="80" w:type="dxa"/>
              <w:end w:w="120" w:type="dxa"/>
            </w:tcMar>
            <w:shd w:fill="F8FAFC" w:val="clear"/>
          </w:tcPr>
          <w:p>
            <w:pPr>
              <w:spacing w:after="0"/>
            </w:pPr>
            <w:r>
              <w:rPr>
                <w:rFonts w:ascii="Consolas" w:hAnsi="Consolas" w:eastAsia="Consolas"/>
                <w:color w:val="27364B"/>
                <w:sz w:val="16"/>
              </w:rPr>
              <w:t>function resolveInitialTab(model) {</w:t>
            </w:r>
            <w:r>
              <w:br/>
            </w:r>
            <w:r>
              <w:rPr>
                <w:rFonts w:ascii="Consolas" w:hAnsi="Consolas" w:eastAsia="Consolas"/>
                <w:color w:val="27364B"/>
                <w:sz w:val="16"/>
              </w:rPr>
              <w:t xml:space="preserve">  const selected = getSelectedRecord(model);</w:t>
            </w:r>
            <w:r>
              <w:br/>
            </w:r>
            <w:r>
              <w:rPr>
                <w:rFonts w:ascii="Consolas" w:hAnsi="Consolas" w:eastAsia="Consolas"/>
                <w:color w:val="27364B"/>
                <w:sz w:val="16"/>
              </w:rPr>
              <w:t xml:space="preserve">  if (selected) return selected.statusKey;</w:t>
            </w:r>
            <w:r>
              <w:br/>
            </w:r>
            <w:r>
              <w:rPr>
                <w:rFonts w:ascii="Consolas" w:hAnsi="Consolas" w:eastAsia="Consolas"/>
                <w:color w:val="27364B"/>
                <w:sz w:val="16"/>
              </w:rPr>
              <w:t xml:space="preserve">  if (pageState.initialized) return pageState.activeTab;</w:t>
            </w:r>
            <w:r>
              <w:br/>
            </w:r>
            <w:r>
              <w:rPr>
                <w:rFonts w:ascii="Consolas" w:hAnsi="Consolas" w:eastAsia="Consolas"/>
                <w:color w:val="27364B"/>
                <w:sz w:val="16"/>
              </w:rPr>
              <w:t xml:space="preserve">  pageState.initialized = true;</w:t>
            </w:r>
            <w:r>
              <w:br/>
            </w:r>
            <w:r>
              <w:rPr>
                <w:rFonts w:ascii="Consolas" w:hAnsi="Consolas" w:eastAsia="Consolas"/>
                <w:color w:val="27364B"/>
                <w:sz w:val="16"/>
              </w:rPr>
              <w:t xml:space="preserve">  if (model.groups.aberta.counts.total &gt; 0) return 'aberta';</w:t>
            </w:r>
            <w:r>
              <w:br/>
            </w:r>
            <w:r>
              <w:rPr>
                <w:rFonts w:ascii="Consolas" w:hAnsi="Consolas" w:eastAsia="Consolas"/>
                <w:color w:val="27364B"/>
                <w:sz w:val="16"/>
              </w:rPr>
              <w:t xml:space="preserve">  if (model.groups.aguardando.counts.total &gt; 0) return 'aguardando';</w:t>
            </w:r>
            <w:r>
              <w:br/>
            </w:r>
            <w:r>
              <w:rPr>
                <w:rFonts w:ascii="Consolas" w:hAnsi="Consolas" w:eastAsia="Consolas"/>
                <w:color w:val="27364B"/>
                <w:sz w:val="16"/>
              </w:rPr>
              <w:t xml:space="preserve">  if (model.groups.resolvida.counts.total &gt; 0) return 'resolvida';</w:t>
            </w:r>
            <w:r>
              <w:br/>
            </w:r>
            <w:r>
              <w:rPr>
                <w:rFonts w:ascii="Consolas" w:hAnsi="Consolas" w:eastAsia="Consolas"/>
                <w:color w:val="27364B"/>
                <w:sz w:val="16"/>
              </w:rPr>
              <w:t xml:space="preserve">  if (model.groups.cancelada.counts.total &gt; 0) return 'cancelada';</w:t>
            </w:r>
            <w:r>
              <w:br/>
            </w:r>
            <w:r>
              <w:rPr>
                <w:rFonts w:ascii="Consolas" w:hAnsi="Consolas" w:eastAsia="Consolas"/>
                <w:color w:val="27364B"/>
                <w:sz w:val="16"/>
              </w:rPr>
              <w:t xml:space="preserve">  return 'aberta';</w:t>
            </w:r>
            <w:r>
              <w:br/>
            </w:r>
            <w:r>
              <w:rPr>
                <w:rFonts w:ascii="Consolas" w:hAnsi="Consolas" w:eastAsia="Consolas"/>
                <w:color w:val="27364B"/>
                <w:sz w:val="16"/>
              </w:rPr>
              <w:t>}</w:t>
            </w:r>
          </w:p>
          <w:p>
            <w:pPr>
              <w:spacing w:before="160" w:after="0"/>
            </w:pPr>
            <w:r>
              <w:rPr>
                <w:rFonts w:ascii="Calibri" w:hAnsi="Calibri" w:eastAsia="Calibri"/>
                <w:b/>
                <w:color w:val="4C1D95"/>
                <w:sz w:val="18"/>
              </w:rPr>
              <w:t xml:space="preserve">Leitura: </w:t>
            </w:r>
            <w:r>
              <w:rPr>
                <w:rFonts w:ascii="Calibri" w:hAnsi="Calibri" w:eastAsia="Calibri"/>
                <w:color w:val="172033"/>
                <w:sz w:val="18"/>
              </w:rPr>
              <w:t>Havendo qualquer pendência aberta, a aba “Abertas” vence. A correção precisa considerar a capacidade do perfil e priorizar registros que exigem sua ação.</w:t>
            </w:r>
          </w:p>
        </w:tc>
      </w:tr>
    </w:tbl>
    <w:p>
      <w:pPr>
        <w:spacing w:after="0"/>
      </w:pPr>
    </w:p>
    <w:p>
      <w:r>
        <w:br w:type="page"/>
      </w:r>
    </w:p>
    <w:p>
      <w:pPr>
        <w:pStyle w:val="Heading1"/>
        <w:keepNext/>
        <w:keepLines/>
        <w:widowControl/>
      </w:pPr>
      <w:r>
        <w:t>B.2 A página e a projeção usam bases de tempo diferentes</w:t>
      </w:r>
    </w:p>
    <w:tbl>
      <w:tblPr>
        <w:tblW w:type="dxa" w:w="9360"/>
        <w:jc w:val="center"/>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80" w:type="dxa"/>
              <w:start w:w="120" w:type="dxa"/>
              <w:bottom w:w="80" w:type="dxa"/>
              <w:end w:w="120" w:type="dxa"/>
            </w:tcMar>
            <w:shd w:fill="1F4D78" w:val="clear"/>
          </w:tcPr>
          <w:p>
            <w:pPr>
              <w:spacing w:after="0"/>
            </w:pPr>
            <w:r>
              <w:rPr>
                <w:rFonts w:ascii="Calibri" w:hAnsi="Calibri" w:eastAsia="Calibri"/>
                <w:b/>
                <w:color w:val="FFFFFF"/>
                <w:sz w:val="19"/>
              </w:rPr>
              <w:t>Projeção da página</w:t>
            </w:r>
            <w:r>
              <w:rPr>
                <w:rFonts w:ascii="Calibri" w:hAnsi="Calibri" w:eastAsia="Calibri"/>
                <w:color w:val="DCE6F1"/>
                <w:sz w:val="17"/>
              </w:rPr>
              <w:t xml:space="preserve">  ·  src/domain/pendencias-view-model.js:222–254</w:t>
            </w:r>
          </w:p>
        </w:tc>
      </w:tr>
      <w:tr>
        <w:tc>
          <w:tcPr>
            <w:tcW w:type="dxa" w:w="9360"/>
            <w:tcMar>
              <w:top w:w="80" w:type="dxa"/>
              <w:start w:w="120" w:type="dxa"/>
              <w:bottom w:w="80" w:type="dxa"/>
              <w:end w:w="120" w:type="dxa"/>
            </w:tcMar>
            <w:shd w:fill="F8FAFC" w:val="clear"/>
          </w:tcPr>
          <w:p>
            <w:pPr>
              <w:spacing w:after="0"/>
            </w:pPr>
            <w:r>
              <w:rPr>
                <w:rFonts w:ascii="Consolas" w:hAnsi="Consolas" w:eastAsia="Consolas"/>
                <w:color w:val="27364B"/>
                <w:sz w:val="16"/>
              </w:rPr>
              <w:t>const waitingSince = status === 'Aguardando reanálise'</w:t>
            </w:r>
            <w:r>
              <w:br/>
            </w:r>
            <w:r>
              <w:rPr>
                <w:rFonts w:ascii="Consolas" w:hAnsi="Consolas" w:eastAsia="Consolas"/>
                <w:color w:val="27364B"/>
                <w:sz w:val="16"/>
              </w:rPr>
              <w:t xml:space="preserve">  ? latestAwaitingAttempt.dataRegistro</w:t>
            </w:r>
            <w:r>
              <w:br/>
            </w:r>
            <w:r>
              <w:rPr>
                <w:rFonts w:ascii="Consolas" w:hAnsi="Consolas" w:eastAsia="Consolas"/>
                <w:color w:val="27364B"/>
                <w:sz w:val="16"/>
              </w:rPr>
              <w:t xml:space="preserve">  : pendency.dataAbertura;</w:t>
            </w:r>
            <w:r>
              <w:br/>
            </w:r>
            <w:r>
              <w:rPr>
                <w:rFonts w:ascii="Consolas" w:hAnsi="Consolas" w:eastAsia="Consolas"/>
                <w:color w:val="27364B"/>
                <w:sz w:val="16"/>
              </w:rPr>
            </w:r>
            <w:r>
              <w:br/>
            </w:r>
            <w:r>
              <w:rPr>
                <w:rFonts w:ascii="Consolas" w:hAnsi="Consolas" w:eastAsia="Consolas"/>
                <w:color w:val="27364B"/>
                <w:sz w:val="16"/>
              </w:rPr>
              <w:t>openedAt: pendency.dataAbertura || null,</w:t>
            </w:r>
            <w:r>
              <w:br/>
            </w:r>
            <w:r>
              <w:rPr>
                <w:rFonts w:ascii="Consolas" w:hAnsi="Consolas" w:eastAsia="Consolas"/>
                <w:color w:val="27364B"/>
                <w:sz w:val="16"/>
              </w:rPr>
              <w:t>waitingSince: waitingSince || null,</w:t>
            </w:r>
            <w:r>
              <w:br/>
            </w:r>
            <w:r>
              <w:rPr>
                <w:rFonts w:ascii="Consolas" w:hAnsi="Consolas" w:eastAsia="Consolas"/>
                <w:color w:val="27364B"/>
                <w:sz w:val="16"/>
              </w:rPr>
              <w:t>ageDays: differenceInDays(waitingSince, now),</w:t>
            </w:r>
          </w:p>
          <w:p>
            <w:pPr>
              <w:spacing w:before="160" w:after="0"/>
            </w:pPr>
            <w:r>
              <w:rPr>
                <w:rFonts w:ascii="Calibri" w:hAnsi="Calibri" w:eastAsia="Calibri"/>
                <w:b/>
                <w:color w:val="4C1D95"/>
                <w:sz w:val="18"/>
              </w:rPr>
              <w:t xml:space="preserve">Leitura: </w:t>
            </w:r>
            <w:r>
              <w:rPr>
                <w:rFonts w:ascii="Calibri" w:hAnsi="Calibri" w:eastAsia="Calibri"/>
                <w:color w:val="172033"/>
                <w:sz w:val="18"/>
              </w:rPr>
              <w:t>Para Aberta, o tempo volta sempre à data original, inclusive depois de reabertura ou reanálise incorreta.</w:t>
            </w:r>
          </w:p>
        </w:tc>
      </w:tr>
    </w:tbl>
    <w:p>
      <w:pPr>
        <w:spacing w:after="0"/>
      </w:pPr>
    </w:p>
    <w:tbl>
      <w:tblPr>
        <w:tblW w:type="dxa" w:w="9360"/>
        <w:jc w:val="center"/>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80" w:type="dxa"/>
              <w:start w:w="120" w:type="dxa"/>
              <w:bottom w:w="80" w:type="dxa"/>
              <w:end w:w="120" w:type="dxa"/>
            </w:tcMar>
            <w:shd w:fill="1F4D78" w:val="clear"/>
          </w:tcPr>
          <w:p>
            <w:pPr>
              <w:spacing w:after="0"/>
            </w:pPr>
            <w:r>
              <w:rPr>
                <w:rFonts w:ascii="Calibri" w:hAnsi="Calibri" w:eastAsia="Calibri"/>
                <w:b/>
                <w:color w:val="FFFFFF"/>
                <w:sz w:val="19"/>
              </w:rPr>
              <w:t>Regra operacional canônica</w:t>
            </w:r>
            <w:r>
              <w:rPr>
                <w:rFonts w:ascii="Calibri" w:hAnsi="Calibri" w:eastAsia="Calibri"/>
                <w:color w:val="DCE6F1"/>
                <w:sz w:val="17"/>
              </w:rPr>
              <w:t xml:space="preserve">  ·  src/domain/operational-projection.js:67–82</w:t>
            </w:r>
          </w:p>
        </w:tc>
      </w:tr>
      <w:tr>
        <w:tc>
          <w:tcPr>
            <w:tcW w:type="dxa" w:w="9360"/>
            <w:tcMar>
              <w:top w:w="80" w:type="dxa"/>
              <w:start w:w="120" w:type="dxa"/>
              <w:bottom w:w="80" w:type="dxa"/>
              <w:end w:w="120" w:type="dxa"/>
            </w:tcMar>
            <w:shd w:fill="F8FAFC" w:val="clear"/>
          </w:tcPr>
          <w:p>
            <w:pPr>
              <w:spacing w:after="0"/>
            </w:pPr>
            <w:r>
              <w:rPr>
                <w:rFonts w:ascii="Consolas" w:hAnsi="Consolas" w:eastAsia="Consolas"/>
                <w:color w:val="27364B"/>
                <w:sz w:val="16"/>
              </w:rPr>
              <w:t>if (status === 'Aberta') {</w:t>
            </w:r>
            <w:r>
              <w:br/>
            </w:r>
            <w:r>
              <w:rPr>
                <w:rFonts w:ascii="Consolas" w:hAnsi="Consolas" w:eastAsia="Consolas"/>
                <w:color w:val="27364B"/>
                <w:sz w:val="16"/>
              </w:rPr>
              <w:t xml:space="preserve">  const returnEvents = events</w:t>
            </w:r>
            <w:r>
              <w:br/>
            </w:r>
            <w:r>
              <w:rPr>
                <w:rFonts w:ascii="Consolas" w:hAnsi="Consolas" w:eastAsia="Consolas"/>
                <w:color w:val="27364B"/>
                <w:sz w:val="16"/>
              </w:rPr>
              <w:t xml:space="preserve">    .filter(event =&gt; [</w:t>
            </w:r>
            <w:r>
              <w:br/>
            </w:r>
            <w:r>
              <w:rPr>
                <w:rFonts w:ascii="Consolas" w:hAnsi="Consolas" w:eastAsia="Consolas"/>
                <w:color w:val="27364B"/>
                <w:sz w:val="16"/>
              </w:rPr>
              <w:t xml:space="preserve">      'reabertura', 'reanálise_incorreta',</w:t>
            </w:r>
            <w:r>
              <w:br/>
            </w:r>
            <w:r>
              <w:rPr>
                <w:rFonts w:ascii="Consolas" w:hAnsi="Consolas" w:eastAsia="Consolas"/>
                <w:color w:val="27364B"/>
                <w:sz w:val="16"/>
              </w:rPr>
              <w:t xml:space="preserve">      'reanalise_incorreta', 'arquivo_indisponivel'</w:t>
            </w:r>
            <w:r>
              <w:br/>
            </w:r>
            <w:r>
              <w:rPr>
                <w:rFonts w:ascii="Consolas" w:hAnsi="Consolas" w:eastAsia="Consolas"/>
                <w:color w:val="27364B"/>
                <w:sz w:val="16"/>
              </w:rPr>
              <w:t xml:space="preserve">    ].includes(event &amp;&amp; event.tipo))</w:t>
            </w:r>
            <w:r>
              <w:br/>
            </w:r>
            <w:r>
              <w:rPr>
                <w:rFonts w:ascii="Consolas" w:hAnsi="Consolas" w:eastAsia="Consolas"/>
                <w:color w:val="27364B"/>
                <w:sz w:val="16"/>
              </w:rPr>
              <w:t xml:space="preserve">    .sort((left, right) =&gt; right.timestamp - left.timestamp);</w:t>
            </w:r>
            <w:r>
              <w:br/>
            </w:r>
            <w:r>
              <w:rPr>
                <w:rFonts w:ascii="Consolas" w:hAnsi="Consolas" w:eastAsia="Consolas"/>
                <w:color w:val="27364B"/>
                <w:sz w:val="16"/>
              </w:rPr>
              <w:t xml:space="preserve">  return returnEvents[0]?.at || pendency.dataAbertura || null;</w:t>
            </w:r>
            <w:r>
              <w:br/>
            </w:r>
            <w:r>
              <w:rPr>
                <w:rFonts w:ascii="Consolas" w:hAnsi="Consolas" w:eastAsia="Consolas"/>
                <w:color w:val="27364B"/>
                <w:sz w:val="16"/>
              </w:rPr>
              <w:t>}</w:t>
            </w:r>
          </w:p>
          <w:p>
            <w:pPr>
              <w:spacing w:before="160" w:after="0"/>
            </w:pPr>
            <w:r>
              <w:rPr>
                <w:rFonts w:ascii="Calibri" w:hAnsi="Calibri" w:eastAsia="Calibri"/>
                <w:b/>
                <w:color w:val="4C1D95"/>
                <w:sz w:val="18"/>
              </w:rPr>
              <w:t xml:space="preserve">Leitura: </w:t>
            </w:r>
            <w:r>
              <w:rPr>
                <w:rFonts w:ascii="Calibri" w:hAnsi="Calibri" w:eastAsia="Calibri"/>
                <w:color w:val="172033"/>
                <w:sz w:val="18"/>
              </w:rPr>
              <w:t>Esta função reinicia corretamente o tempo da etapa. Ela deve ser a fonte única usada pela lista, pelo filtro e pela ordenação.</w:t>
            </w:r>
          </w:p>
        </w:tc>
      </w:tr>
    </w:tbl>
    <w:p>
      <w:pPr>
        <w:spacing w:after="0"/>
      </w:pPr>
    </w:p>
    <w:p>
      <w:r>
        <w:br w:type="page"/>
      </w:r>
    </w:p>
    <w:p>
      <w:pPr>
        <w:pStyle w:val="Heading1"/>
        <w:keepNext/>
        <w:keepLines/>
        <w:widowControl/>
      </w:pPr>
      <w:r>
        <w:t>B.3 — O domínio reabre canceladas, mas a interface recusa</w:t>
      </w:r>
    </w:p>
    <w:tbl>
      <w:tblPr>
        <w:tblW w:type="dxa" w:w="9360"/>
        <w:jc w:val="center"/>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80" w:type="dxa"/>
              <w:start w:w="120" w:type="dxa"/>
              <w:bottom w:w="80" w:type="dxa"/>
              <w:end w:w="120" w:type="dxa"/>
            </w:tcMar>
            <w:shd w:fill="1F4D78" w:val="clear"/>
          </w:tcPr>
          <w:p>
            <w:pPr>
              <w:spacing w:after="0"/>
            </w:pPr>
            <w:r>
              <w:rPr>
                <w:rFonts w:ascii="Calibri" w:hAnsi="Calibri" w:eastAsia="Calibri"/>
                <w:b/>
                <w:color w:val="FFFFFF"/>
                <w:sz w:val="19"/>
              </w:rPr>
              <w:t>Contrato de domínio</w:t>
            </w:r>
            <w:r>
              <w:rPr>
                <w:rFonts w:ascii="Calibri" w:hAnsi="Calibri" w:eastAsia="Calibri"/>
                <w:color w:val="DCE6F1"/>
                <w:sz w:val="17"/>
              </w:rPr>
              <w:t xml:space="preserve">  ·  src/domain/pendencias.js:642–646</w:t>
            </w:r>
          </w:p>
        </w:tc>
      </w:tr>
      <w:tr>
        <w:tc>
          <w:tcPr>
            <w:tcW w:type="dxa" w:w="9360"/>
            <w:tcMar>
              <w:top w:w="80" w:type="dxa"/>
              <w:start w:w="120" w:type="dxa"/>
              <w:bottom w:w="80" w:type="dxa"/>
              <w:end w:w="120" w:type="dxa"/>
            </w:tcMar>
            <w:shd w:fill="F8FAFC" w:val="clear"/>
          </w:tcPr>
          <w:p>
            <w:pPr>
              <w:spacing w:after="0"/>
            </w:pPr>
            <w:r>
              <w:rPr>
                <w:rFonts w:ascii="Consolas" w:hAnsi="Consolas" w:eastAsia="Consolas"/>
                <w:color w:val="27364B"/>
                <w:sz w:val="16"/>
              </w:rPr>
              <w:t>const status = normalizeText(pendency.status);</w:t>
            </w:r>
            <w:r>
              <w:br/>
            </w:r>
            <w:r>
              <w:rPr>
                <w:rFonts w:ascii="Consolas" w:hAnsi="Consolas" w:eastAsia="Consolas"/>
                <w:color w:val="27364B"/>
                <w:sz w:val="16"/>
              </w:rPr>
              <w:t>if (status !== PENDENCY_STATUS.RESOLVED</w:t>
            </w:r>
            <w:r>
              <w:br/>
            </w:r>
            <w:r>
              <w:rPr>
                <w:rFonts w:ascii="Consolas" w:hAnsi="Consolas" w:eastAsia="Consolas"/>
                <w:color w:val="27364B"/>
                <w:sz w:val="16"/>
              </w:rPr>
              <w:t xml:space="preserve">    &amp;&amp; status !== PENDENCY_STATUS.CANCELLED) {</w:t>
            </w:r>
            <w:r>
              <w:br/>
            </w:r>
            <w:r>
              <w:rPr>
                <w:rFonts w:ascii="Consolas" w:hAnsi="Consolas" w:eastAsia="Consolas"/>
                <w:color w:val="27364B"/>
                <w:sz w:val="16"/>
              </w:rPr>
              <w:t xml:space="preserve">  throw new Error(</w:t>
            </w:r>
            <w:r>
              <w:br/>
            </w:r>
            <w:r>
              <w:rPr>
                <w:rFonts w:ascii="Consolas" w:hAnsi="Consolas" w:eastAsia="Consolas"/>
                <w:color w:val="27364B"/>
                <w:sz w:val="16"/>
              </w:rPr>
              <w:t xml:space="preserve">    'Somente pendências resolvidas ou canceladas podem ser reabertas.'</w:t>
            </w:r>
            <w:r>
              <w:br/>
            </w:r>
            <w:r>
              <w:rPr>
                <w:rFonts w:ascii="Consolas" w:hAnsi="Consolas" w:eastAsia="Consolas"/>
                <w:color w:val="27364B"/>
                <w:sz w:val="16"/>
              </w:rPr>
              <w:t xml:space="preserve">  );</w:t>
            </w:r>
            <w:r>
              <w:br/>
            </w:r>
            <w:r>
              <w:rPr>
                <w:rFonts w:ascii="Consolas" w:hAnsi="Consolas" w:eastAsia="Consolas"/>
                <w:color w:val="27364B"/>
                <w:sz w:val="16"/>
              </w:rPr>
              <w:t>}</w:t>
            </w:r>
          </w:p>
          <w:p>
            <w:pPr>
              <w:spacing w:before="160" w:after="0"/>
            </w:pPr>
            <w:r>
              <w:rPr>
                <w:rFonts w:ascii="Calibri" w:hAnsi="Calibri" w:eastAsia="Calibri"/>
                <w:b/>
                <w:color w:val="4C1D95"/>
                <w:sz w:val="18"/>
              </w:rPr>
              <w:t xml:space="preserve">Leitura: </w:t>
            </w:r>
            <w:r>
              <w:rPr>
                <w:rFonts w:ascii="Calibri" w:hAnsi="Calibri" w:eastAsia="Calibri"/>
                <w:color w:val="172033"/>
                <w:sz w:val="18"/>
              </w:rPr>
              <w:t>A regra PEND-05 aceita dois estados fechados.</w:t>
            </w:r>
          </w:p>
        </w:tc>
      </w:tr>
    </w:tbl>
    <w:p>
      <w:pPr>
        <w:spacing w:after="0"/>
      </w:pPr>
    </w:p>
    <w:tbl>
      <w:tblPr>
        <w:tblW w:type="dxa" w:w="9360"/>
        <w:jc w:val="center"/>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80" w:type="dxa"/>
              <w:start w:w="120" w:type="dxa"/>
              <w:bottom w:w="80" w:type="dxa"/>
              <w:end w:w="120" w:type="dxa"/>
            </w:tcMar>
            <w:shd w:fill="1F4D78" w:val="clear"/>
          </w:tcPr>
          <w:p>
            <w:pPr>
              <w:spacing w:after="0"/>
            </w:pPr>
            <w:r>
              <w:rPr>
                <w:rFonts w:ascii="Calibri" w:hAnsi="Calibri" w:eastAsia="Calibri"/>
                <w:b/>
                <w:color w:val="FFFFFF"/>
                <w:sz w:val="19"/>
              </w:rPr>
              <w:t>Restrição da interface</w:t>
            </w:r>
            <w:r>
              <w:rPr>
                <w:rFonts w:ascii="Calibri" w:hAnsi="Calibri" w:eastAsia="Calibri"/>
                <w:color w:val="DCE6F1"/>
                <w:sz w:val="17"/>
              </w:rPr>
              <w:t xml:space="preserve">  ·  src/integration/task-10-11-pendency-actions.js:436–445 e 493–505</w:t>
            </w:r>
          </w:p>
        </w:tc>
      </w:tr>
      <w:tr>
        <w:tc>
          <w:tcPr>
            <w:tcW w:type="dxa" w:w="9360"/>
            <w:tcMar>
              <w:top w:w="80" w:type="dxa"/>
              <w:start w:w="120" w:type="dxa"/>
              <w:bottom w:w="80" w:type="dxa"/>
              <w:end w:w="120" w:type="dxa"/>
            </w:tcMar>
            <w:shd w:fill="F8FAFC" w:val="clear"/>
          </w:tcPr>
          <w:p>
            <w:pPr>
              <w:spacing w:after="0"/>
            </w:pPr>
            <w:r>
              <w:rPr>
                <w:rFonts w:ascii="Consolas" w:hAnsi="Consolas" w:eastAsia="Consolas"/>
                <w:color w:val="27364B"/>
                <w:sz w:val="16"/>
              </w:rPr>
              <w:t>if (!pendency || pendency.status !== 'Resolvida') {</w:t>
            </w:r>
            <w:r>
              <w:br/>
            </w:r>
            <w:r>
              <w:rPr>
                <w:rFonts w:ascii="Consolas" w:hAnsi="Consolas" w:eastAsia="Consolas"/>
                <w:color w:val="27364B"/>
                <w:sz w:val="16"/>
              </w:rPr>
              <w:t xml:space="preserve">  announce('Somente pendências resolvidas podem ser reabertas.', 'error');</w:t>
            </w:r>
            <w:r>
              <w:br/>
            </w:r>
            <w:r>
              <w:rPr>
                <w:rFonts w:ascii="Consolas" w:hAnsi="Consolas" w:eastAsia="Consolas"/>
                <w:color w:val="27364B"/>
                <w:sz w:val="16"/>
              </w:rPr>
              <w:t xml:space="preserve">  return false;</w:t>
            </w:r>
            <w:r>
              <w:br/>
            </w:r>
            <w:r>
              <w:rPr>
                <w:rFonts w:ascii="Consolas" w:hAnsi="Consolas" w:eastAsia="Consolas"/>
                <w:color w:val="27364B"/>
                <w:sz w:val="16"/>
              </w:rPr>
              <w:t>}</w:t>
            </w:r>
            <w:r>
              <w:br/>
            </w:r>
            <w:r>
              <w:rPr>
                <w:rFonts w:ascii="Consolas" w:hAnsi="Consolas" w:eastAsia="Consolas"/>
                <w:color w:val="27364B"/>
                <w:sz w:val="16"/>
              </w:rPr>
            </w:r>
            <w:r>
              <w:br/>
            </w:r>
            <w:r>
              <w:rPr>
                <w:rFonts w:ascii="Consolas" w:hAnsi="Consolas" w:eastAsia="Consolas"/>
                <w:color w:val="27364B"/>
                <w:sz w:val="16"/>
              </w:rPr>
              <w:t>// O botão também só é acrescentado quando status === 'Resolvida'.</w:t>
            </w:r>
          </w:p>
          <w:p>
            <w:pPr>
              <w:spacing w:before="160" w:after="0"/>
            </w:pPr>
            <w:r>
              <w:rPr>
                <w:rFonts w:ascii="Calibri" w:hAnsi="Calibri" w:eastAsia="Calibri"/>
                <w:b/>
                <w:color w:val="4C1D95"/>
                <w:sz w:val="18"/>
              </w:rPr>
              <w:t xml:space="preserve">Leitura: </w:t>
            </w:r>
            <w:r>
              <w:rPr>
                <w:rFonts w:ascii="Calibri" w:hAnsi="Calibri" w:eastAsia="Calibri"/>
                <w:color w:val="172033"/>
                <w:sz w:val="18"/>
              </w:rPr>
              <w:t>A tela contradiz o domínio. O ajuste deve respeitar capacidade/perfil e permitir Cancelada sem alterar a regra de negócio.</w:t>
            </w:r>
          </w:p>
        </w:tc>
      </w:tr>
    </w:tbl>
    <w:p>
      <w:pPr>
        <w:spacing w:after="0"/>
      </w:pPr>
    </w:p>
    <w:p>
      <w:r>
        <w:br w:type="page"/>
      </w:r>
    </w:p>
    <w:p>
      <w:pPr>
        <w:pStyle w:val="Heading1"/>
        <w:keepNext/>
        <w:keepLines/>
        <w:widowControl/>
      </w:pPr>
      <w:r>
        <w:t>B.4 As ações são montadas em camadas</w:t>
      </w:r>
    </w:p>
    <w:tbl>
      <w:tblPr>
        <w:tblW w:type="dxa" w:w="9360"/>
        <w:jc w:val="center"/>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80" w:type="dxa"/>
              <w:start w:w="120" w:type="dxa"/>
              <w:bottom w:w="80" w:type="dxa"/>
              <w:end w:w="120" w:type="dxa"/>
            </w:tcMar>
            <w:shd w:fill="1F4D78" w:val="clear"/>
          </w:tcPr>
          <w:p>
            <w:pPr>
              <w:spacing w:after="0"/>
            </w:pPr>
            <w:r>
              <w:rPr>
                <w:rFonts w:ascii="Calibri" w:hAnsi="Calibri" w:eastAsia="Calibri"/>
                <w:b/>
                <w:color w:val="FFFFFF"/>
                <w:sz w:val="19"/>
              </w:rPr>
              <w:t>Renderização base + aprimoramento posterior</w:t>
            </w:r>
            <w:r>
              <w:rPr>
                <w:rFonts w:ascii="Calibri" w:hAnsi="Calibri" w:eastAsia="Calibri"/>
                <w:color w:val="DCE6F1"/>
                <w:sz w:val="17"/>
              </w:rPr>
              <w:t xml:space="preserve">  ·  task-9-pendencias-page.js e task-10-11-pendency-actions.js</w:t>
            </w:r>
          </w:p>
        </w:tc>
      </w:tr>
      <w:tr>
        <w:tc>
          <w:tcPr>
            <w:tcW w:type="dxa" w:w="9360"/>
            <w:tcMar>
              <w:top w:w="80" w:type="dxa"/>
              <w:start w:w="120" w:type="dxa"/>
              <w:bottom w:w="80" w:type="dxa"/>
              <w:end w:w="120" w:type="dxa"/>
            </w:tcMar>
            <w:shd w:fill="F8FAFC" w:val="clear"/>
          </w:tcPr>
          <w:p>
            <w:pPr>
              <w:spacing w:after="0"/>
            </w:pPr>
            <w:r>
              <w:rPr>
                <w:rFonts w:ascii="Consolas" w:hAnsi="Consolas" w:eastAsia="Consolas"/>
                <w:color w:val="27364B"/>
                <w:sz w:val="16"/>
              </w:rPr>
              <w:t>// Camada base</w:t>
            </w:r>
            <w:r>
              <w:br/>
            </w:r>
            <w:r>
              <w:rPr>
                <w:rFonts w:ascii="Consolas" w:hAnsi="Consolas" w:eastAsia="Consolas"/>
                <w:color w:val="27364B"/>
                <w:sz w:val="16"/>
              </w:rPr>
              <w:t>buttons.push('Ver detalhes');</w:t>
            </w:r>
            <w:r>
              <w:br/>
            </w:r>
            <w:r>
              <w:rPr>
                <w:rFonts w:ascii="Consolas" w:hAnsi="Consolas" w:eastAsia="Consolas"/>
                <w:color w:val="27364B"/>
                <w:sz w:val="16"/>
              </w:rPr>
              <w:t>buttons.push('Registrar novo envio / Reanalisar');</w:t>
            </w:r>
            <w:r>
              <w:br/>
            </w:r>
            <w:r>
              <w:rPr>
                <w:rFonts w:ascii="Consolas" w:hAnsi="Consolas" w:eastAsia="Consolas"/>
                <w:color w:val="27364B"/>
                <w:sz w:val="16"/>
              </w:rPr>
              <w:t>buttons.push('Abrir no Prontuário');</w:t>
            </w:r>
            <w:r>
              <w:br/>
            </w:r>
            <w:r>
              <w:rPr>
                <w:rFonts w:ascii="Consolas" w:hAnsi="Consolas" w:eastAsia="Consolas"/>
                <w:color w:val="27364B"/>
                <w:sz w:val="16"/>
              </w:rPr>
            </w:r>
            <w:r>
              <w:br/>
            </w:r>
            <w:r>
              <w:rPr>
                <w:rFonts w:ascii="Consolas" w:hAnsi="Consolas" w:eastAsia="Consolas"/>
                <w:color w:val="27364B"/>
                <w:sz w:val="16"/>
              </w:rPr>
              <w:t>// MutationObserver acrescenta depois</w:t>
            </w:r>
            <w:r>
              <w:br/>
            </w:r>
            <w:r>
              <w:rPr>
                <w:rFonts w:ascii="Consolas" w:hAnsi="Consolas" w:eastAsia="Consolas"/>
                <w:color w:val="27364B"/>
                <w:sz w:val="16"/>
              </w:rPr>
              <w:t>group.appendChild('Registrar contato');</w:t>
            </w:r>
            <w:r>
              <w:br/>
            </w:r>
            <w:r>
              <w:rPr>
                <w:rFonts w:ascii="Consolas" w:hAnsi="Consolas" w:eastAsia="Consolas"/>
                <w:color w:val="27364B"/>
                <w:sz w:val="16"/>
              </w:rPr>
              <w:t>group.appendChild('Cancelar pendência');</w:t>
            </w:r>
            <w:r>
              <w:br/>
            </w:r>
            <w:r>
              <w:rPr>
                <w:rFonts w:ascii="Consolas" w:hAnsi="Consolas" w:eastAsia="Consolas"/>
                <w:color w:val="27364B"/>
                <w:sz w:val="16"/>
              </w:rPr>
              <w:t>group.appendChild('Reabrir pendência');</w:t>
            </w:r>
          </w:p>
          <w:p>
            <w:pPr>
              <w:spacing w:before="160" w:after="0"/>
            </w:pPr>
            <w:r>
              <w:rPr>
                <w:rFonts w:ascii="Calibri" w:hAnsi="Calibri" w:eastAsia="Calibri"/>
                <w:b/>
                <w:color w:val="4C1D95"/>
                <w:sz w:val="18"/>
              </w:rPr>
              <w:t xml:space="preserve">Leitura: </w:t>
            </w:r>
            <w:r>
              <w:rPr>
                <w:rFonts w:ascii="Calibri" w:hAnsi="Calibri" w:eastAsia="Calibri"/>
                <w:color w:val="172033"/>
                <w:sz w:val="18"/>
              </w:rPr>
              <w:t>O usuário recebe todos os comandos juntos e a regra fica distribuída. Um action model único deve decidir primária, secundárias e excepcional antes de renderizar.</w:t>
            </w:r>
          </w:p>
        </w:tc>
      </w:tr>
    </w:tbl>
    <w:p>
      <w:pPr>
        <w:spacing w:after="0"/>
      </w:pPr>
    </w:p>
    <w:p>
      <w:pPr>
        <w:pStyle w:val="Heading1"/>
        <w:keepNext/>
        <w:keepLines/>
        <w:widowControl/>
      </w:pPr>
      <w:r>
        <w:t>B.5 Pontos técnicos das correções operacionais</w:t>
      </w:r>
    </w:p>
    <w:tbl>
      <w:tblPr>
        <w:tblW w:type="dxa" w:w="9360"/>
        <w:jc w:val="center"/>
        <w:tblLook w:firstColumn="1" w:firstRow="1" w:lastColumn="0" w:lastRow="0" w:noHBand="0" w:noVBand="1" w:val="04A0"/>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700"/>
        <w:gridCol w:w="4300"/>
        <w:gridCol w:w="2360"/>
      </w:tblGrid>
      <w:tr>
        <w:trPr>
          <w:tblHeader w:val="true"/>
          <w:cantSplit/>
        </w:trPr>
        <w:tc>
          <w:tcPr>
            <w:tcW w:type="dxa" w:w="27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Ponto</w:t>
            </w:r>
          </w:p>
        </w:tc>
        <w:tc>
          <w:tcPr>
            <w:tcW w:type="dxa" w:w="430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Local principal</w:t>
            </w:r>
          </w:p>
        </w:tc>
        <w:tc>
          <w:tcPr>
            <w:tcW w:type="dxa" w:w="2360"/>
            <w:tcMar>
              <w:top w:w="80" w:type="dxa"/>
              <w:start w:w="120" w:type="dxa"/>
              <w:bottom w:w="80" w:type="dxa"/>
              <w:end w:w="120" w:type="dxa"/>
            </w:tcMar>
            <w:shd w:fill="1F4D78" w:val="clear"/>
            <w:vAlign w:val="center"/>
          </w:tcPr>
          <w:p>
            <w:pPr>
              <w:spacing w:after="0"/>
            </w:pPr>
            <w:r>
              <w:rPr>
                <w:rFonts w:ascii="Calibri" w:hAnsi="Calibri" w:eastAsia="Calibri"/>
                <w:b/>
                <w:color w:val="FFFFFF"/>
                <w:sz w:val="18"/>
              </w:rPr>
              <w:t>Uso no plano</w:t>
            </w:r>
          </w:p>
        </w:tc>
      </w:tr>
      <w:tr>
        <w:trPr>
          <w:cantSplit/>
        </w:trPr>
        <w:tc>
          <w:tcPr>
            <w:tcW w:type="dxa" w:w="2700"/>
            <w:vAlign w:val="center"/>
          </w:tcPr>
          <w:p>
            <w:pPr>
              <w:spacing w:after="0"/>
            </w:pPr>
            <w:r>
              <w:rPr>
                <w:rFonts w:ascii="Calibri" w:hAnsi="Calibri" w:eastAsia="Calibri"/>
                <w:color w:val="172033"/>
                <w:sz w:val="17"/>
              </w:rPr>
              <w:t>Submit sem trava</w:t>
            </w:r>
          </w:p>
        </w:tc>
        <w:tc>
          <w:tcPr>
            <w:tcW w:type="dxa" w:w="4300"/>
            <w:vAlign w:val="center"/>
          </w:tcPr>
          <w:p>
            <w:pPr>
              <w:spacing w:after="0"/>
            </w:pPr>
            <w:r>
              <w:rPr>
                <w:rFonts w:ascii="Calibri" w:hAnsi="Calibri" w:eastAsia="Calibri"/>
                <w:color w:val="172033"/>
                <w:sz w:val="17"/>
              </w:rPr>
              <w:t>app.js:10295</w:t>
            </w:r>
          </w:p>
        </w:tc>
        <w:tc>
          <w:tcPr>
            <w:tcW w:type="dxa" w:w="2360"/>
            <w:vAlign w:val="center"/>
          </w:tcPr>
          <w:p>
            <w:pPr>
              <w:spacing w:after="0"/>
            </w:pPr>
            <w:r>
              <w:rPr>
                <w:rFonts w:ascii="Calibri" w:hAnsi="Calibri" w:eastAsia="Calibri"/>
                <w:color w:val="172033"/>
                <w:sz w:val="17"/>
              </w:rPr>
              <w:t>PR 1</w:t>
            </w:r>
          </w:p>
        </w:tc>
      </w:tr>
      <w:tr>
        <w:trPr>
          <w:cantSplit/>
        </w:trPr>
        <w:tc>
          <w:tcPr>
            <w:tcW w:type="dxa" w:w="2700"/>
            <w:shd w:fill="F8FAFC" w:val="clear"/>
            <w:vAlign w:val="center"/>
          </w:tcPr>
          <w:p>
            <w:pPr>
              <w:spacing w:after="0"/>
            </w:pPr>
            <w:r>
              <w:rPr>
                <w:rFonts w:ascii="Calibri" w:hAnsi="Calibri" w:eastAsia="Calibri"/>
                <w:color w:val="172033"/>
                <w:sz w:val="17"/>
              </w:rPr>
              <w:t>Nova ID a cada inclusão</w:t>
            </w:r>
          </w:p>
        </w:tc>
        <w:tc>
          <w:tcPr>
            <w:tcW w:type="dxa" w:w="4300"/>
            <w:shd w:fill="F8FAFC" w:val="clear"/>
            <w:vAlign w:val="center"/>
          </w:tcPr>
          <w:p>
            <w:pPr>
              <w:spacing w:after="0"/>
            </w:pPr>
            <w:r>
              <w:rPr>
                <w:rFonts w:ascii="Calibri" w:hAnsi="Calibri" w:eastAsia="Calibri"/>
                <w:color w:val="172033"/>
                <w:sz w:val="17"/>
              </w:rPr>
              <w:t>invoice-service.js:339</w:t>
            </w:r>
          </w:p>
        </w:tc>
        <w:tc>
          <w:tcPr>
            <w:tcW w:type="dxa" w:w="2360"/>
            <w:shd w:fill="F8FAFC" w:val="clear"/>
            <w:vAlign w:val="center"/>
          </w:tcPr>
          <w:p>
            <w:pPr>
              <w:spacing w:after="0"/>
            </w:pPr>
            <w:r>
              <w:rPr>
                <w:rFonts w:ascii="Calibri" w:hAnsi="Calibri" w:eastAsia="Calibri"/>
                <w:color w:val="172033"/>
                <w:sz w:val="17"/>
              </w:rPr>
              <w:t>PR 1/5</w:t>
            </w:r>
          </w:p>
        </w:tc>
      </w:tr>
      <w:tr>
        <w:trPr>
          <w:cantSplit/>
        </w:trPr>
        <w:tc>
          <w:tcPr>
            <w:tcW w:type="dxa" w:w="2700"/>
            <w:vAlign w:val="center"/>
          </w:tcPr>
          <w:p>
            <w:pPr>
              <w:spacing w:after="0"/>
            </w:pPr>
            <w:r>
              <w:rPr>
                <w:rFonts w:ascii="Calibri" w:hAnsi="Calibri" w:eastAsia="Calibri"/>
                <w:color w:val="172033"/>
                <w:sz w:val="17"/>
              </w:rPr>
              <w:t>Entidades marcadas como alteradas</w:t>
            </w:r>
          </w:p>
        </w:tc>
        <w:tc>
          <w:tcPr>
            <w:tcW w:type="dxa" w:w="4300"/>
            <w:vAlign w:val="center"/>
          </w:tcPr>
          <w:p>
            <w:pPr>
              <w:spacing w:after="0"/>
            </w:pPr>
            <w:r>
              <w:rPr>
                <w:rFonts w:ascii="Calibri" w:hAnsi="Calibri" w:eastAsia="Calibri"/>
                <w:color w:val="172033"/>
                <w:sz w:val="17"/>
              </w:rPr>
              <w:t>invoice-service.js:274</w:t>
            </w:r>
          </w:p>
        </w:tc>
        <w:tc>
          <w:tcPr>
            <w:tcW w:type="dxa" w:w="2360"/>
            <w:vAlign w:val="center"/>
          </w:tcPr>
          <w:p>
            <w:pPr>
              <w:spacing w:after="0"/>
            </w:pPr>
            <w:r>
              <w:rPr>
                <w:rFonts w:ascii="Calibri" w:hAnsi="Calibri" w:eastAsia="Calibri"/>
                <w:color w:val="172033"/>
                <w:sz w:val="17"/>
              </w:rPr>
              <w:t>PR 1/8</w:t>
            </w:r>
          </w:p>
        </w:tc>
      </w:tr>
      <w:tr>
        <w:trPr>
          <w:cantSplit/>
        </w:trPr>
        <w:tc>
          <w:tcPr>
            <w:tcW w:type="dxa" w:w="2700"/>
            <w:shd w:fill="F8FAFC" w:val="clear"/>
            <w:vAlign w:val="center"/>
          </w:tcPr>
          <w:p>
            <w:pPr>
              <w:spacing w:after="0"/>
            </w:pPr>
            <w:r>
              <w:rPr>
                <w:rFonts w:ascii="Calibri" w:hAnsi="Calibri" w:eastAsia="Calibri"/>
                <w:color w:val="172033"/>
                <w:sz w:val="17"/>
              </w:rPr>
              <w:t>Releitura remota</w:t>
            </w:r>
          </w:p>
        </w:tc>
        <w:tc>
          <w:tcPr>
            <w:tcW w:type="dxa" w:w="4300"/>
            <w:shd w:fill="F8FAFC" w:val="clear"/>
            <w:vAlign w:val="center"/>
          </w:tcPr>
          <w:p>
            <w:pPr>
              <w:spacing w:after="0"/>
            </w:pPr>
            <w:r>
              <w:rPr>
                <w:rFonts w:ascii="Calibri" w:hAnsi="Calibri" w:eastAsia="Calibri"/>
                <w:color w:val="172033"/>
                <w:sz w:val="17"/>
              </w:rPr>
              <w:t>data-service.js:389 e 542</w:t>
            </w:r>
          </w:p>
        </w:tc>
        <w:tc>
          <w:tcPr>
            <w:tcW w:type="dxa" w:w="2360"/>
            <w:shd w:fill="F8FAFC" w:val="clear"/>
            <w:vAlign w:val="center"/>
          </w:tcPr>
          <w:p>
            <w:pPr>
              <w:spacing w:after="0"/>
            </w:pPr>
            <w:r>
              <w:rPr>
                <w:rFonts w:ascii="Calibri" w:hAnsi="Calibri" w:eastAsia="Calibri"/>
                <w:color w:val="172033"/>
                <w:sz w:val="17"/>
              </w:rPr>
              <w:t>PR 1/8</w:t>
            </w:r>
          </w:p>
        </w:tc>
      </w:tr>
      <w:tr>
        <w:trPr>
          <w:cantSplit/>
        </w:trPr>
        <w:tc>
          <w:tcPr>
            <w:tcW w:type="dxa" w:w="2700"/>
            <w:vAlign w:val="center"/>
          </w:tcPr>
          <w:p>
            <w:pPr>
              <w:spacing w:after="0"/>
            </w:pPr>
            <w:r>
              <w:rPr>
                <w:rFonts w:ascii="Calibri" w:hAnsi="Calibri" w:eastAsia="Calibri"/>
                <w:color w:val="172033"/>
                <w:sz w:val="17"/>
              </w:rPr>
              <w:t>RPC de salvamento</w:t>
            </w:r>
          </w:p>
        </w:tc>
        <w:tc>
          <w:tcPr>
            <w:tcW w:type="dxa" w:w="4300"/>
            <w:vAlign w:val="center"/>
          </w:tcPr>
          <w:p>
            <w:pPr>
              <w:spacing w:after="0"/>
            </w:pPr>
            <w:r>
              <w:rPr>
                <w:rFonts w:ascii="Calibri" w:hAnsi="Calibri" w:eastAsia="Calibri"/>
                <w:color w:val="172033"/>
                <w:sz w:val="17"/>
              </w:rPr>
              <w:t>supabase-repository.js:646</w:t>
            </w:r>
          </w:p>
        </w:tc>
        <w:tc>
          <w:tcPr>
            <w:tcW w:type="dxa" w:w="2360"/>
            <w:vAlign w:val="center"/>
          </w:tcPr>
          <w:p>
            <w:pPr>
              <w:spacing w:after="0"/>
            </w:pPr>
            <w:r>
              <w:rPr>
                <w:rFonts w:ascii="Calibri" w:hAnsi="Calibri" w:eastAsia="Calibri"/>
                <w:color w:val="172033"/>
                <w:sz w:val="17"/>
              </w:rPr>
              <w:t>PR 5/8</w:t>
            </w:r>
          </w:p>
        </w:tc>
      </w:tr>
      <w:tr>
        <w:trPr>
          <w:cantSplit/>
        </w:trPr>
        <w:tc>
          <w:tcPr>
            <w:tcW w:type="dxa" w:w="2700"/>
            <w:shd w:fill="F8FAFC" w:val="clear"/>
            <w:vAlign w:val="center"/>
          </w:tcPr>
          <w:p>
            <w:pPr>
              <w:spacing w:after="0"/>
            </w:pPr>
            <w:r>
              <w:rPr>
                <w:rFonts w:ascii="Calibri" w:hAnsi="Calibri" w:eastAsia="Calibri"/>
                <w:color w:val="172033"/>
                <w:sz w:val="17"/>
              </w:rPr>
              <w:t>Transição limpa Assessoria</w:t>
            </w:r>
          </w:p>
        </w:tc>
        <w:tc>
          <w:tcPr>
            <w:tcW w:type="dxa" w:w="4300"/>
            <w:shd w:fill="F8FAFC" w:val="clear"/>
            <w:vAlign w:val="center"/>
          </w:tcPr>
          <w:p>
            <w:pPr>
              <w:spacing w:after="0"/>
            </w:pPr>
            <w:r>
              <w:rPr>
                <w:rFonts w:ascii="Calibri" w:hAnsi="Calibri" w:eastAsia="Calibri"/>
                <w:color w:val="172033"/>
                <w:sz w:val="17"/>
              </w:rPr>
              <w:t>verification-service.js:288</w:t>
            </w:r>
          </w:p>
        </w:tc>
        <w:tc>
          <w:tcPr>
            <w:tcW w:type="dxa" w:w="2360"/>
            <w:shd w:fill="F8FAFC" w:val="clear"/>
            <w:vAlign w:val="center"/>
          </w:tcPr>
          <w:p>
            <w:pPr>
              <w:spacing w:after="0"/>
            </w:pPr>
            <w:r>
              <w:rPr>
                <w:rFonts w:ascii="Calibri" w:hAnsi="Calibri" w:eastAsia="Calibri"/>
                <w:color w:val="172033"/>
                <w:sz w:val="17"/>
              </w:rPr>
              <w:t>PR 2</w:t>
            </w:r>
          </w:p>
        </w:tc>
      </w:tr>
      <w:tr>
        <w:trPr>
          <w:cantSplit/>
        </w:trPr>
        <w:tc>
          <w:tcPr>
            <w:tcW w:type="dxa" w:w="2700"/>
            <w:vAlign w:val="center"/>
          </w:tcPr>
          <w:p>
            <w:pPr>
              <w:spacing w:after="0"/>
            </w:pPr>
            <w:r>
              <w:rPr>
                <w:rFonts w:ascii="Calibri" w:hAnsi="Calibri" w:eastAsia="Calibri"/>
                <w:color w:val="172033"/>
                <w:sz w:val="17"/>
              </w:rPr>
              <w:t>Fallback visual N/A</w:t>
            </w:r>
          </w:p>
        </w:tc>
        <w:tc>
          <w:tcPr>
            <w:tcW w:type="dxa" w:w="4300"/>
            <w:vAlign w:val="center"/>
          </w:tcPr>
          <w:p>
            <w:pPr>
              <w:spacing w:after="0"/>
            </w:pPr>
            <w:r>
              <w:rPr>
                <w:rFonts w:ascii="Calibri" w:hAnsi="Calibri" w:eastAsia="Calibri"/>
                <w:color w:val="172033"/>
                <w:sz w:val="17"/>
              </w:rPr>
              <w:t>app.js:10022 e 10067</w:t>
            </w:r>
          </w:p>
        </w:tc>
        <w:tc>
          <w:tcPr>
            <w:tcW w:type="dxa" w:w="2360"/>
            <w:vAlign w:val="center"/>
          </w:tcPr>
          <w:p>
            <w:pPr>
              <w:spacing w:after="0"/>
            </w:pPr>
            <w:r>
              <w:rPr>
                <w:rFonts w:ascii="Calibri" w:hAnsi="Calibri" w:eastAsia="Calibri"/>
                <w:color w:val="172033"/>
                <w:sz w:val="17"/>
              </w:rPr>
              <w:t>PR 2</w:t>
            </w:r>
          </w:p>
        </w:tc>
      </w:tr>
      <w:tr>
        <w:trPr>
          <w:cantSplit/>
        </w:trPr>
        <w:tc>
          <w:tcPr>
            <w:tcW w:type="dxa" w:w="2700"/>
            <w:shd w:fill="F8FAFC" w:val="clear"/>
            <w:vAlign w:val="center"/>
          </w:tcPr>
          <w:p>
            <w:pPr>
              <w:spacing w:after="0"/>
            </w:pPr>
            <w:r>
              <w:rPr>
                <w:rFonts w:ascii="Calibri" w:hAnsi="Calibri" w:eastAsia="Calibri"/>
                <w:color w:val="172033"/>
                <w:sz w:val="17"/>
              </w:rPr>
              <w:t>Consolidação pela bonificação</w:t>
            </w:r>
          </w:p>
        </w:tc>
        <w:tc>
          <w:tcPr>
            <w:tcW w:type="dxa" w:w="4300"/>
            <w:shd w:fill="F8FAFC" w:val="clear"/>
            <w:vAlign w:val="center"/>
          </w:tcPr>
          <w:p>
            <w:pPr>
              <w:spacing w:after="0"/>
            </w:pPr>
            <w:r>
              <w:rPr>
                <w:rFonts w:ascii="Calibri" w:hAnsi="Calibri" w:eastAsia="Calibri"/>
                <w:color w:val="172033"/>
                <w:sz w:val="17"/>
              </w:rPr>
              <w:t>fluxo-operacional.js:81</w:t>
            </w:r>
          </w:p>
        </w:tc>
        <w:tc>
          <w:tcPr>
            <w:tcW w:type="dxa" w:w="2360"/>
            <w:shd w:fill="F8FAFC" w:val="clear"/>
            <w:vAlign w:val="center"/>
          </w:tcPr>
          <w:p>
            <w:pPr>
              <w:spacing w:after="0"/>
            </w:pPr>
            <w:r>
              <w:rPr>
                <w:rFonts w:ascii="Calibri" w:hAnsi="Calibri" w:eastAsia="Calibri"/>
                <w:color w:val="172033"/>
                <w:sz w:val="17"/>
              </w:rPr>
              <w:t>Preservar</w:t>
            </w:r>
          </w:p>
        </w:tc>
      </w:tr>
      <w:tr>
        <w:trPr>
          <w:cantSplit/>
        </w:trPr>
        <w:tc>
          <w:tcPr>
            <w:tcW w:type="dxa" w:w="2700"/>
            <w:vAlign w:val="center"/>
          </w:tcPr>
          <w:p>
            <w:pPr>
              <w:spacing w:after="0"/>
            </w:pPr>
            <w:r>
              <w:rPr>
                <w:rFonts w:ascii="Calibri" w:hAnsi="Calibri" w:eastAsia="Calibri"/>
                <w:color w:val="172033"/>
                <w:sz w:val="17"/>
              </w:rPr>
              <w:t>Incorreto exige pendência</w:t>
            </w:r>
          </w:p>
        </w:tc>
        <w:tc>
          <w:tcPr>
            <w:tcW w:type="dxa" w:w="4300"/>
            <w:vAlign w:val="center"/>
          </w:tcPr>
          <w:p>
            <w:pPr>
              <w:spacing w:after="0"/>
            </w:pPr>
            <w:r>
              <w:rPr>
                <w:rFonts w:ascii="Calibri" w:hAnsi="Calibri" w:eastAsia="Calibri"/>
                <w:color w:val="172033"/>
                <w:sz w:val="17"/>
              </w:rPr>
              <w:t>verification-service.js:329</w:t>
            </w:r>
          </w:p>
        </w:tc>
        <w:tc>
          <w:tcPr>
            <w:tcW w:type="dxa" w:w="2360"/>
            <w:vAlign w:val="center"/>
          </w:tcPr>
          <w:p>
            <w:pPr>
              <w:spacing w:after="0"/>
            </w:pPr>
            <w:r>
              <w:rPr>
                <w:rFonts w:ascii="Calibri" w:hAnsi="Calibri" w:eastAsia="Calibri"/>
                <w:color w:val="172033"/>
                <w:sz w:val="17"/>
              </w:rPr>
              <w:t>Preservar/PR 3</w:t>
            </w:r>
          </w:p>
        </w:tc>
      </w:tr>
      <w:tr>
        <w:trPr>
          <w:cantSplit/>
        </w:trPr>
        <w:tc>
          <w:tcPr>
            <w:tcW w:type="dxa" w:w="2700"/>
            <w:shd w:fill="F8FAFC" w:val="clear"/>
            <w:vAlign w:val="center"/>
          </w:tcPr>
          <w:p>
            <w:pPr>
              <w:spacing w:after="0"/>
            </w:pPr>
            <w:r>
              <w:rPr>
                <w:rFonts w:ascii="Calibri" w:hAnsi="Calibri" w:eastAsia="Calibri"/>
                <w:color w:val="172033"/>
                <w:sz w:val="17"/>
              </w:rPr>
              <w:t>Instalação expira</w:t>
            </w:r>
          </w:p>
        </w:tc>
        <w:tc>
          <w:tcPr>
            <w:tcW w:type="dxa" w:w="4300"/>
            <w:shd w:fill="F8FAFC" w:val="clear"/>
            <w:vAlign w:val="center"/>
          </w:tcPr>
          <w:p>
            <w:pPr>
              <w:spacing w:after="0"/>
            </w:pPr>
            <w:r>
              <w:rPr>
                <w:rFonts w:ascii="Calibri" w:hAnsi="Calibri" w:eastAsia="Calibri"/>
                <w:color w:val="172033"/>
                <w:sz w:val="17"/>
              </w:rPr>
              <w:t>atomic-analysis-pendency.js:392</w:t>
            </w:r>
          </w:p>
        </w:tc>
        <w:tc>
          <w:tcPr>
            <w:tcW w:type="dxa" w:w="2360"/>
            <w:shd w:fill="F8FAFC" w:val="clear"/>
            <w:vAlign w:val="center"/>
          </w:tcPr>
          <w:p>
            <w:pPr>
              <w:spacing w:after="0"/>
            </w:pPr>
            <w:r>
              <w:rPr>
                <w:rFonts w:ascii="Calibri" w:hAnsi="Calibri" w:eastAsia="Calibri"/>
                <w:color w:val="172033"/>
                <w:sz w:val="17"/>
              </w:rPr>
              <w:t>PR 3</w:t>
            </w:r>
          </w:p>
        </w:tc>
      </w:tr>
      <w:tr>
        <w:trPr>
          <w:cantSplit/>
        </w:trPr>
        <w:tc>
          <w:tcPr>
            <w:tcW w:type="dxa" w:w="2700"/>
            <w:vAlign w:val="center"/>
          </w:tcPr>
          <w:p>
            <w:pPr>
              <w:spacing w:after="0"/>
            </w:pPr>
            <w:r>
              <w:rPr>
                <w:rFonts w:ascii="Calibri" w:hAnsi="Calibri" w:eastAsia="Calibri"/>
                <w:color w:val="172033"/>
                <w:sz w:val="17"/>
              </w:rPr>
              <w:t>Ready confirma scripts, não instalação</w:t>
            </w:r>
          </w:p>
        </w:tc>
        <w:tc>
          <w:tcPr>
            <w:tcW w:type="dxa" w:w="4300"/>
            <w:vAlign w:val="center"/>
          </w:tcPr>
          <w:p>
            <w:pPr>
              <w:spacing w:after="0"/>
            </w:pPr>
            <w:r>
              <w:rPr>
                <w:rFonts w:ascii="Calibri" w:hAnsi="Calibri" w:eastAsia="Calibri"/>
                <w:color w:val="172033"/>
                <w:sz w:val="17"/>
              </w:rPr>
              <w:t>product-extensions-bootstrap.js:79</w:t>
            </w:r>
          </w:p>
        </w:tc>
        <w:tc>
          <w:tcPr>
            <w:tcW w:type="dxa" w:w="2360"/>
            <w:vAlign w:val="center"/>
          </w:tcPr>
          <w:p>
            <w:pPr>
              <w:spacing w:after="0"/>
            </w:pPr>
            <w:r>
              <w:rPr>
                <w:rFonts w:ascii="Calibri" w:hAnsi="Calibri" w:eastAsia="Calibri"/>
                <w:color w:val="172033"/>
                <w:sz w:val="17"/>
              </w:rPr>
              <w:t>PR 3</w:t>
            </w:r>
          </w:p>
        </w:tc>
      </w:tr>
    </w:tbl>
    <w:p>
      <w:pPr>
        <w:spacing w:after="0"/>
      </w:pPr>
    </w:p>
    <w:p>
      <w:pPr>
        <w:pStyle w:val="Heading1"/>
        <w:keepNext/>
        <w:keepLines/>
        <w:widowControl/>
      </w:pPr>
      <w:r>
        <w:t>Referências internas</w:t>
      </w:r>
    </w:p>
    <w:p>
      <w:pPr>
        <w:pStyle w:val="ReportBullet"/>
        <w:widowControl/>
      </w:pPr>
      <w:r>
        <w:t>docs/decisions/ADR-044-pendencias-passivo-transversal.md</w:t>
      </w:r>
    </w:p>
    <w:p>
      <w:pPr>
        <w:pStyle w:val="ReportBullet"/>
        <w:widowControl/>
      </w:pPr>
      <w:r>
        <w:t>docs/architecture/avaliacao-mensal.md</w:t>
      </w:r>
    </w:p>
    <w:p>
      <w:pPr>
        <w:pStyle w:val="ReportBullet"/>
        <w:widowControl/>
      </w:pPr>
      <w:r>
        <w:t>docs/architecture/product-extensions-load-order.md</w:t>
      </w:r>
    </w:p>
    <w:p>
      <w:pPr>
        <w:pStyle w:val="ReportBullet"/>
        <w:widowControl/>
      </w:pPr>
      <w:r>
        <w:t>docs/decisions/ADR-046-escritas-operacionais-incrementais-e-observaveis.md</w:t>
      </w:r>
    </w:p>
    <w:p>
      <w:pPr>
        <w:pStyle w:val="ReportBullet"/>
        <w:widowControl/>
      </w:pPr>
      <w:r>
        <w:t>docs/reference/FUNCTIONAL_CONTRACT_MATRIX.md</w:t>
      </w:r>
    </w:p>
    <w:p>
      <w:pPr>
        <w:pStyle w:val="ReportBullet"/>
        <w:widowControl/>
      </w:pPr>
      <w:r>
        <w:t>docs/PROJECT_CONTEXT.md</w:t>
      </w:r>
    </w:p>
    <w:p>
      <w:pPr>
        <w:widowControl/>
      </w:pPr>
      <w:r>
        <w:t>Fim do relatório.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6D28D9"/>
      </w:pBdr>
    </w:pPr>
    <w:r>
      <w:rPr>
        <w:rFonts w:ascii="Calibri" w:hAnsi="Calibri" w:eastAsia="Calibri"/>
        <w:b/>
        <w:color w:val="667085"/>
        <w:sz w:val="17"/>
      </w:rPr>
      <w:t>RADAR PDDE 2026  |  PLANO INTEGRADO DE CORREÇÕES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b w:val="0"/>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Calibri" w:hAnsi="Calibri" w:eastAsia="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ascii="Calibri" w:hAnsi="Calibri" w:eastAsia="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20"/>
      <w:jc w:val="center"/>
    </w:pPr>
    <w:rPr>
      <w:rFonts w:ascii="Calibri" w:hAnsi="Calibri" w:eastAsia="Calibri"/>
      <w:b w:val="0"/>
      <w:bCs/>
      <w:i/>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widowControl/>
      <w:spacing w:after="60" w:line="240" w:lineRule="auto"/>
    </w:pPr>
    <w:rPr>
      <w:rFonts w:ascii="Calibri" w:hAnsi="Calibri" w:eastAsia="Calibri"/>
      <w:b/>
      <w:color w:val="6D28D9"/>
      <w:sz w:val="18"/>
    </w:rPr>
  </w:style>
  <w:style w:type="paragraph" w:customStyle="1" w:styleId="ReportMetadata">
    <w:name w:val="Report Metadata"/>
    <w:pPr>
      <w:widowControl/>
      <w:spacing w:after="60" w:line="240" w:lineRule="auto"/>
    </w:pPr>
    <w:rPr>
      <w:rFonts w:ascii="Calibri" w:hAnsi="Calibri" w:eastAsia="Calibri"/>
      <w:b w:val="0"/>
      <w:color w:val="667085"/>
      <w:sz w:val="18"/>
    </w:rPr>
  </w:style>
  <w:style w:type="paragraph" w:customStyle="1" w:styleId="ReportBullet">
    <w:name w:val="Report Bullet"/>
    <w:basedOn w:val="ListBullet"/>
    <w:pPr>
      <w:widowControl/>
      <w:spacing w:after="160" w:line="280" w:lineRule="auto"/>
      <w:ind w:left="720" w:hanging="360"/>
    </w:pPr>
    <w:rPr>
      <w:rFonts w:ascii="Calibri" w:hAnsi="Calibri" w:eastAsia="Calibri"/>
      <w:b w:val="0"/>
      <w:color w:val="172033"/>
      <w:sz w:val="21"/>
    </w:rPr>
  </w:style>
  <w:style w:type="paragraph" w:customStyle="1" w:styleId="ReportBullet2">
    <w:name w:val="Report Bullet 2"/>
    <w:basedOn w:val="ListBullet2"/>
    <w:pPr>
      <w:widowControl/>
      <w:spacing w:after="160" w:line="280" w:lineRule="auto"/>
      <w:ind w:left="1080" w:hanging="360"/>
    </w:pPr>
    <w:rPr>
      <w:rFonts w:ascii="Calibri" w:hAnsi="Calibri" w:eastAsia="Calibri"/>
      <w:b w:val="0"/>
      <w:color w:val="172033"/>
      <w:sz w:val="20"/>
    </w:rPr>
  </w:style>
  <w:style w:type="paragraph" w:customStyle="1" w:styleId="ReportNumber">
    <w:name w:val="Report Number"/>
    <w:basedOn w:val="ListNumber"/>
    <w:pPr>
      <w:widowControl/>
      <w:spacing w:after="160" w:line="280" w:lineRule="auto"/>
      <w:ind w:left="720" w:hanging="360"/>
    </w:pPr>
    <w:rPr>
      <w:rFonts w:ascii="Calibri" w:hAnsi="Calibri" w:eastAsia="Calibri"/>
      <w:b w:val="0"/>
      <w:color w:val="1720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mestre sequencial de correções — RADAR PDDE 2026</dc:title>
  <dc:subject>Plano mestre sequencial: despesas, consolidação, prontidão operacional e gestão de pendências</dc:subject>
  <dc:creator>OpenAI — análise assistida para RADAR PDDE</dc:creator>
  <cp:keywords>RADAR PDDE, despesas, consolidação, pendências, Supabase, UX, plano de correção</cp:keywords>
  <dc:description>Documento de diagnóstico e planejamento. Nenhuma alteração operacional executada.</dc:description>
  <cp:lastModifiedBy/>
  <cp:revision>1</cp:revision>
  <dcterms:created xsi:type="dcterms:W3CDTF">2013-12-23T23:15:00Z</dcterms:created>
  <dcterms:modified xsi:type="dcterms:W3CDTF">2013-12-23T23:15:00Z</dcterms:modified>
  <cp:category/>
</cp:coreProperties>
</file>