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t xml:space="preserve"/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475569"/>
          <w:sz w:val="20"/>
          <w:szCs w:val="20"/>
        </w:rPr>
        <w:t xml:space="preserve">SECRETARIA MUNICIPAL DE EDUCAÇÃO DO RIO DE JANEIRO</w:t>
      </w:r>
    </w:p>
    <w:p>
      <w:pPr>
        <w:spacing w:after="420"/>
        <w:jc w:val="center"/>
      </w:pPr>
      <w:r>
        <w:rPr>
          <w:rFonts w:ascii="Calibri Light" w:cs="Calibri Light" w:eastAsia="Calibri Light" w:hAnsi="Calibri Light"/>
          <w:color w:val="475569"/>
          <w:sz w:val="19"/>
          <w:szCs w:val="19"/>
        </w:rPr>
        <w:t xml:space="preserve">3ª Coordenadoria Regional de Educação  ·  Gerência de Operações (GOP)</w:t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340"/>
              <w:left w:type="dxa" w:w="200"/>
              <w:bottom w:type="dxa" w:w="340"/>
              <w:right w:type="dxa" w:w="20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PLANO DE MIGRAÇÃO</w:t>
            </w:r>
          </w:p>
          <w:p>
            <w:pPr>
              <w:jc w:val="center"/>
            </w:pPr>
            <w:r>
              <w:rPr>
                <w:rFonts w:ascii="Calibri Light" w:cs="Calibri Light" w:eastAsia="Calibri Light" w:hAnsi="Calibri Light"/>
                <w:color w:val="D9E2F3"/>
                <w:sz w:val="28"/>
                <w:szCs w:val="28"/>
              </w:rPr>
              <w:t xml:space="preserve">Controle de Climatização → Microsoft Lists</w:t>
            </w:r>
          </w:p>
        </w:tc>
      </w:tr>
    </w:tbl>
    <w:p>
      <w:pPr>
        <w:spacing w:before="360"/>
      </w:pPr>
      <w:r>
        <w:t xml:space="preserve"/>
      </w:r>
    </w:p>
    <w:p>
      <w:pPr>
        <w:spacing w:after="600"/>
        <w:jc w:val="center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Planejamento inicial para transição do controle de acompanhamento das solicitações de climatização para uma solução online de registro</w:t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left w:val="single" w:color="2E75B6" w:sz="18"/>
            </w:tcBorders>
            <w:shd w:fill="EB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NOTA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Documento de planejamento. </w:t>
            </w: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Define a estrutura, o roteiro e os pré-requisitos da migração. Pode ser usado como base para alinhamento com a equipe de Tecnologia da Informação da SME quanto a permissões e governança.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F3864" w:sz="2" w:space="4"/>
        </w:pBdr>
        <w:shd w:fill="1F3864" w:val="clear"/>
        <w:spacing w:after="160" w:before="2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1   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Objetivo e escopo  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Este plano orienta a transição do controle de acompanhamento das solicitações de climatização da GOP — hoje mantido em planilha — para o Microsoft Lists, mantendo exatamente as mesmas funções de acompanhamento setorial, sem ampliação de escopo.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O objetivo é único e deliberadamente enxuto: </w:t>
      </w: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permitir que a GOP responda com rapidez e rastreabilidade às perguntas do dia a dia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 — qual a situação de uma solicitação, com quem está a pendência, qual foi a última movimentação, se a CTO já foi comunicada e o que falta para avançar.</w:t>
      </w:r>
    </w:p>
    <w:p>
      <w:pPr>
        <w:pStyle w:val="Heading2"/>
        <w:pBdr>
          <w:bottom w:val="single" w:color="2E75B6" w:sz="6" w:space="3"/>
        </w:pBd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O que o controle É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i/>
          <w:iCs/>
          <w:color w:val="475569"/>
          <w:sz w:val="21"/>
          <w:szCs w:val="21"/>
        </w:rPr>
        <w:t xml:space="preserve">Uma central simples de acompanhamento setorial das solicitações de climatização, voltada ao controle de status, responsável atual, pendências, prazo de atualização e comunicação entre a GOP e os setores envolvidos.</w:t>
      </w:r>
    </w:p>
    <w:p>
      <w:pPr>
        <w:pStyle w:val="Heading2"/>
        <w:pBdr>
          <w:bottom w:val="single" w:color="2E75B6" w:sz="6" w:space="3"/>
        </w:pBd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O que o controle NÃO é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Para encerrar definitivamente o risco de ampliação de escopo, ficam expressamente fora deste projeto: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Controle de estoque de aparelhos.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Gestão completa da entrega e logística da CTO.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Inventário técnico total da climatização das unidades.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Fluxo de trabalho automático entre setores e aprovações.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Controle patrimonial e integração com o SEI ou outros sistemas.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Painéis analíticos sofisticados e automações avançadas.</w:t>
      </w:r>
    </w:p>
    <w:p>
      <w:pPr>
        <w:spacing w:after="60"/>
      </w:pPr>
      <w:r>
        <w:rPr>
          <w:sz w:val="2"/>
          <w:szCs w:val="2"/>
        </w:rPr>
        <w:t xml:space="preserve"/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left w:val="single" w:color="C00000" w:sz="18"/>
            </w:tcBorders>
            <w:shd w:fill="FBE5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IMPORTANTE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A regra de ouro do projeto: </w:t>
            </w: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toda funcionalidade que não exista hoje na planilha de acompanhamento também não deve entrar no Lists. A migração replica; não expande.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2" w:space="4"/>
        </w:pBdr>
        <w:shd w:fill="1F3864" w:val="clear"/>
        <w:spacing w:after="160" w:before="2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2   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Por que Microsoft Lists  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A planilha cumpriu o papel de definir e validar o modelo de controle: os campos necessários, os estágios do fluxo, os setores e as visões que a GOP consulta. Para a operação contínua, porém, o Lists é a ferramenta adequada, por uma razão conceitual simples.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O Excel é uma ferramenta de </w:t>
      </w: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cálculo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; fazê-lo funcionar como cadastro exige fórmulas e visões automáticas que são frágeis. O Lists é uma ferramenta de </w:t>
      </w: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registro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: cada chamado é um item com campos próprios, e filtrar, agrupar e colorir são recursos nativos, sem fórmula.</w:t>
      </w:r>
    </w:p>
    <w:p>
      <w:pPr>
        <w:pStyle w:val="Heading2"/>
        <w:pBdr>
          <w:bottom w:val="single" w:color="2E75B6" w:sz="6" w:space="3"/>
        </w:pBd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Ganhos concretos da migração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Sem fórmulas frágeis. 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Acaba o risco de o arquivo precisar de reparo ou perder cálculos ao abrir.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Vários usuários ao mesmo tempo. 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A equipe da GOP edita simultaneamente, sem conflito de versões.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Rastreabilidade automática. 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Cada alteração de um chamado fica registrada com autor e data — auditoria embutida.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Acesso no navegador e no celular, 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sem instalar nada.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Visões filtradas nativas, 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que substituem as abas automáticas da planilha com um clique.</w:t>
      </w:r>
    </w:p>
    <w:p>
      <w:pPr>
        <w:pStyle w:val="Heading1"/>
        <w:pBdr>
          <w:bottom w:val="single" w:color="1F3864" w:sz="2" w:space="4"/>
        </w:pBdr>
        <w:shd w:fill="1F3864" w:val="clear"/>
        <w:spacing w:after="160" w:before="2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3   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Arquitetura da solução  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A solução usa duas listas que se relacionam, espelhando a separação que já existe na planilha entre os chamados e o cadastro de escolas:</w:t>
      </w:r>
    </w:p>
    <w:p>
      <w:pPr>
        <w:spacing w:after="40"/>
      </w:pPr>
      <w:r>
        <w:rPr>
          <w:sz w:val="2"/>
          <w:szCs w:val="2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rPr>
          <w:tblHeader/>
        </w:trP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 Light" w:cs="Calibri Light" w:eastAsia="Calibri Light" w:hAnsi="Calibri Light"/>
                <w:b/>
                <w:bCs/>
                <w:color w:val="FFFFFF"/>
                <w:sz w:val="18"/>
                <w:szCs w:val="18"/>
              </w:rPr>
              <w:t xml:space="preserve">Lista</w:t>
            </w:r>
          </w:p>
        </w:tc>
        <w:tc>
          <w:tcPr>
            <w:tcW w:type="dxa" w:w="67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 Light" w:cs="Calibri Light" w:eastAsia="Calibri Light" w:hAnsi="Calibri Light"/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Chamados de Climatização</w:t>
            </w:r>
          </w:p>
        </w:tc>
        <w:tc>
          <w:tcPr>
            <w:tcW w:type="dxa" w:w="67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Lista principal. Cada item é uma solicitação, com status, responsável e providências. É onde o trabalho diário acontece.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Escolas da 3ª CRE</w:t>
            </w:r>
          </w:p>
        </w:tc>
        <w:tc>
          <w:tcPr>
            <w:tcW w:type="dxa" w:w="67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Lista de apoio (referência). Contém as 134 unidades com designação, endereço e bairro. Alimenta os chamados automaticamente.</w:t>
            </w:r>
          </w:p>
        </w:tc>
      </w:tr>
    </w:tbl>
    <w:p>
      <w:pPr>
        <w:spacing w:after="80"/>
      </w:pPr>
      <w:r>
        <w:rPr>
          <w:sz w:val="2"/>
          <w:szCs w:val="2"/>
        </w:rPr>
        <w:t xml:space="preserve"/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A ligação entre elas é feita por uma </w:t>
      </w: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coluna de Pesquisa (lookup)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: ao registrar um chamado, a pessoa escolhe a escola na lista de apoio e os dados cadastrais ficam vinculados — o mesmo efeito que o preenchimento automático da designação que a planilha faz hoje.</w:t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left w:val="single" w:color="2E75B6" w:sz="18"/>
            </w:tcBorders>
            <w:shd w:fill="EB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NOTA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Alternativa mais simples: </w:t>
            </w: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se a vinculação entre listas se mostrar trabalhosa no início, é possível começar com uma única lista de chamados e a escola como campo de texto/escolha. A lista de escolas pode ser adicionada depois, sem retrabalho.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2" w:space="4"/>
        </w:pBdr>
        <w:shd w:fill="1F3864" w:val="clear"/>
        <w:spacing w:after="160" w:before="2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4   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Estrutura da lista “Chamados de Climatização”  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Cada coluna abaixo corresponde a um campo da planilha. A coluna “Tipo no Lists” indica como criá-la. Os campos marcados como Essencial formam o núcleo mínimo; os Opcionais são os dados técnicos, que podem ser incluídos ou não conforme a necessidade.</w:t>
      </w:r>
    </w:p>
    <w:p>
      <w:pPr>
        <w:spacing w:after="40"/>
      </w:pPr>
      <w:r>
        <w:rPr>
          <w:sz w:val="2"/>
          <w:szCs w:val="2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300"/>
        <w:gridCol w:w="4746"/>
      </w:tblGrid>
      <w:tr>
        <w:trPr>
          <w:tblHeader/>
        </w:trPr>
        <w:tc>
          <w:tcPr>
            <w:tcW w:type="dxa" w:w="2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 Light" w:cs="Calibri Light" w:eastAsia="Calibri Light" w:hAnsi="Calibri Light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 Light" w:cs="Calibri Light" w:eastAsia="Calibri Light" w:hAnsi="Calibri Light"/>
                <w:b/>
                <w:bCs/>
                <w:color w:val="FFFFFF"/>
                <w:sz w:val="18"/>
                <w:szCs w:val="18"/>
              </w:rPr>
              <w:t xml:space="preserve">Tipo no Lists</w:t>
            </w:r>
          </w:p>
        </w:tc>
        <w:tc>
          <w:tcPr>
            <w:tcW w:type="dxa" w:w="47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 Light" w:cs="Calibri Light" w:eastAsia="Calibri Light" w:hAnsi="Calibri Light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2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Código do chamado</w:t>
            </w:r>
          </w:p>
        </w:tc>
        <w:tc>
          <w:tcPr>
            <w:tcW w:type="dxa" w:w="2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Texto (Título)</w:t>
            </w:r>
          </w:p>
        </w:tc>
        <w:tc>
          <w:tcPr>
            <w:tcW w:type="dxa" w:w="47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Use a coluna Título nativa, renomeada. Padrão GOP-AR-AAAA-NNNN. (Essencial)</w:t>
            </w:r>
          </w:p>
        </w:tc>
      </w:tr>
      <w:tr>
        <w:tc>
          <w:tcPr>
            <w:tcW w:type="dxa" w:w="2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Unidade escolar</w:t>
            </w:r>
          </w:p>
        </w:tc>
        <w:tc>
          <w:tcPr>
            <w:tcW w:type="dxa" w:w="2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Pesquisa → Escolas</w:t>
            </w:r>
          </w:p>
        </w:tc>
        <w:tc>
          <w:tcPr>
            <w:tcW w:type="dxa" w:w="47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Traz a designação/endereço vinculados. (Essencial)</w:t>
            </w:r>
          </w:p>
        </w:tc>
      </w:tr>
      <w:tr>
        <w:tc>
          <w:tcPr>
            <w:tcW w:type="dxa" w:w="2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Local da demanda</w:t>
            </w:r>
          </w:p>
        </w:tc>
        <w:tc>
          <w:tcPr>
            <w:tcW w:type="dxa" w:w="2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Texto</w:t>
            </w:r>
          </w:p>
        </w:tc>
        <w:tc>
          <w:tcPr>
            <w:tcW w:type="dxa" w:w="47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Sala, secretaria, direção, etc. (Essencial)</w:t>
            </w:r>
          </w:p>
        </w:tc>
      </w:tr>
      <w:tr>
        <w:tc>
          <w:tcPr>
            <w:tcW w:type="dxa" w:w="2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Tipo de demanda</w:t>
            </w:r>
          </w:p>
        </w:tc>
        <w:tc>
          <w:tcPr>
            <w:tcW w:type="dxa" w:w="2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Escolha</w:t>
            </w:r>
          </w:p>
        </w:tc>
        <w:tc>
          <w:tcPr>
            <w:tcW w:type="dxa" w:w="47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Instalação, substituição, manutenção… (Essencial)</w:t>
            </w:r>
          </w:p>
        </w:tc>
      </w:tr>
      <w:tr>
        <w:tc>
          <w:tcPr>
            <w:tcW w:type="dxa" w:w="2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Status atual</w:t>
            </w:r>
          </w:p>
        </w:tc>
        <w:tc>
          <w:tcPr>
            <w:tcW w:type="dxa" w:w="2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Escolha</w:t>
            </w:r>
          </w:p>
        </w:tc>
        <w:tc>
          <w:tcPr>
            <w:tcW w:type="dxa" w:w="47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Os 29 estágios do POP (seção 6). (Essencial)</w:t>
            </w:r>
          </w:p>
        </w:tc>
      </w:tr>
      <w:tr>
        <w:tc>
          <w:tcPr>
            <w:tcW w:type="dxa" w:w="2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Setor responsável atual</w:t>
            </w:r>
          </w:p>
        </w:tc>
        <w:tc>
          <w:tcPr>
            <w:tcW w:type="dxa" w:w="2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Escolha</w:t>
            </w:r>
          </w:p>
        </w:tc>
        <w:tc>
          <w:tcPr>
            <w:tcW w:type="dxa" w:w="47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Quem precisa agir agora. (Essencial)</w:t>
            </w:r>
          </w:p>
        </w:tc>
      </w:tr>
      <w:tr>
        <w:tc>
          <w:tcPr>
            <w:tcW w:type="dxa" w:w="2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Próxima providência</w:t>
            </w:r>
          </w:p>
        </w:tc>
        <w:tc>
          <w:tcPr>
            <w:tcW w:type="dxa" w:w="2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Texto (várias linhas)</w:t>
            </w:r>
          </w:p>
        </w:tc>
        <w:tc>
          <w:tcPr>
            <w:tcW w:type="dxa" w:w="47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O que falta fazer. (Essencial)</w:t>
            </w:r>
          </w:p>
        </w:tc>
      </w:tr>
      <w:tr>
        <w:tc>
          <w:tcPr>
            <w:tcW w:type="dxa" w:w="2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Informação validada</w:t>
            </w:r>
          </w:p>
        </w:tc>
        <w:tc>
          <w:tcPr>
            <w:tcW w:type="dxa" w:w="2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Escolha</w:t>
            </w:r>
          </w:p>
        </w:tc>
        <w:tc>
          <w:tcPr>
            <w:tcW w:type="dxa" w:w="47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Sim / Pendente de vistoria / Não validada. (Essencial)</w:t>
            </w:r>
          </w:p>
        </w:tc>
      </w:tr>
      <w:tr>
        <w:tc>
          <w:tcPr>
            <w:tcW w:type="dxa" w:w="2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Prioridade</w:t>
            </w:r>
          </w:p>
        </w:tc>
        <w:tc>
          <w:tcPr>
            <w:tcW w:type="dxa" w:w="2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Escolha</w:t>
            </w:r>
          </w:p>
        </w:tc>
        <w:tc>
          <w:tcPr>
            <w:tcW w:type="dxa" w:w="47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Baixa / Média / Alta / Crítica. (Essencial)</w:t>
            </w:r>
          </w:p>
        </w:tc>
      </w:tr>
      <w:tr>
        <w:tc>
          <w:tcPr>
            <w:tcW w:type="dxa" w:w="2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Comunicação à CTO</w:t>
            </w:r>
          </w:p>
        </w:tc>
        <w:tc>
          <w:tcPr>
            <w:tcW w:type="dxa" w:w="2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Sim/Não</w:t>
            </w:r>
          </w:p>
        </w:tc>
        <w:tc>
          <w:tcPr>
            <w:tcW w:type="dxa" w:w="47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Marca se a CTO já foi comunicada. (Essencial)</w:t>
            </w:r>
          </w:p>
        </w:tc>
      </w:tr>
      <w:tr>
        <w:tc>
          <w:tcPr>
            <w:tcW w:type="dxa" w:w="2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Data da comunicação à CTO</w:t>
            </w:r>
          </w:p>
        </w:tc>
        <w:tc>
          <w:tcPr>
            <w:tcW w:type="dxa" w:w="2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Data</w:t>
            </w:r>
          </w:p>
        </w:tc>
        <w:tc>
          <w:tcPr>
            <w:tcW w:type="dxa" w:w="47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Quando a CTO foi comunicada. (Essencial)</w:t>
            </w:r>
          </w:p>
        </w:tc>
      </w:tr>
      <w:tr>
        <w:tc>
          <w:tcPr>
            <w:tcW w:type="dxa" w:w="2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Observações</w:t>
            </w:r>
          </w:p>
        </w:tc>
        <w:tc>
          <w:tcPr>
            <w:tcW w:type="dxa" w:w="2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Texto (várias linhas)</w:t>
            </w:r>
          </w:p>
        </w:tc>
        <w:tc>
          <w:tcPr>
            <w:tcW w:type="dxa" w:w="47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Contexto resumido. (Essencial)</w:t>
            </w:r>
          </w:p>
        </w:tc>
      </w:tr>
      <w:tr>
        <w:tc>
          <w:tcPr>
            <w:tcW w:type="dxa" w:w="2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Resultado / aptidão</w:t>
            </w:r>
          </w:p>
        </w:tc>
        <w:tc>
          <w:tcPr>
            <w:tcW w:type="dxa" w:w="2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Escolha</w:t>
            </w:r>
          </w:p>
        </w:tc>
        <w:tc>
          <w:tcPr>
            <w:tcW w:type="dxa" w:w="47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Apta / Não apta / Parcial / Pendente. (Opcional)</w:t>
            </w:r>
          </w:p>
        </w:tc>
      </w:tr>
      <w:tr>
        <w:tc>
          <w:tcPr>
            <w:tcW w:type="dxa" w:w="2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Tipo de aparelho</w:t>
            </w:r>
          </w:p>
        </w:tc>
        <w:tc>
          <w:tcPr>
            <w:tcW w:type="dxa" w:w="2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Escolha</w:t>
            </w:r>
          </w:p>
        </w:tc>
        <w:tc>
          <w:tcPr>
            <w:tcW w:type="dxa" w:w="47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Split / Janela / etc. (Opcional)</w:t>
            </w:r>
          </w:p>
        </w:tc>
      </w:tr>
      <w:tr>
        <w:tc>
          <w:tcPr>
            <w:tcW w:type="dxa" w:w="2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BTU e quantidades</w:t>
            </w:r>
          </w:p>
        </w:tc>
        <w:tc>
          <w:tcPr>
            <w:tcW w:type="dxa" w:w="2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Número</w:t>
            </w:r>
          </w:p>
        </w:tc>
        <w:tc>
          <w:tcPr>
            <w:tcW w:type="dxa" w:w="47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Dados técnicos da demanda. (Opcional)</w:t>
            </w:r>
          </w:p>
        </w:tc>
      </w:tr>
    </w:tbl>
    <w:p>
      <w:pPr>
        <w:spacing w:after="80"/>
      </w:pPr>
      <w:r>
        <w:rPr>
          <w:sz w:val="2"/>
          <w:szCs w:val="2"/>
        </w:rPr>
        <w:t xml:space="preserve"/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left w:val="single" w:color="548235" w:sz="18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48235"/>
                <w:sz w:val="18"/>
                <w:szCs w:val="18"/>
              </w:rPr>
              <w:t xml:space="preserve">DICA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Datas que você não precisa criar: </w:t>
            </w: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o Lists já registra sozinho a data de criação e a data da última modificação de cada item, com o nome de quem fez. Isso substitui os campos “Data de abertura” e “Data da última atualização” da planilha — e ainda diz quem alterou.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2" w:space="4"/>
        </w:pBdr>
        <w:shd w:fill="1F3864" w:val="clear"/>
        <w:spacing w:after="160" w:before="2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5   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Estrutura da lista “Escolas da 3ª CRE”  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Lista de referência, preenchida uma única vez a partir do cadastro atual e atualizada apenas quando os dados de uma escola mudarem. Colunas sugeridas:</w:t>
      </w:r>
    </w:p>
    <w:p>
      <w:pPr>
        <w:spacing w:after="40"/>
      </w:pPr>
      <w:r>
        <w:rPr>
          <w:sz w:val="2"/>
          <w:szCs w:val="2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4146"/>
      </w:tblGrid>
      <w:tr>
        <w:trPr>
          <w:tblHeader/>
        </w:trPr>
        <w:tc>
          <w:tcPr>
            <w:tcW w:type="dxa" w:w="3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 Light" w:cs="Calibri Light" w:eastAsia="Calibri Light" w:hAnsi="Calibri Light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 Light" w:cs="Calibri Light" w:eastAsia="Calibri Light" w:hAnsi="Calibri Light"/>
                <w:b/>
                <w:bCs/>
                <w:color w:val="FFFFFF"/>
                <w:sz w:val="18"/>
                <w:szCs w:val="18"/>
              </w:rPr>
              <w:t xml:space="preserve">Tipo no Lists</w:t>
            </w:r>
          </w:p>
        </w:tc>
        <w:tc>
          <w:tcPr>
            <w:tcW w:type="dxa" w:w="41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 Light" w:cs="Calibri Light" w:eastAsia="Calibri Light" w:hAnsi="Calibri Light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Unidade escolar</w:t>
            </w:r>
          </w:p>
        </w:tc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Texto (Título)</w:t>
            </w:r>
          </w:p>
        </w:tc>
        <w:tc>
          <w:tcPr>
            <w:tcW w:type="dxa" w:w="41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Nome oficial — é a chave de vínculo com os chamados.</w:t>
            </w:r>
          </w:p>
        </w:tc>
      </w:tr>
      <w:tr>
        <w:tc>
          <w:tcPr>
            <w:tcW w:type="dxa" w:w="3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Designação</w:t>
            </w:r>
          </w:p>
        </w:tc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Texto</w:t>
            </w:r>
          </w:p>
        </w:tc>
        <w:tc>
          <w:tcPr>
            <w:tcW w:type="dxa" w:w="41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Código E/CRE da unidade.</w:t>
            </w:r>
          </w:p>
        </w:tc>
      </w:tr>
      <w:tr>
        <w:tc>
          <w:tcPr>
            <w:tcW w:type="dxa" w:w="3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SICI</w:t>
            </w:r>
          </w:p>
        </w:tc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Texto</w:t>
            </w:r>
          </w:p>
        </w:tc>
        <w:tc>
          <w:tcPr>
            <w:tcW w:type="dxa" w:w="41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Identificador interno.</w:t>
            </w:r>
          </w:p>
        </w:tc>
      </w:tr>
      <w:tr>
        <w:tc>
          <w:tcPr>
            <w:tcW w:type="dxa" w:w="3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Endereço</w:t>
            </w:r>
          </w:p>
        </w:tc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Texto</w:t>
            </w:r>
          </w:p>
        </w:tc>
        <w:tc>
          <w:tcPr>
            <w:tcW w:type="dxa" w:w="41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Logradouro da unidade.</w:t>
            </w:r>
          </w:p>
        </w:tc>
      </w:tr>
      <w:tr>
        <w:tc>
          <w:tcPr>
            <w:tcW w:type="dxa" w:w="3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Bairro</w:t>
            </w:r>
          </w:p>
        </w:tc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Texto</w:t>
            </w:r>
          </w:p>
        </w:tc>
        <w:tc>
          <w:tcPr>
            <w:tcW w:type="dxa" w:w="41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Bairro da unidade.</w:t>
            </w:r>
          </w:p>
        </w:tc>
      </w:tr>
      <w:tr>
        <w:tc>
          <w:tcPr>
            <w:tcW w:type="dxa" w:w="3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Confirmado pela unidade</w:t>
            </w:r>
          </w:p>
        </w:tc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Sim/Não</w:t>
            </w:r>
          </w:p>
        </w:tc>
        <w:tc>
          <w:tcPr>
            <w:tcW w:type="dxa" w:w="41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Acompanhamento do cadastro vivo.</w:t>
            </w:r>
          </w:p>
        </w:tc>
      </w:tr>
      <w:tr>
        <w:tc>
          <w:tcPr>
            <w:tcW w:type="dxa" w:w="3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Validado pela GOP</w:t>
            </w:r>
          </w:p>
        </w:tc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Sim/Não</w:t>
            </w:r>
          </w:p>
        </w:tc>
        <w:tc>
          <w:tcPr>
            <w:tcW w:type="dxa" w:w="41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Acompanhamento do cadastro vivo.</w:t>
            </w:r>
          </w:p>
        </w:tc>
      </w:tr>
    </w:tbl>
    <w:p>
      <w:pPr>
        <w:spacing w:after="60"/>
      </w:pPr>
      <w:r>
        <w:rPr>
          <w:sz w:val="2"/>
          <w:szCs w:val="2"/>
        </w:rPr>
        <w:t xml:space="preserve"/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Os dados de inventário técnico (salas, aparelhos, necessidade) podem ser incluídos como colunas adicionais se forem úteis para consulta, mas </w:t>
      </w: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não são necessários para o acompanhamento dos chamados</w:t>
      </w:r>
      <w:r>
        <w:rPr>
          <w:rFonts w:ascii="Calibri" w:cs="Calibri" w:eastAsia="Calibri" w:hAnsi="Calibri"/>
          <w:color w:val="1F1F1F"/>
          <w:sz w:val="20"/>
          <w:szCs w:val="20"/>
        </w:rPr>
        <w:t xml:space="preserve"> e podem ficar de fora para manter a lista enxuta.</w:t>
      </w:r>
    </w:p>
    <w:p>
      <w:pPr>
        <w:pStyle w:val="Heading1"/>
        <w:pBdr>
          <w:bottom w:val="single" w:color="1F3864" w:sz="2" w:space="4"/>
        </w:pBdr>
        <w:shd w:fill="1F3864" w:val="clear"/>
        <w:spacing w:after="160" w:before="2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6   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Listas de opções (colunas de Escolha)  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Os valores abaixo já estão validados na planilha e devem ser cadastrados como opções fixas nas colunas de Escolha, garantindo padronização.</w:t>
      </w:r>
    </w:p>
    <w:p>
      <w:pPr>
        <w:pStyle w:val="Heading2"/>
        <w:pBdr>
          <w:bottom w:val="single" w:color="2E75B6" w:sz="6" w:space="3"/>
        </w:pBd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Status (os 29 estágios do POP)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1F1F1F"/>
          <w:sz w:val="19"/>
          <w:szCs w:val="19"/>
        </w:rPr>
        <w:t xml:space="preserve">01 Recebido da unidade · 02 Em triagem pela GOP · 03 Vistoria solicitada à CPS · 04 Aguardando agendamento · 05 Vistoria agendada · 06 Aguardando relatório · 07 Relatório — apta · 08 Relatório — não apta · 09 Aguardando orçamentos · 10 Orçamentos recebidos · 11 Em análise técnica · 12 Orçamento aprovado · 13 Orçamento reprovado · 14 Verificando recurso (GAD) · 15 Aguardando remanejamento · 16 Serviço contratado · 17 Serviço iniciado · 18 Serviço concluído pela unidade · 19 Aguardando vistoria de retorno · 20 Serviço aprovado · 21 Serviço reprovado · 22 Instalação autorizada · 23 CTO comunicada · 24 Aguardando estoque · 25 Aparelho requisitado · 26 Entrega em acompanhamento · 27 Instalação concluída · 28 Encerrado · 29 Suspenso/pendente</w:t>
      </w:r>
    </w:p>
    <w:p>
      <w:pPr>
        <w:pStyle w:val="Heading2"/>
        <w:pBdr>
          <w:bottom w:val="single" w:color="2E75B6" w:sz="6" w:space="3"/>
        </w:pBd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Demais listas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rPr>
          <w:tblHeader/>
        </w:trPr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 Light" w:cs="Calibri Light" w:eastAsia="Calibri Light" w:hAnsi="Calibri Light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71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 Light" w:cs="Calibri Light" w:eastAsia="Calibri Light" w:hAnsi="Calibri Light"/>
                <w:b/>
                <w:bCs/>
                <w:color w:val="FFFFFF"/>
                <w:sz w:val="18"/>
                <w:szCs w:val="18"/>
              </w:rPr>
              <w:t xml:space="preserve">Opções</w:t>
            </w:r>
          </w:p>
        </w:tc>
      </w:tr>
      <w:tr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Setor responsável</w:t>
            </w:r>
          </w:p>
        </w:tc>
        <w:tc>
          <w:tcPr>
            <w:tcW w:type="dxa" w:w="71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GOP · CPS · GIN · GAD · CTO · CTIN · COMP · GMP · Unidade Escolar (e combinações de responsabilidade compartilhada, como GIN / Unidade Escolar)</w:t>
            </w:r>
          </w:p>
        </w:tc>
      </w:tr>
      <w:tr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Tipo de demanda</w:t>
            </w:r>
          </w:p>
        </w:tc>
        <w:tc>
          <w:tcPr>
            <w:tcW w:type="dxa" w:w="71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Substituição/Instalação · Nova instalação · Substituição de aparelho · Manutenção corretiva · Manutenção preventiva · Adequação infra/elétrica</w:t>
            </w:r>
          </w:p>
        </w:tc>
      </w:tr>
      <w:tr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Prioridade</w:t>
            </w:r>
          </w:p>
        </w:tc>
        <w:tc>
          <w:tcPr>
            <w:tcW w:type="dxa" w:w="71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Baixa · Média · Alta · Crítica</w:t>
            </w:r>
          </w:p>
        </w:tc>
      </w:tr>
      <w:tr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Informação validada</w:t>
            </w:r>
          </w:p>
        </w:tc>
        <w:tc>
          <w:tcPr>
            <w:tcW w:type="dxa" w:w="71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Sim · Pendente de vistoria · Não validada · Não procede</w:t>
            </w:r>
          </w:p>
        </w:tc>
      </w:tr>
      <w:tr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Resultado / aptidão</w:t>
            </w:r>
          </w:p>
        </w:tc>
        <w:tc>
          <w:tcPr>
            <w:tcW w:type="dxa" w:w="71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Apta · Apta parcialmente · Não apta · Pendente · Não se aplica</w:t>
            </w:r>
          </w:p>
        </w:tc>
      </w:tr>
      <w:tr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Tipo de aparelho</w:t>
            </w:r>
          </w:p>
        </w:tc>
        <w:tc>
          <w:tcPr>
            <w:tcW w:type="dxa" w:w="71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Split · Janela · Split e janela · Não possui · Não sabe informar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2" w:space="4"/>
        </w:pBdr>
        <w:shd w:fill="1F3864" w:val="clear"/>
        <w:spacing w:after="160" w:before="2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7   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Recursos nativos que substituem fórmulas  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Vários itens que na planilha exigiam fórmulas passam a ser automáticos no Lists:</w:t>
      </w:r>
    </w:p>
    <w:p>
      <w:pPr>
        <w:spacing w:after="40"/>
      </w:pPr>
      <w:r>
        <w:rPr>
          <w:sz w:val="2"/>
          <w:szCs w:val="2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346"/>
      </w:tblGrid>
      <w:tr>
        <w:trPr>
          <w:tblHeader/>
        </w:trPr>
        <w:tc>
          <w:tcPr>
            <w:tcW w:type="dxa" w:w="3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 Light" w:cs="Calibri Light" w:eastAsia="Calibri Light" w:hAnsi="Calibri Light"/>
                <w:b/>
                <w:bCs/>
                <w:color w:val="FFFFFF"/>
                <w:sz w:val="18"/>
                <w:szCs w:val="18"/>
              </w:rPr>
              <w:t xml:space="preserve">Na planilha (fórmula)</w:t>
            </w:r>
          </w:p>
        </w:tc>
        <w:tc>
          <w:tcPr>
            <w:tcW w:type="dxa" w:w="63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 Light" w:cs="Calibri Light" w:eastAsia="Calibri Light" w:hAnsi="Calibri Light"/>
                <w:b/>
                <w:bCs/>
                <w:color w:val="FFFFFF"/>
                <w:sz w:val="18"/>
                <w:szCs w:val="18"/>
              </w:rPr>
              <w:t xml:space="preserve">No Lists (nativo)</w:t>
            </w:r>
          </w:p>
        </w:tc>
      </w:tr>
      <w:tr>
        <w:tc>
          <w:tcPr>
            <w:tcW w:type="dxa" w:w="3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Data de abertura</w:t>
            </w:r>
          </w:p>
        </w:tc>
        <w:tc>
          <w:tcPr>
            <w:tcW w:type="dxa" w:w="63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Coluna “Criado em” — automática</w:t>
            </w:r>
          </w:p>
        </w:tc>
      </w:tr>
      <w:tr>
        <w:tc>
          <w:tcPr>
            <w:tcW w:type="dxa" w:w="3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Data da última atualização</w:t>
            </w:r>
          </w:p>
        </w:tc>
        <w:tc>
          <w:tcPr>
            <w:tcW w:type="dxa" w:w="63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Coluna “Modificado em” — automática</w:t>
            </w:r>
          </w:p>
        </w:tc>
      </w:tr>
      <w:tr>
        <w:tc>
          <w:tcPr>
            <w:tcW w:type="dxa" w:w="3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(não havia) Quem atualizou</w:t>
            </w:r>
          </w:p>
        </w:tc>
        <w:tc>
          <w:tcPr>
            <w:tcW w:type="dxa" w:w="63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Colunas “Criado por” e “Modificado por”</w:t>
            </w:r>
          </w:p>
        </w:tc>
      </w:tr>
      <w:tr>
        <w:tc>
          <w:tcPr>
            <w:tcW w:type="dxa" w:w="3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Aba Histórico de marcos</w:t>
            </w:r>
          </w:p>
        </w:tc>
        <w:tc>
          <w:tcPr>
            <w:tcW w:type="dxa" w:w="63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Histórico de versão de cada item — registra toda alteração com autor e data</w:t>
            </w:r>
          </w:p>
        </w:tc>
      </w:tr>
      <w:tr>
        <w:tc>
          <w:tcPr>
            <w:tcW w:type="dxa" w:w="3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Designação via PROCV</w:t>
            </w:r>
          </w:p>
        </w:tc>
        <w:tc>
          <w:tcPr>
            <w:tcW w:type="dxa" w:w="63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Coluna de Pesquisa para a lista de Escolas</w:t>
            </w:r>
          </w:p>
        </w:tc>
      </w:tr>
      <w:tr>
        <w:tc>
          <w:tcPr>
            <w:tcW w:type="dxa" w:w="3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Contagens do painel</w:t>
            </w:r>
          </w:p>
        </w:tc>
        <w:tc>
          <w:tcPr>
            <w:tcW w:type="dxa" w:w="63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Visões agrupadas por status ou setor, com totais</w:t>
            </w:r>
          </w:p>
        </w:tc>
      </w:tr>
    </w:tbl>
    <w:p>
      <w:pPr>
        <w:spacing w:after="80"/>
      </w:pPr>
      <w:r>
        <w:rPr>
          <w:sz w:val="2"/>
          <w:szCs w:val="2"/>
        </w:rPr>
        <w:t xml:space="preserve"/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left w:val="single" w:color="BF8F00" w:sz="18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F8F00"/>
                <w:sz w:val="18"/>
                <w:szCs w:val="18"/>
              </w:rPr>
              <w:t xml:space="preserve">ATENÇÃO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Sobre “dias sem atualização”: </w:t>
            </w: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o Lists calcula mal colunas que dependem da data de hoje. Em vez de um número, o ideal é destacar visualmente (em cor) os chamados cuja última modificação passou de 7 dias, usando formatação de coluna — o efeito prático de alerta é o mesmo. Ver seção 9.</w:t>
            </w:r>
          </w:p>
        </w:tc>
      </w:tr>
    </w:tbl>
    <w:p>
      <w:pPr>
        <w:pStyle w:val="Heading1"/>
        <w:pBdr>
          <w:bottom w:val="single" w:color="1F3864" w:sz="2" w:space="4"/>
        </w:pBdr>
        <w:shd w:fill="1F3864" w:val="clear"/>
        <w:spacing w:after="160" w:before="2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8   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Visões a criar  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As visões substituem as abas automáticas da planilha. Cada uma é um filtro salvo sobre a mesma lista de chamados:</w:t>
      </w:r>
    </w:p>
    <w:p>
      <w:pPr>
        <w:spacing w:after="40"/>
      </w:pPr>
      <w:r>
        <w:rPr>
          <w:sz w:val="2"/>
          <w:szCs w:val="2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346"/>
      </w:tblGrid>
      <w:tr>
        <w:trPr>
          <w:tblHeader/>
        </w:trPr>
        <w:tc>
          <w:tcPr>
            <w:tcW w:type="dxa" w:w="3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 Light" w:cs="Calibri Light" w:eastAsia="Calibri Light" w:hAnsi="Calibri Light"/>
                <w:b/>
                <w:bCs/>
                <w:color w:val="FFFFFF"/>
                <w:sz w:val="18"/>
                <w:szCs w:val="18"/>
              </w:rPr>
              <w:t xml:space="preserve">Visão</w:t>
            </w:r>
          </w:p>
        </w:tc>
        <w:tc>
          <w:tcPr>
            <w:tcW w:type="dxa" w:w="63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 Light" w:cs="Calibri Light" w:eastAsia="Calibri Light" w:hAnsi="Calibri Light"/>
                <w:b/>
                <w:bCs/>
                <w:color w:val="FFFFFF"/>
                <w:sz w:val="18"/>
                <w:szCs w:val="18"/>
              </w:rPr>
              <w:t xml:space="preserve">Filtro</w:t>
            </w:r>
          </w:p>
        </w:tc>
      </w:tr>
      <w:tr>
        <w:tc>
          <w:tcPr>
            <w:tcW w:type="dxa" w:w="3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Todos os chamados</w:t>
            </w:r>
          </w:p>
        </w:tc>
        <w:tc>
          <w:tcPr>
            <w:tcW w:type="dxa" w:w="63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Sem filtro — base completa, ordenada por modificação</w:t>
            </w:r>
          </w:p>
        </w:tc>
      </w:tr>
      <w:tr>
        <w:tc>
          <w:tcPr>
            <w:tcW w:type="dxa" w:w="3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Pendentes com a GOP</w:t>
            </w:r>
          </w:p>
        </w:tc>
        <w:tc>
          <w:tcPr>
            <w:tcW w:type="dxa" w:w="63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Setor responsável = GOP</w:t>
            </w:r>
          </w:p>
        </w:tc>
      </w:tr>
      <w:tr>
        <w:tc>
          <w:tcPr>
            <w:tcW w:type="dxa" w:w="3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Pendentes com a CPS</w:t>
            </w:r>
          </w:p>
        </w:tc>
        <w:tc>
          <w:tcPr>
            <w:tcW w:type="dxa" w:w="63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Setor responsável contém CPS (vistoria/relatório)</w:t>
            </w:r>
          </w:p>
        </w:tc>
      </w:tr>
      <w:tr>
        <w:tc>
          <w:tcPr>
            <w:tcW w:type="dxa" w:w="3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Pendentes com a GIN</w:t>
            </w:r>
          </w:p>
        </w:tc>
        <w:tc>
          <w:tcPr>
            <w:tcW w:type="dxa" w:w="63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Setor responsável contém GIN (orçamento/adequação)</w:t>
            </w:r>
          </w:p>
        </w:tc>
      </w:tr>
      <w:tr>
        <w:tc>
          <w:tcPr>
            <w:tcW w:type="dxa" w:w="3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Pendentes com a CTO</w:t>
            </w:r>
          </w:p>
        </w:tc>
        <w:tc>
          <w:tcPr>
            <w:tcW w:type="dxa" w:w="63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Setor responsável contém CTO</w:t>
            </w:r>
          </w:p>
        </w:tc>
      </w:tr>
      <w:tr>
        <w:tc>
          <w:tcPr>
            <w:tcW w:type="dxa" w:w="3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Parados há mais de 7 dias</w:t>
            </w:r>
          </w:p>
        </w:tc>
        <w:tc>
          <w:tcPr>
            <w:tcW w:type="dxa" w:w="63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Modificado em anterior a 7 dias e status não encerrado</w:t>
            </w:r>
          </w:p>
        </w:tc>
      </w:tr>
      <w:tr>
        <w:tc>
          <w:tcPr>
            <w:tcW w:type="dxa" w:w="3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Por prioridade</w:t>
            </w:r>
          </w:p>
        </w:tc>
        <w:tc>
          <w:tcPr>
            <w:tcW w:type="dxa" w:w="63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Agrupado por Prioridade (Crítica/Alta no topo)</w:t>
            </w:r>
          </w:p>
        </w:tc>
      </w:tr>
      <w:tr>
        <w:tc>
          <w:tcPr>
            <w:tcW w:type="dxa" w:w="3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Concluídos / encerrados</w:t>
            </w:r>
          </w:p>
        </w:tc>
        <w:tc>
          <w:tcPr>
            <w:tcW w:type="dxa" w:w="63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Status = 27 ou 28 — histórico</w:t>
            </w:r>
          </w:p>
        </w:tc>
      </w:tr>
    </w:tbl>
    <w:p>
      <w:pPr>
        <w:spacing w:after="60"/>
      </w:pPr>
      <w:r>
        <w:rPr>
          <w:sz w:val="2"/>
          <w:szCs w:val="2"/>
        </w:rPr>
        <w:t xml:space="preserve"/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As visões podem ser pessoais ou públicas (compartilhadas com toda a equipe). Recomenda-se criá-las como </w:t>
      </w: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públicas</w:t>
      </w:r>
      <w:r>
        <w:rPr>
          <w:rFonts w:ascii="Calibri" w:cs="Calibri" w:eastAsia="Calibri" w:hAnsi="Calibri"/>
          <w:color w:val="1F1F1F"/>
          <w:sz w:val="20"/>
          <w:szCs w:val="20"/>
        </w:rPr>
        <w:t xml:space="preserve">, para que todos da GOP enxerguem o mesmo.</w:t>
      </w:r>
    </w:p>
    <w:p>
      <w:pPr>
        <w:pStyle w:val="Heading1"/>
        <w:pBdr>
          <w:bottom w:val="single" w:color="1F3864" w:sz="2" w:space="4"/>
        </w:pBdr>
        <w:shd w:fill="1F3864" w:val="clear"/>
        <w:spacing w:after="160" w:before="2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9   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Cores e alertas visuais  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O Lists permite colorir colunas e linhas por meio de formatação (configuração visual, sem programar). As regras a reproduzir: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Status — 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cada estágio com sua cor (ex.: concluído em verde, suspenso em cinza), facilitando a leitura rápida.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Prioridade — 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Crítica em vermelho, Alta em âmbar.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Parado há muito tempo — 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linha destacada quando a última modificação ultrapassa 7 dias e o chamado não está encerrado.</w:t>
      </w:r>
    </w:p>
    <w:p>
      <w:pPr>
        <w:spacing w:after="60"/>
      </w:pPr>
      <w:r>
        <w:rPr>
          <w:sz w:val="2"/>
          <w:szCs w:val="2"/>
        </w:rPr>
        <w:t xml:space="preserve"/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left w:val="single" w:color="2E75B6" w:sz="18"/>
            </w:tcBorders>
            <w:shd w:fill="EB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NOTA</w:t>
            </w:r>
          </w:p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 formatação de colunas no Lists é feita por um painel visual e, para regras mais elaboradas, por um trecho de configuração que pode ser colado pronto. Posso fornecer esses trechos prontos na etapa de implementação.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2" w:space="4"/>
        </w:pBdr>
        <w:shd w:fill="1F3864" w:val="clear"/>
        <w:spacing w:after="160" w:before="2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10   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Roteiro de implementação  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Sequência sugerida, do mais simples ao mais completo. Cada etapa entrega algo utilizável.</w:t>
      </w:r>
    </w:p>
    <w:p>
      <w:pPr>
        <w:spacing w:after="40"/>
      </w:pPr>
      <w:r>
        <w:rPr>
          <w:sz w:val="2"/>
          <w:szCs w:val="2"/>
        </w:rPr>
        <w:t xml:space="preserve"/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20"/>
        <w:gridCol w:w="9126"/>
      </w:tblGrid>
      <w:tr>
        <w:tc>
          <w:tcPr>
            <w:tcW w:type="dxa" w:w="62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9126"/>
            <w:tcBorders>
              <w:left w:val="single" w:color="2E75B6" w:sz="12"/>
            </w:tcBorders>
            <w:shd w:fill="F2F4F8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Validar permissões com a TI</w:t>
            </w:r>
          </w:p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Confirmar que você pode criar listas no Microsoft 365 da SME e compartilhá-las com a equipe (ver seção 12).</w:t>
            </w:r>
          </w:p>
        </w:tc>
      </w:tr>
    </w:tbl>
    <w:p>
      <w:pPr>
        <w:spacing w:after="50"/>
      </w:pPr>
      <w:r>
        <w:rPr>
          <w:sz w:val="2"/>
          <w:szCs w:val="2"/>
        </w:rPr>
        <w:t xml:space="preserve"/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20"/>
        <w:gridCol w:w="9126"/>
      </w:tblGrid>
      <w:tr>
        <w:tc>
          <w:tcPr>
            <w:tcW w:type="dxa" w:w="62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9126"/>
            <w:tcBorders>
              <w:left w:val="single" w:color="2E75B6" w:sz="12"/>
            </w:tcBorders>
            <w:shd w:fill="F2F4F8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Criar a lista de Escolas</w:t>
            </w:r>
          </w:p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Importar o cadastro atual das 134 unidades a partir do Excel — o Lists importa planilhas diretamente.</w:t>
            </w:r>
          </w:p>
        </w:tc>
      </w:tr>
    </w:tbl>
    <w:p>
      <w:pPr>
        <w:spacing w:after="50"/>
      </w:pPr>
      <w:r>
        <w:rPr>
          <w:sz w:val="2"/>
          <w:szCs w:val="2"/>
        </w:rPr>
        <w:t xml:space="preserve"/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20"/>
        <w:gridCol w:w="9126"/>
      </w:tblGrid>
      <w:tr>
        <w:tc>
          <w:tcPr>
            <w:tcW w:type="dxa" w:w="62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9126"/>
            <w:tcBorders>
              <w:left w:val="single" w:color="2E75B6" w:sz="12"/>
            </w:tcBorders>
            <w:shd w:fill="F2F4F8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Criar a lista de Chamados</w:t>
            </w:r>
          </w:p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Montar as colunas da seção 4, começando pelas Essenciais. Cadastrar as opções de Escolha da seção 6.</w:t>
            </w:r>
          </w:p>
        </w:tc>
      </w:tr>
    </w:tbl>
    <w:p>
      <w:pPr>
        <w:spacing w:after="50"/>
      </w:pPr>
      <w:r>
        <w:rPr>
          <w:sz w:val="2"/>
          <w:szCs w:val="2"/>
        </w:rPr>
        <w:t xml:space="preserve"/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20"/>
        <w:gridCol w:w="9126"/>
      </w:tblGrid>
      <w:tr>
        <w:tc>
          <w:tcPr>
            <w:tcW w:type="dxa" w:w="62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9126"/>
            <w:tcBorders>
              <w:left w:val="single" w:color="2E75B6" w:sz="12"/>
            </w:tcBorders>
            <w:shd w:fill="F2F4F8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Vincular as duas listas</w:t>
            </w:r>
          </w:p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Configurar a coluna de Pesquisa da escola na lista de Chamados.</w:t>
            </w:r>
          </w:p>
        </w:tc>
      </w:tr>
    </w:tbl>
    <w:p>
      <w:pPr>
        <w:spacing w:after="50"/>
      </w:pPr>
      <w:r>
        <w:rPr>
          <w:sz w:val="2"/>
          <w:szCs w:val="2"/>
        </w:rPr>
        <w:t xml:space="preserve"/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20"/>
        <w:gridCol w:w="9126"/>
      </w:tblGrid>
      <w:tr>
        <w:tc>
          <w:tcPr>
            <w:tcW w:type="dxa" w:w="62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9126"/>
            <w:tcBorders>
              <w:left w:val="single" w:color="2E75B6" w:sz="12"/>
            </w:tcBorders>
            <w:shd w:fill="F2F4F8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Criar as visões</w:t>
            </w:r>
          </w:p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Montar os filtros salvos da seção 8 como visões públicas.</w:t>
            </w:r>
          </w:p>
        </w:tc>
      </w:tr>
    </w:tbl>
    <w:p>
      <w:pPr>
        <w:spacing w:after="50"/>
      </w:pPr>
      <w:r>
        <w:rPr>
          <w:sz w:val="2"/>
          <w:szCs w:val="2"/>
        </w:rPr>
        <w:t xml:space="preserve"/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20"/>
        <w:gridCol w:w="9126"/>
      </w:tblGrid>
      <w:tr>
        <w:tc>
          <w:tcPr>
            <w:tcW w:type="dxa" w:w="62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9126"/>
            <w:tcBorders>
              <w:left w:val="single" w:color="2E75B6" w:sz="12"/>
            </w:tcBorders>
            <w:shd w:fill="F2F4F8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Aplicar as cores</w:t>
            </w:r>
          </w:p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Configurar a formatação de status, prioridade e alerta de tempo parado (seção 9).</w:t>
            </w:r>
          </w:p>
        </w:tc>
      </w:tr>
    </w:tbl>
    <w:p>
      <w:pPr>
        <w:spacing w:after="50"/>
      </w:pPr>
      <w:r>
        <w:rPr>
          <w:sz w:val="2"/>
          <w:szCs w:val="2"/>
        </w:rPr>
        <w:t xml:space="preserve"/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20"/>
        <w:gridCol w:w="9126"/>
      </w:tblGrid>
      <w:tr>
        <w:tc>
          <w:tcPr>
            <w:tcW w:type="dxa" w:w="62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9126"/>
            <w:tcBorders>
              <w:left w:val="single" w:color="2E75B6" w:sz="12"/>
            </w:tcBorders>
            <w:shd w:fill="F2F4F8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Migrar os chamados ativos</w:t>
            </w:r>
          </w:p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Lançar os chamados em aberto da planilha. Os encerrados podem ser lançados aos poucos ou mantidos como histórico na planilha.</w:t>
            </w:r>
          </w:p>
        </w:tc>
      </w:tr>
    </w:tbl>
    <w:p>
      <w:pPr>
        <w:spacing w:after="50"/>
      </w:pPr>
      <w:r>
        <w:rPr>
          <w:sz w:val="2"/>
          <w:szCs w:val="2"/>
        </w:rPr>
        <w:t xml:space="preserve"/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20"/>
        <w:gridCol w:w="9126"/>
      </w:tblGrid>
      <w:tr>
        <w:tc>
          <w:tcPr>
            <w:tcW w:type="dxa" w:w="62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8</w:t>
            </w:r>
          </w:p>
        </w:tc>
        <w:tc>
          <w:tcPr>
            <w:tcW w:type="dxa" w:w="9126"/>
            <w:tcBorders>
              <w:left w:val="single" w:color="2E75B6" w:sz="12"/>
            </w:tcBorders>
            <w:shd w:fill="F2F4F8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Período de uso paralelo</w:t>
            </w:r>
          </w:p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Por uma ou duas semanas, manter planilha e Lists juntos para conferência. Depois, adotar o Lists como fonte única.</w:t>
            </w:r>
          </w:p>
        </w:tc>
      </w:tr>
    </w:tbl>
    <w:p>
      <w:pPr>
        <w:pStyle w:val="Heading1"/>
        <w:pBdr>
          <w:bottom w:val="single" w:color="1F3864" w:sz="2" w:space="4"/>
        </w:pBdr>
        <w:shd w:fill="1F3864" w:val="clear"/>
        <w:spacing w:after="160" w:before="2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11   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Migração dos dados atuais  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O cadastro de escolas migra por importação direta do Excel. Os chamados podem ser migrados manualmente — como o volume é pequeno (algumas dezenas de chamados ativos), o lançamento manual é rápido e ainda serve para a equipe se familiarizar com a ferramenta. </w:t>
      </w: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Priorize migrar apenas os chamados em aberto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; os já encerrados podem permanecer arquivados na planilha como histórico, sem necessidade de relançamento.</w:t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left w:val="single" w:color="548235" w:sz="18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48235"/>
                <w:sz w:val="18"/>
                <w:szCs w:val="18"/>
              </w:rPr>
              <w:t xml:space="preserve">DICA</w:t>
            </w:r>
          </w:p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Mantenha a planilha final como registro histórico congelado e como documento de referência da estrutura. Ela não precisa ser descartada — apenas deixa de ser o instrumento de trabalho diário.</w:t>
            </w:r>
          </w:p>
        </w:tc>
      </w:tr>
    </w:tbl>
    <w:p>
      <w:pPr>
        <w:pStyle w:val="Heading1"/>
        <w:pBdr>
          <w:bottom w:val="single" w:color="1F3864" w:sz="2" w:space="4"/>
        </w:pBdr>
        <w:shd w:fill="1F3864" w:val="clear"/>
        <w:spacing w:after="160" w:before="2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12   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Pré-requisitos e validações com a TI  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Pontos a confirmar com a equipe de Tecnologia da Informação da SME antes de iniciar a montagem: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Licença e acesso. 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Confirmar que a conta institucional tem o Microsoft Lists disponível no pacote Microsoft 365.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Permissão de criação. 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Verificar se você pode criar listas e onde elas ficarão hospedadas (conta pessoal, equipe ou site do SharePoint da CRE).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Compartilhamento. 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Definir quem da GOP terá acesso de edição e se há restrição para compartilhar com outros setores.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Proteção de dados. 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Confirmar a adequação à política de dados do órgão. Os dados são administrativos (escolas, chamados), sem informação pessoal sensível, o que facilita.</w:t>
      </w:r>
    </w:p>
    <w:p>
      <w:pPr>
        <w:spacing w:after="60"/>
      </w:pPr>
      <w:r>
        <w:rPr>
          <w:sz w:val="2"/>
          <w:szCs w:val="2"/>
        </w:rPr>
        <w:t xml:space="preserve"/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left w:val="single" w:color="C00000" w:sz="18"/>
            </w:tcBorders>
            <w:shd w:fill="FBE5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IMPORTANTE</w:t>
            </w:r>
          </w:p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Resolver o item de permissões antes de investir tempo na montagem evita retrabalho. Em órgão público costuma haver governança sobre onde os dados ficam e quem cria recursos no ambiente Microsoft 365.</w:t>
            </w:r>
          </w:p>
        </w:tc>
      </w:tr>
    </w:tbl>
    <w:p>
      <w:pPr>
        <w:spacing w:after="160"/>
      </w:pPr>
      <w:r>
        <w:rPr>
          <w:sz w:val="2"/>
          <w:szCs w:val="2"/>
        </w:rPr>
        <w:t xml:space="preserve"/>
      </w:r>
    </w:p>
    <w:p>
      <w:pPr>
        <w:pBdr>
          <w:top w:val="single" w:color="475569" w:sz="4" w:space="6"/>
        </w:pBdr>
        <w:spacing w:before="200"/>
        <w:jc w:val="center"/>
      </w:pPr>
      <w:r>
        <w:rPr>
          <w:rFonts w:ascii="Calibri Light" w:cs="Calibri Light" w:eastAsia="Calibri Light" w:hAnsi="Calibri Light"/>
          <w:i/>
          <w:iCs/>
          <w:color w:val="475569"/>
          <w:sz w:val="18"/>
          <w:szCs w:val="18"/>
        </w:rPr>
        <w:t xml:space="preserve">Controle de Climatização  ·  GOP / 3ª CRE  ·  Plano de Migração para Microsoft Lists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E2F3" w:sz="4" w:space="4"/>
      </w:pBdr>
      <w:jc w:val="center"/>
    </w:pPr>
    <w:r>
      <w:rPr>
        <w:rFonts w:ascii="Calibri Light" w:cs="Calibri Light" w:eastAsia="Calibri Light" w:hAnsi="Calibri Light"/>
        <w:color w:val="475569"/>
        <w:sz w:val="16"/>
        <w:szCs w:val="16"/>
      </w:rPr>
      <w:t xml:space="preserve">página </w:t>
    </w:r>
    <w:r>
      <w:rPr>
        <w:rFonts w:ascii="Calibri Light" w:cs="Calibri Light" w:eastAsia="Calibri Light" w:hAnsi="Calibri Light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 Light" w:cs="Calibri Light" w:eastAsia="Calibri Light" w:hAnsi="Calibri Light"/>
        <w:color w:val="475569"/>
        <w:sz w:val="16"/>
        <w:szCs w:val="16"/>
      </w:rPr>
      <w:t xml:space="preserve"> de </w:t>
    </w:r>
    <w:r>
      <w:rPr>
        <w:rFonts w:ascii="Calibri Light" w:cs="Calibri Light" w:eastAsia="Calibri Light" w:hAnsi="Calibri Light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E2F3" w:sz="4" w:space="4"/>
      </w:pBdr>
      <w:jc w:val="right"/>
    </w:pPr>
    <w:r>
      <w:rPr>
        <w:rFonts w:ascii="Calibri" w:cs="Calibri" w:eastAsia="Calibri" w:hAnsi="Calibri"/>
        <w:b/>
        <w:bCs/>
        <w:color w:val="1F3864"/>
        <w:sz w:val="16"/>
        <w:szCs w:val="16"/>
      </w:rPr>
      <w:t xml:space="preserve">Plano de Migração — Microsoft Lists</w:t>
    </w:r>
    <w:r>
      <w:rPr>
        <w:rFonts w:ascii="Calibri Light" w:cs="Calibri Light" w:eastAsia="Calibri Light" w:hAnsi="Calibri Light"/>
        <w:color w:val="475569"/>
        <w:sz w:val="16"/>
        <w:szCs w:val="16"/>
      </w:rPr>
      <w:t xml:space="preserve">   ·   GOP / 3ª CRE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Calibri" w:cs="Calibri" w:eastAsia="Calibri" w:hAnsi="Calibri"/>
      <w:b/>
      <w:bCs/>
      <w:color w:val="FFFFF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Migração - Microsoft Lists</dc:title>
  <dc:creator>GOP 3CRE</dc:creator>
  <cp:lastModifiedBy>Un-named</cp:lastModifiedBy>
  <cp:revision>1</cp:revision>
  <dcterms:created xsi:type="dcterms:W3CDTF">2026-05-29T00:47:40.823Z</dcterms:created>
  <dcterms:modified xsi:type="dcterms:W3CDTF">2026-05-29T00:47:40.837Z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