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40"/>
        <w:jc w:val="center"/>
      </w:pPr>
      <w:r>
        <w:rPr>
          <w:rFonts w:ascii="Arial" w:hAnsi="Arial"/>
          <w:b/>
          <w:color w:val="0284C7"/>
          <w:sz w:val="48"/>
        </w:rPr>
        <w:t>GUIA DE OPERAÇÃO E CRITÉRIOS</w:t>
        <w:br/>
        <w:t>SISTEMA GOP CLIMA</w:t>
      </w:r>
    </w:p>
    <w:p>
      <w:pPr>
        <w:spacing w:after="3600"/>
        <w:jc w:val="center"/>
      </w:pPr>
      <w:r>
        <w:rPr>
          <w:rFonts w:ascii="Arial" w:hAnsi="Arial"/>
          <w:i/>
          <w:color w:val="64748B"/>
          <w:sz w:val="24"/>
        </w:rPr>
        <w:t>Manual de Referência para Acompanhamento, Inteligência Territorial e Tramitação de Climatização na 3ª CRE</w:t>
      </w:r>
    </w:p>
    <w:p>
      <w:pPr>
        <w:spacing w:after="0"/>
        <w:jc w:val="center"/>
      </w:pPr>
      <w:r>
        <w:rPr>
          <w:rFonts w:ascii="Arial" w:hAnsi="Arial"/>
          <w:b/>
          <w:color w:val="0F172A"/>
          <w:sz w:val="20"/>
        </w:rPr>
        <w:t>Gerência de Operações (GOP) · 3ª CRE</w:t>
        <w:br/>
        <w:t>Versão 1.0 — Implementação Local Integrada</w:t>
      </w:r>
    </w:p>
    <w:p>
      <w:r>
        <w:br w:type="page"/>
      </w:r>
    </w:p>
    <w:p>
      <w:pPr>
        <w:pStyle w:val="Heading1"/>
        <w:keepNext/>
        <w:spacing w:before="0" w:after="240"/>
      </w:pPr>
      <w:r>
        <w:rPr>
          <w:rFonts w:ascii="Arial" w:hAnsi="Arial"/>
          <w:b/>
          <w:color w:val="0284C7"/>
          <w:sz w:val="36"/>
        </w:rPr>
        <w:t>1. Introdução e Objetivo Operacional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E293B"/>
          <w:sz w:val="22"/>
        </w:rPr>
        <w:t>O sistema GOP Clima foi idealizado e construído sob medida para substituir a antiga planilha de controle manual de climatização e chamados da 3ª CRE. A antiga rotina apresentava desafios severos de confiabilidade — como erros de digitação em códigos de designação/SICI, falta de rastreabilidade de histórico de atualizações e total ausência de uma leitura territorial da distribuição geográfica das demandas.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E293B"/>
          <w:sz w:val="22"/>
        </w:rPr>
        <w:t>Esta plataforma unifica o cadastro de 134 escolas e o acompanhamento de chamados ativos sob uma identidade visual premium de alto padrão (padrão editorial), fornecendo relatórios executivos rápidos, inteligência geográfica baseada em bairros, automação de minutas de e-mail e ferramentas otimizadas no estilo planilha para a rotina diária da equipe da GOP.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284C7"/>
          <w:sz w:val="36"/>
        </w:rPr>
        <w:t>2. Painel Executivo (Dashboard Principal)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E293B"/>
          <w:sz w:val="22"/>
        </w:rPr>
        <w:t>Ao abrir o sistema, a tela inicial fornece uma leitura gerencial imediata. Ela foi projetada para reduzir a carga cognitiva da gerência, respondendo instantaneamente à pergunta operacional chave: "O que precisa de atenção urgente hoje?"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0F172A"/>
          <w:sz w:val="28"/>
        </w:rPr>
        <w:t>2.1. Métricas de Gravidade e Inércia (SLA &amp; Antiguidade)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E293B"/>
          <w:sz w:val="22"/>
        </w:rPr>
        <w:t>O topo do painel exibe cartões com indicadores calculados de forma automática em tempo real: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2"/>
        </w:rPr>
        <w:t xml:space="preserve">Prazo de SLA (Inércia): </w:t>
      </w:r>
      <w:r>
        <w:rPr>
          <w:rFonts w:ascii="Arial" w:hAnsi="Arial"/>
          <w:color w:val="1E293B"/>
          <w:sz w:val="22"/>
        </w:rPr>
        <w:t>Classifica a inércia dos chamados ativos pelo tempo sem movimentação no sistema (SLA de Adequação POP). Dispara alerta Âmbar com 7 dias e Alerta Severo (Vermelho) com 15 dias sem alteração.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2"/>
        </w:rPr>
        <w:t xml:space="preserve">Antiguidade (Tempo Total em Aberto): </w:t>
      </w:r>
      <w:r>
        <w:rPr>
          <w:rFonts w:ascii="Arial" w:hAnsi="Arial"/>
          <w:color w:val="1E293B"/>
          <w:sz w:val="22"/>
        </w:rPr>
        <w:t>Mede o tempo total transcorrido desde a abertura original da demanda. Dispara alertas de cor roxa em faixas de 30 dias (Roxo Claro) e 60 dias (Roxo Escuro/Intenso), garantindo que chamados antigos não sejam esquecidos, mesmo com SLA atualizado.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0F172A"/>
          <w:sz w:val="28"/>
        </w:rPr>
        <w:t>2.2. Visão de Metas &amp; Conclusões (Estrutura de 3 Colunas)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E293B"/>
          <w:sz w:val="22"/>
        </w:rPr>
        <w:t>Centraliza as estatísticas globais em um grid assimétrico de três colunas perfeitamente balanceado, eliminando espaços vazios: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2"/>
        </w:rPr>
        <w:t xml:space="preserve">Coluna 1 — Consolidado Geral (Donut): </w:t>
      </w:r>
      <w:r>
        <w:rPr>
          <w:rFonts w:ascii="Arial" w:hAnsi="Arial"/>
          <w:color w:val="1E293B"/>
          <w:sz w:val="22"/>
        </w:rPr>
        <w:t>Exibe um gráfico de rosca de alta fidelidade mostrando a proporção entre chamados ativos e concluídos.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2"/>
        </w:rPr>
        <w:t xml:space="preserve">Coluna 2 — Status das Demandas: </w:t>
      </w:r>
      <w:r>
        <w:rPr>
          <w:rFonts w:ascii="Arial" w:hAnsi="Arial"/>
          <w:color w:val="1E293B"/>
          <w:sz w:val="22"/>
        </w:rPr>
        <w:t>Exibe barras de progresso horizontais coloridas de cada status do fluxo, informando o volume de solicitações por fase.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2"/>
        </w:rPr>
        <w:t xml:space="preserve">Coluna 3 — Responsabilidade de Setores: </w:t>
      </w:r>
      <w:r>
        <w:rPr>
          <w:rFonts w:ascii="Arial" w:hAnsi="Arial"/>
          <w:color w:val="1E293B"/>
          <w:sz w:val="22"/>
        </w:rPr>
        <w:t>Exibe barras de progresso horizontais mapeando a distribuição de chamados por setor responsável (GOP, GIN, CPS, CTO), mostrando onde os fluxos estão concentrados.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0F172A"/>
          <w:sz w:val="28"/>
        </w:rPr>
        <w:t>2.3. Acompanhamento Prioritário de Demandas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E293B"/>
          <w:sz w:val="22"/>
        </w:rPr>
        <w:t>Localizado no bloco direito da tela principal, este painel (anteriormente denominado 'Ranking de Inatividade') lista os chamados ativos que estão parados há mais tempo no sistema. A lista é ordenada de forma decrescente pela inatividade cronológica real. Clicar em qualquer chamado do painel abre a Ficha Técnica de Edição imediatamente.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before="80" w:after="40"/>
            </w:pPr>
            <w:r>
              <w:rPr>
                <w:rFonts w:ascii="Arial" w:hAnsi="Arial"/>
                <w:b/>
                <w:color w:val="D97706"/>
                <w:sz w:val="22"/>
              </w:rPr>
              <w:t>⚠️ Correção Relacional Importante</w:t>
              <w:br/>
            </w:r>
            <w:r>
              <w:rPr>
                <w:rFonts w:ascii="Arial" w:hAnsi="Arial"/>
                <w:i/>
                <w:color w:val="64748B"/>
                <w:sz w:val="21"/>
              </w:rPr>
              <w:t>Devido a typos herdados de planilhas antigas, os chamados GOP-AR-2026-0022 e GOP-AR-2026-0002 estavam configurados na base de dados com anos de 2025. Isso gerava inatividades irreais de mais de um ano. Corrigimos esses registros para as datas reais em 2026, passando a exibir 9 e 142 dias de inatividade de forma matematicamente precisa.</w:t>
            </w:r>
          </w:p>
        </w:tc>
      </w:tr>
    </w:tbl>
    <w:p>
      <w:pPr>
        <w:spacing w:before="80" w:after="80"/>
      </w:pP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284C7"/>
          <w:sz w:val="36"/>
        </w:rPr>
        <w:t>3. Inteligência Geográfica e Mapa Operacional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E293B"/>
          <w:sz w:val="22"/>
        </w:rPr>
        <w:t>O Mapa Operacional é a principal ferramenta de visualização do território de atuação da 3ª CRE. Baseado em Leaflet e com polígonos reais dos 26 bairros do território da CRE, ele traduz linhas de dados em impacto visual geográfico.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2"/>
        </w:rPr>
        <w:t xml:space="preserve">Colorização por Criticidade: </w:t>
      </w:r>
      <w:r>
        <w:rPr>
          <w:rFonts w:ascii="Arial" w:hAnsi="Arial"/>
          <w:color w:val="1E293B"/>
          <w:sz w:val="22"/>
        </w:rPr>
        <w:t>O mapa muda a cor de fundo dos bairros de forma reativa conforme a criticidade de seus chamados ativos. Bairros sem chamados ficam cinza-gelo (#f1f5f9) no tema claro, enquanto áreas com chamados mudam para tons de Azul (Normal), Âmbar (Atenção) ou Vermelho (Crítico).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2"/>
        </w:rPr>
        <w:t xml:space="preserve">Foco Lateral por Bairro: </w:t>
      </w:r>
      <w:r>
        <w:rPr>
          <w:rFonts w:ascii="Arial" w:hAnsi="Arial"/>
          <w:color w:val="1E293B"/>
          <w:sz w:val="22"/>
        </w:rPr>
        <w:t>Ao clicar em qualquer bairro no mapa, a tela lateral abre a listagem contendo o resumo gerencial do território (total de escolas, chamados e criticidades) e a lista contendo as fichas individuais dos chamados daquele bairro.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2"/>
        </w:rPr>
        <w:t xml:space="preserve">Controles Modernos: </w:t>
      </w:r>
      <w:r>
        <w:rPr>
          <w:rFonts w:ascii="Arial" w:hAnsi="Arial"/>
          <w:color w:val="1E293B"/>
          <w:sz w:val="22"/>
        </w:rPr>
        <w:t>O mapa possui navegação livre com o botão de rolagem do mouse desbloqueado, arrasto estendido fluido, zoom e um botão de Mira de Foco (IconFocus) para centralizar instantaneamente a câmera no bairro selecionado.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284C7"/>
          <w:sz w:val="36"/>
        </w:rPr>
        <w:t>4. Tabela Inteligente de Chamados &amp; Excel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E293B"/>
          <w:sz w:val="22"/>
        </w:rPr>
        <w:t>A aba "Lista de chamados" foi projetada para emular e superar a usabilidade da antiga planilha, unindo a robustez de dados do sistema web com a liberdade analítica tradicional do Excel.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2"/>
        </w:rPr>
        <w:t xml:space="preserve">Ordenação de Colunas: </w:t>
      </w:r>
      <w:r>
        <w:rPr>
          <w:rFonts w:ascii="Arial" w:hAnsi="Arial"/>
          <w:color w:val="1E293B"/>
          <w:sz w:val="22"/>
        </w:rPr>
        <w:t>Os cabeçalhos Código, Unidade Escolar, Responsável, Prioridade e Modificado Em são clicáveis. Ao clicar, os registros são reordenados de forma instantânea (crescente/decrescente), com setas visuais claras (↑ / ↓ / ↕).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2"/>
        </w:rPr>
        <w:t xml:space="preserve">Filtros Dropdown Rápidos: </w:t>
      </w:r>
      <w:r>
        <w:rPr>
          <w:rFonts w:ascii="Arial" w:hAnsi="Arial"/>
          <w:color w:val="1E293B"/>
          <w:sz w:val="22"/>
        </w:rPr>
        <w:t>Seletores no topo da lista permitem filtrar todos os chamados por Prioridade (Crítica, Alta, Média, Baixa) ou por Status específicos reativamente.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2"/>
        </w:rPr>
        <w:t xml:space="preserve">Indicador Exibindo X de Y: </w:t>
      </w:r>
      <w:r>
        <w:rPr>
          <w:rFonts w:ascii="Arial" w:hAnsi="Arial"/>
          <w:color w:val="1E293B"/>
          <w:sz w:val="22"/>
        </w:rPr>
        <w:t>Mostra em tempo real a proporção de registros visualizados de acordo com as abas, buscas textuais e filtros aplicados.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2"/>
        </w:rPr>
        <w:t xml:space="preserve">📥 Exportar Lista (CSV): </w:t>
      </w:r>
      <w:r>
        <w:rPr>
          <w:rFonts w:ascii="Arial" w:hAnsi="Arial"/>
          <w:color w:val="1E293B"/>
          <w:sz w:val="22"/>
        </w:rPr>
        <w:t>Gera uma exportação instantânea em arquivo CSV compatível com Microsoft Excel. Configurado com Byte Order Mark (BOM) UTF-8 e delimitador por ponto e vírgula (;), garantindo que nomes de escolas e status contendo acentuações sejam abertos perfeitamente sem caracteres ilegíveis.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284C7"/>
          <w:sz w:val="36"/>
        </w:rPr>
        <w:t>5. Integração entre Telas, Resumos e E-mails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E293B"/>
          <w:sz w:val="22"/>
        </w:rPr>
        <w:t>Focando no aumento de produtividade da equipe e na diminuição de retrabalho burocrático, criamos fluxos de comunicação rápidos: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2"/>
        </w:rPr>
        <w:t xml:space="preserve">Conectividade de Escolas a Chamados: </w:t>
      </w:r>
      <w:r>
        <w:rPr>
          <w:rFonts w:ascii="Arial" w:hAnsi="Arial"/>
          <w:color w:val="1E293B"/>
          <w:sz w:val="22"/>
        </w:rPr>
        <w:t>Na aba "Consulta por Escola", foram adicionados botões no rodapé da ficha técnica. O botão 'Registrar Chamado' transfere o usuário para a aba de cadastro com a escola e dados já vinculados. O botão 'Ver Chamados' filtra instantaneamente a listagem exibindo as demandas daquela unidade.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2"/>
        </w:rPr>
        <w:t xml:space="preserve">📋 Botões "Copiar Resumo": </w:t>
      </w:r>
      <w:r>
        <w:rPr>
          <w:rFonts w:ascii="Arial" w:hAnsi="Arial"/>
          <w:color w:val="1E293B"/>
          <w:sz w:val="22"/>
        </w:rPr>
        <w:t>Identificados com o ícone de prancheta, estão localizados no Cabeçalho do Chamado (no modal), na Escola e no Bairro. Ao clicar, copia-se um resumo gerencial textualmente formatado e limpo para a área de transferência do Windows, ideal para colar diretamente em grupos de WhatsApp ou e-mails de acompanhamento de equipe.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2"/>
        </w:rPr>
        <w:t xml:space="preserve">✉️ Placeholders de Comunicações: </w:t>
      </w:r>
      <w:r>
        <w:rPr>
          <w:rFonts w:ascii="Arial" w:hAnsi="Arial"/>
          <w:color w:val="1E293B"/>
          <w:sz w:val="22"/>
        </w:rPr>
        <w:t>O editor de comunicações gera minutas automáticas em lote. Expandimos o compilador do editor para preencher novos campos dinâmicos diretamente dos chamados: {STATUS}, {SETOR}, {PRIORIDADE}, {LOCAL_DEMANDA}, {PROXIMA_PROVIDENCIA} e {DESIGNACAO}.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284C7"/>
          <w:sz w:val="36"/>
        </w:rPr>
        <w:t>6. Recomendações e Boas Práticas Operacionais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E293B"/>
          <w:sz w:val="22"/>
        </w:rPr>
        <w:t>Como a plataforma opera em um modelo de uso interno sem controle rígido de login individual (para assegurar a simplicidade e o fluxo direto da equipe), é prudente seguir algumas boas práticas: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2"/>
        </w:rPr>
        <w:t xml:space="preserve">Ambiente Controlado: </w:t>
      </w:r>
      <w:r>
        <w:rPr>
          <w:rFonts w:ascii="Arial" w:hAnsi="Arial"/>
          <w:color w:val="1E293B"/>
          <w:sz w:val="22"/>
        </w:rPr>
        <w:t>Compartilhe o endereço do site apenas com a equipe direta de acompanhamento e controle da GOP, CTO e CRE. O uso compartilhado em ambiente interno de confiança garante a segurança operacional.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2"/>
        </w:rPr>
        <w:t xml:space="preserve">Congelamento da Planilha Antiga: </w:t>
      </w:r>
      <w:r>
        <w:rPr>
          <w:rFonts w:ascii="Arial" w:hAnsi="Arial"/>
          <w:color w:val="1E293B"/>
          <w:sz w:val="22"/>
        </w:rPr>
        <w:t>Recomenda-se desativar a planilha de Excel antiga imediatamente ao iniciar o uso do site. Manter os dois sistemas ativos gera divergência e retrabalho desnecessário.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2"/>
        </w:rPr>
        <w:t xml:space="preserve">Rotina de Backup Periódico: </w:t>
      </w:r>
      <w:r>
        <w:rPr>
          <w:rFonts w:ascii="Arial" w:hAnsi="Arial"/>
          <w:color w:val="1E293B"/>
          <w:sz w:val="22"/>
        </w:rPr>
        <w:t>Periodicamente (ex: a cada 15 dias ou no fim do mês), aplique o filtro de 'Todos os chamados' na aba Lista de chamados e clique em 'Exportar Lista (CSV)'. Guarde este arquivo em uma pasta institucional como uma salvaguarda local física das informações da 3ª CRE.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