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B: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25</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pPr>
        <w:pStyle w:val="BodyText"/>
      </w:pPr>
      <w:r>
        <w:t>As an example of a card moving through the plan in Table 3.2, consider a contributor who adds a new bank-sync provider, the kind of change behind GHSA-m2cq-xjgm-f668 (Section 3.3). At triage, the card is marked High tier because it touches bank sync, with an acceptance criterion that every new endpoint must refuse requests without a valid login. In Design, the implementer lists the new endpoints and who may call each one. At Build/PR, those endpoints are added to the authorisation test matrix. Without the login check, that test fails and the card cannot move to Verify, so a flaw like the 2026 one could be stopped before release. By contrast, a documentation typo fix is Low tier and passes through the normal checks only.</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rPr>
          <w:b/>
          <w:bCs/>
        </w:rPr>
        <w:t xml:space="preserve">mandatory quality gates (QA gates)</w:t>
      </w:r>
      <w:r>
        <w:t xml:space="preserve">, embedding the risk-scaled verification criteria detailed in Section 3 into each column's exit policy. </w:t>
      </w:r>
      <w:r>
        <w:rPr>
          <w:b/>
          <w:bCs/>
        </w:rPr>
        <w:t xml:space="preserve">The selected methodology is Kanban, tailored with mandatory QA gates.</w:t>
      </w:r>
    </w:p>
    <w:p>
      <w:pPr>
        <w:pStyle w:val="Heading1"/>
        <w:numPr>
          <w:ilvl w:val="0"/>
          <w:numId w:val="0"/>
        </w:numPr>
      </w:pPr>
      <w:bookmarkStart w:id="88" w:name="appendix-b-sqap-summary-poster"/>
      <w:bookmarkStart w:id="89" w:name="_Toc244223185"/>
      <w:bookmarkEnd w:id="74"/>
      <w:bookmarkEnd w:id="83"/>
      <w:r>
        <w:t>Appendix B: SQAP Summary Poster</w:t>
      </w:r>
      <w:bookmarkEnd w:id="89"/>
      <w:bookmarkEnd w:id="88"/>
    </w:p>
    <w:p>
      <w:pPr>
        <w:pStyle w:val="BodyText"/>
        <w:keepNext/>
        <w:spacing w:before="120" w:after="0"/>
        <w:jc w:val="center"/>
      </w:pPr>
      <w:r>
        <w:rPr>
          <w:noProof/>
        </w:rPr>
        <w:drawing>
          <wp:inline distT="0" distB="0" distL="0" distR="0">
            <wp:extent cx="5733000" cy="4152140"/>
            <wp:effectExtent l="0" t="0" r="0" b="0"/>
            <wp:docPr id="30" name="Picture" descr="Figure B.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b-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B.1.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