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Capstone: Next Steps and Roadmap</w:t>
      </w:r>
    </w:p>
    <w:p>
      <w:r>
        <w:t>Date: 1 June 2026</w:t>
      </w:r>
    </w:p>
    <w:p>
      <w:r>
        <w:t>This document summarises what the project has delivered so far and sets out the next</w:t>
      </w:r>
    </w:p>
    <w:p>
      <w:r>
        <w:t>steps, both for the current software-demonstration milestone and for the capstone as a</w:t>
      </w:r>
    </w:p>
    <w:p>
      <w:r>
        <w:t>whole. Under the revised schedule, all development (Objectives 1 to 3) is completed by</w:t>
      </w:r>
    </w:p>
    <w:p>
      <w:r>
        <w:t>26 June 2026, and the final capstone report is submitted by 10 July 2026.</w:t>
      </w:r>
    </w:p>
    <w:p>
      <w:pPr>
        <w:pStyle w:val="Heading1"/>
      </w:pPr>
      <w:r>
        <w:t>1. Where the project stands</w:t>
      </w:r>
    </w:p>
    <w:p>
      <w:pPr>
        <w:pStyle w:val="ListBullet"/>
      </w:pPr>
      <w:r>
        <w:t>The proposal was approved by the supervisor on 28 May 2026, which opened the</w:t>
      </w:r>
    </w:p>
    <w:p>
      <w:r>
        <w:t xml:space="preserve">  implementation phase.</w:t>
      </w:r>
    </w:p>
    <w:p>
      <w:pPr>
        <w:pStyle w:val="ListBullet"/>
      </w:pPr>
      <w:r>
        <w:t>An initial software demonstration is built and deployed: a classical machine-learning</w:t>
      </w:r>
    </w:p>
    <w:p>
      <w:r>
        <w:t xml:space="preserve">  classifier that sorts a short message into phishing, mobile-money fraud, advance-fee</w:t>
      </w:r>
    </w:p>
    <w:p>
      <w:r>
        <w:t xml:space="preserve">  fraud, or not-a-scam. It uses TF-IDF features with Logistic Regression and Random Forest,</w:t>
      </w:r>
    </w:p>
    <w:p>
      <w:r>
        <w:t xml:space="preserve">  and scores a test macro-F1 of 0.94 (held-out set, n = 664).</w:t>
      </w:r>
    </w:p>
    <w:p>
      <w:pPr>
        <w:pStyle w:val="ListBullet"/>
      </w:pPr>
      <w:r>
        <w:t>It is served as a REST API (FastAPI, on Render) and a web app (on Vercel), with an</w:t>
      </w:r>
    </w:p>
    <w:p>
      <w:r>
        <w:t xml:space="preserve">  executed model notebook and a clean repository.</w:t>
      </w:r>
    </w:p>
    <w:p>
      <w:pPr>
        <w:pStyle w:val="ListBullet"/>
      </w:pPr>
      <w:r>
        <w:t>A working corpus has been pooled from public sources: 8,536 unique messages after</w:t>
      </w:r>
    </w:p>
    <w:p>
      <w:r>
        <w:t xml:space="preserve">  de-duplication. The initial demonstration model is trained on a 4,422-row labelled</w:t>
      </w:r>
    </w:p>
    <w:p>
      <w:r>
        <w:t xml:space="preserve">  subset, using each source's own labels.</w:t>
      </w:r>
    </w:p>
    <w:p>
      <w:pPr>
        <w:pStyle w:val="Heading1"/>
      </w:pPr>
      <w:r>
        <w:t>2. A note on the labels</w:t>
      </w:r>
    </w:p>
    <w:p>
      <w:r>
        <w:t>The demonstration model is an initial baseline. Its labels come from the source datasets</w:t>
      </w:r>
    </w:p>
    <w:p>
      <w:r>
        <w:t>(provenance labels), not from a human adjudication process. The numbers are therefore</w:t>
      </w:r>
    </w:p>
    <w:p>
      <w:r>
        <w:t>slightly optimistic, because the model partly learns which dataset a message resembles.</w:t>
      </w:r>
    </w:p>
    <w:p>
      <w:r>
        <w:t>The final dissertation evaluation will run on a human, inter-rater-verified corpus, which</w:t>
      </w:r>
    </w:p>
    <w:p>
      <w:r>
        <w:t>is the work described in Objective 1 below.</w:t>
      </w:r>
    </w:p>
    <w:p>
      <w:pPr>
        <w:pStyle w:val="Heading1"/>
      </w:pPr>
      <w:r>
        <w:t>3. Immediate next steps (this week, demonstration milestone)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Record the 5 to 10 minute demo video (notebook, then the live app)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Add the video link to the repository README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Submit the repository zip and the repo link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Revoke the deployment tokens used during setup (Vercel, Render)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Optionally lock the API CORS setting to the web-app domain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4. Objective 1: the verified corpus (internal target ~14 June)</w:t>
      </w:r>
    </w:p>
    <w:p>
      <w:r>
        <w:t>This is the next major deliverable. The acceptance criterion is a labelled corpus of at</w:t>
      </w:r>
    </w:p>
    <w:p>
      <w:r>
        <w:t>least 500 balanced items with Cohen's kappa of 0.7 or higher on a 100-item audit.</w:t>
      </w:r>
    </w:p>
    <w:p>
      <w:r>
        <w:t>Steps:</w:t>
      </w:r>
    </w:p>
    <w:p>
      <w:r>
        <w:t>1. Run the assisted labelling pass to produce at least 500 human-confirmed labels across</w:t>
      </w:r>
    </w:p>
    <w:p>
      <w:r>
        <w:t xml:space="preserve">   the in-scope categories, prioritising a balanced set rather than the natural skew.</w:t>
      </w:r>
    </w:p>
    <w:p>
      <w:r>
        <w:t>2. Recruit a second rater. Draw the 100-item blinded audit sample, have the second rater</w:t>
      </w:r>
    </w:p>
    <w:p>
      <w:r>
        <w:t xml:space="preserve">   label it independently, and compute kappa.</w:t>
      </w:r>
    </w:p>
    <w:p>
      <w:r>
        <w:t>3. If kappa is below 0.7, adjudicate the disagreements, refine the labelling guide, and</w:t>
      </w:r>
    </w:p>
    <w:p>
      <w:r>
        <w:t xml:space="preserve">   re-rate the disputed items until the threshold is met.</w:t>
      </w:r>
    </w:p>
    <w:p>
      <w:r>
        <w:t>4. Lock the corpus and produce the stratified 70/15/15 train/dev/test split. The test set</w:t>
      </w:r>
    </w:p>
    <w:p>
      <w:r>
        <w:t xml:space="preserve">   is touched only once, at final evaluation.</w:t>
      </w:r>
    </w:p>
    <w:p>
      <w:r>
        <w:t>Scope decision to confirm with the supervisor: three categories (phishing, mobile-money</w:t>
      </w:r>
    </w:p>
    <w:p>
      <w:r>
        <w:t>fraud, advance-fee fraud) have enough real message data to train and evaluate. Romance,</w:t>
      </w:r>
    </w:p>
    <w:p>
      <w:r>
        <w:t>identity-theft, and synthetic-media fraud do not, so they move to future work with a</w:t>
      </w:r>
    </w:p>
    <w:p>
      <w:r>
        <w:t>documented sourcing rationale. The classifier ships as a three-category model plus a</w:t>
      </w:r>
    </w:p>
    <w:p>
      <w:r>
        <w:t>not-a-scam class.</w:t>
      </w:r>
    </w:p>
    <w:p>
      <w:pPr>
        <w:pStyle w:val="Heading1"/>
      </w:pPr>
      <w:r>
        <w:t>5. Objective 2: the platform (complete by 26 June)</w:t>
      </w:r>
    </w:p>
    <w:p>
      <w:r>
        <w:t>The demonstration API and web app are the seed for the platform. Next steps:</w:t>
      </w:r>
    </w:p>
    <w:p>
      <w:r>
        <w:t>1. Harden the API: input validation, a batch endpoint, model versioning, and request</w:t>
      </w:r>
    </w:p>
    <w:p>
      <w:r>
        <w:t xml:space="preserve">   logging.</w:t>
      </w:r>
    </w:p>
    <w:p>
      <w:r>
        <w:t>2. Improve the web front-end and connect it to the intended mobile delivery channel.</w:t>
      </w:r>
    </w:p>
    <w:p>
      <w:r>
        <w:t>3. Containerise the service and move to stable hosting, with a simple retrain-and-deploy</w:t>
      </w:r>
    </w:p>
    <w:p>
      <w:r>
        <w:t xml:space="preserve">   routine.</w:t>
      </w:r>
    </w:p>
    <w:p>
      <w:pPr>
        <w:pStyle w:val="Heading1"/>
      </w:pPr>
      <w:r>
        <w:t>6. Objective 3: the comparative evaluation (complete by 26 June)</w:t>
      </w:r>
    </w:p>
    <w:p>
      <w:r>
        <w:t>1. Retrain TF-IDF with Logistic Regression and TF-IDF with Random Forest on the verified</w:t>
      </w:r>
    </w:p>
    <w:p>
      <w:r>
        <w:t xml:space="preserve">   corpus from Objective 1.</w:t>
      </w:r>
    </w:p>
    <w:p>
      <w:r>
        <w:t>2. Report per-category precision, recall, and F1, plus macro-F1 and confusion matrices, on</w:t>
      </w:r>
    </w:p>
    <w:p>
      <w:r>
        <w:t xml:space="preserve">   the held-out test set.</w:t>
      </w:r>
    </w:p>
    <w:p>
      <w:r>
        <w:t>3. Run an error analysis and a language breakdown (for example English against Portuguese).</w:t>
      </w:r>
    </w:p>
    <w:p>
      <w:r>
        <w:t>4. Compare the verified-corpus results against the initial source-labelled baseline to show</w:t>
      </w:r>
    </w:p>
    <w:p>
      <w:r>
        <w:t xml:space="preserve">   the effect of proper labelling.</w:t>
      </w:r>
    </w:p>
    <w:p>
      <w:pPr>
        <w:pStyle w:val="Heading1"/>
      </w:pPr>
      <w:r>
        <w:t>7. Data gaps and future work</w:t>
      </w:r>
    </w:p>
    <w:p>
      <w:pPr>
        <w:pStyle w:val="ListBullet"/>
      </w:pPr>
      <w:r>
        <w:t>The thin categories (romance, identity-theft, synthetic-media) need data the public web</w:t>
      </w:r>
    </w:p>
    <w:p>
      <w:r>
        <w:t xml:space="preserve">  does not provide as text. Options: Kaggle-token corpora, a data collaboration with the</w:t>
      </w:r>
    </w:p>
    <w:p>
      <w:r>
        <w:t xml:space="preserve">  CMU-Africa smishing honeynet, or targeted collection. Synthetic-media (deepfake) fraud is</w:t>
      </w:r>
    </w:p>
    <w:p>
      <w:r>
        <w:t xml:space="preserve">  audio and video, so it sits outside a text classifier and stays as future work.</w:t>
      </w:r>
    </w:p>
    <w:p>
      <w:pPr>
        <w:pStyle w:val="ListBullet"/>
      </w:pPr>
      <w:r>
        <w:t>Language coverage leans English, with Portuguese mobile-money smishing as the main</w:t>
      </w:r>
    </w:p>
    <w:p>
      <w:r>
        <w:t xml:space="preserve">  non-English slice. French and Pidgin coverage is thin and is a future-work item.</w:t>
      </w:r>
    </w:p>
    <w:p>
      <w:pPr>
        <w:pStyle w:val="ListBullet"/>
      </w:pPr>
      <w:r>
        <w:t>Scraping regional news produced little usable signal, because articles report about fraud</w:t>
      </w:r>
    </w:p>
    <w:p>
      <w:r>
        <w:t xml:space="preserve">  rather than being scam messages. Future collection should favour message datasets and</w:t>
      </w:r>
    </w:p>
    <w:p>
      <w:r>
        <w:t xml:space="preserve">  institutional collaborations over news scraping.</w:t>
      </w:r>
    </w:p>
    <w:p>
      <w:pPr>
        <w:pStyle w:val="Heading1"/>
      </w:pPr>
      <w:r>
        <w:t>8. 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Kappa below 0.7 on the first audit</w:t>
            </w:r>
          </w:p>
        </w:tc>
        <w:tc>
          <w:tcPr>
            <w:tcW w:type="dxa" w:w="4320"/>
          </w:tcPr>
          <w:p>
            <w:r>
              <w:t>Adjudicate and re-rate; the audit and kappa tooling already exists</w:t>
            </w:r>
          </w:p>
        </w:tc>
      </w:tr>
      <w:tr>
        <w:tc>
          <w:tcPr>
            <w:tcW w:type="dxa" w:w="4320"/>
          </w:tcPr>
          <w:p>
            <w:r>
              <w:t>Second-rater availability</w:t>
            </w:r>
          </w:p>
        </w:tc>
        <w:tc>
          <w:tcPr>
            <w:tcW w:type="dxa" w:w="4320"/>
          </w:tcPr>
          <w:p>
            <w:r>
              <w:t>Recruit a peer or colleague early in the labelling week</w:t>
            </w:r>
          </w:p>
        </w:tc>
      </w:tr>
      <w:tr>
        <w:tc>
          <w:tcPr>
            <w:tcW w:type="dxa" w:w="4320"/>
          </w:tcPr>
          <w:p>
            <w:r>
              <w:t>Source-label leakage inflates demo metrics</w:t>
            </w:r>
          </w:p>
        </w:tc>
        <w:tc>
          <w:tcPr>
            <w:tcW w:type="dxa" w:w="4320"/>
          </w:tcPr>
          <w:p>
            <w:r>
              <w:t>Report final numbers only from the verified corpus</w:t>
            </w:r>
          </w:p>
        </w:tc>
      </w:tr>
      <w:tr>
        <w:tc>
          <w:tcPr>
            <w:tcW w:type="dxa" w:w="4320"/>
          </w:tcPr>
          <w:p>
            <w:r>
              <w:t>Free-tier hosting cold starts</w:t>
            </w:r>
          </w:p>
        </w:tc>
        <w:tc>
          <w:tcPr>
            <w:tcW w:type="dxa" w:w="4320"/>
          </w:tcPr>
          <w:p>
            <w:r>
              <w:t>Acceptable for the demo; upgrade the plan if a live pilot is run</w:t>
            </w:r>
          </w:p>
        </w:tc>
      </w:tr>
      <w:tr>
        <w:tc>
          <w:tcPr>
            <w:tcW w:type="dxa" w:w="4320"/>
          </w:tcPr>
          <w:p>
            <w:r>
              <w:t>Category imbalance in the corpus</w:t>
            </w:r>
          </w:p>
        </w:tc>
        <w:tc>
          <w:tcPr>
            <w:tcW w:type="dxa" w:w="4320"/>
          </w:tcPr>
          <w:p>
            <w:r>
              <w:t>Cap per class or apply class weighting; report macro-F1</w:t>
            </w:r>
          </w:p>
        </w:tc>
      </w:tr>
    </w:tbl>
    <w:p/>
    <w:p>
      <w:pPr>
        <w:pStyle w:val="Heading1"/>
      </w:pPr>
      <w:r>
        <w:t>9. Timeline</w:t>
      </w:r>
    </w:p>
    <w:p>
      <w:r>
        <w:t>Under the revised schedule, all development finishes by 26 June and the final report is</w:t>
      </w:r>
    </w:p>
    <w:p>
      <w:r>
        <w:t>submitted by 10 July. Objectives 1, 2, and 3 overlap so the development work fits inside</w:t>
      </w:r>
    </w:p>
    <w:p>
      <w:r>
        <w:t>the 26 June freeze; report writing then runs to the 10 July submission.</w:t>
      </w:r>
    </w:p>
    <w:p>
      <w:r>
        <w:drawing>
          <wp:inline xmlns:a="http://schemas.openxmlformats.org/drawingml/2006/main" xmlns:pic="http://schemas.openxmlformats.org/drawingml/2006/picture">
            <wp:extent cx="5760720" cy="2473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t>Software demonstration</w:t>
            </w:r>
          </w:p>
        </w:tc>
        <w:tc>
          <w:tcPr>
            <w:tcW w:type="dxa" w:w="2880"/>
          </w:tcPr>
          <w:p>
            <w:r>
              <w:t>MVP plus video</w:t>
            </w:r>
          </w:p>
        </w:tc>
        <w:tc>
          <w:tcPr>
            <w:tcW w:type="dxa" w:w="2880"/>
          </w:tcPr>
          <w:p>
            <w:r>
              <w:t>Early June (this week)</w:t>
            </w:r>
          </w:p>
        </w:tc>
      </w:tr>
      <w:tr>
        <w:tc>
          <w:tcPr>
            <w:tcW w:type="dxa" w:w="2880"/>
          </w:tcPr>
          <w:p>
            <w:r>
              <w:t>Objective 1</w:t>
            </w:r>
          </w:p>
        </w:tc>
        <w:tc>
          <w:tcPr>
            <w:tcW w:type="dxa" w:w="2880"/>
          </w:tcPr>
          <w:p>
            <w:r>
              <w:t>Verified corpus (kappa &gt;= 0.7)</w:t>
            </w:r>
          </w:p>
        </w:tc>
        <w:tc>
          <w:tcPr>
            <w:tcW w:type="dxa" w:w="2880"/>
          </w:tcPr>
          <w:p>
            <w:r>
              <w:t>~14 June (internal)</w:t>
            </w:r>
          </w:p>
        </w:tc>
      </w:tr>
      <w:tr>
        <w:tc>
          <w:tcPr>
            <w:tcW w:type="dxa" w:w="2880"/>
          </w:tcPr>
          <w:p>
            <w:r>
              <w:t>Objective 3</w:t>
            </w:r>
          </w:p>
        </w:tc>
        <w:tc>
          <w:tcPr>
            <w:tcW w:type="dxa" w:w="2880"/>
          </w:tcPr>
          <w:p>
            <w:r>
              <w:t>Comparative evaluation</w:t>
            </w:r>
          </w:p>
        </w:tc>
        <w:tc>
          <w:tcPr>
            <w:tcW w:type="dxa" w:w="2880"/>
          </w:tcPr>
          <w:p>
            <w:r>
              <w:t>~24 June (internal)</w:t>
            </w:r>
          </w:p>
        </w:tc>
      </w:tr>
      <w:tr>
        <w:tc>
          <w:tcPr>
            <w:tcW w:type="dxa" w:w="2880"/>
          </w:tcPr>
          <w:p>
            <w:r>
              <w:t>Objective 2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26 June</w:t>
            </w:r>
          </w:p>
        </w:tc>
      </w:tr>
      <w:tr>
        <w:tc>
          <w:tcPr>
            <w:tcW w:type="dxa" w:w="2880"/>
          </w:tcPr>
          <w:p>
            <w:r>
              <w:t>Development freeze</w:t>
            </w:r>
          </w:p>
        </w:tc>
        <w:tc>
          <w:tcPr>
            <w:tcW w:type="dxa" w:w="2880"/>
          </w:tcPr>
          <w:p>
            <w:r>
              <w:t>All development complete</w:t>
            </w:r>
          </w:p>
        </w:tc>
        <w:tc>
          <w:tcPr>
            <w:tcW w:type="dxa" w:w="2880"/>
          </w:tcPr>
          <w:p>
            <w:r>
              <w:t>26 June 2026</w:t>
            </w:r>
          </w:p>
        </w:tc>
      </w:tr>
      <w:tr>
        <w:tc>
          <w:tcPr>
            <w:tcW w:type="dxa" w:w="2880"/>
          </w:tcPr>
          <w:p>
            <w:r>
              <w:t>Final report</w:t>
            </w:r>
          </w:p>
        </w:tc>
        <w:tc>
          <w:tcPr>
            <w:tcW w:type="dxa" w:w="2880"/>
          </w:tcPr>
          <w:p>
            <w:r>
              <w:t>Capstone report submitted</w:t>
            </w:r>
          </w:p>
        </w:tc>
        <w:tc>
          <w:tcPr>
            <w:tcW w:type="dxa" w:w="2880"/>
          </w:tcPr>
          <w:p>
            <w:r>
              <w:t>10 July 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