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Ethical AI Integration in African Higher Education: Enhancing Research Supervision, Grant Discovery, and Proposal Writing Without Compromising Academic Integrity</w:t>
      </w:r>
    </w:p>
    <w:p w:rsidR="00000000" w:rsidDel="00000000" w:rsidP="00000000" w:rsidRDefault="00000000" w:rsidRPr="00000000" w14:paraId="00000002">
      <w:pPr>
        <w:pStyle w:val="Heading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ONE: INTRODUCTION</w:t>
      </w:r>
    </w:p>
    <w:p w:rsidR="00000000" w:rsidDel="00000000" w:rsidP="00000000" w:rsidRDefault="00000000" w:rsidRPr="00000000" w14:paraId="00000003">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Introduction</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emerging technologies into education has generated widespread discussion in recent years. Artificial Intelligence (AI), in particular, has drawn attention for its potential to improve learning outcomes, enhance administrative efficiency, and support academic research. However, its application also presents ethical concerns, especially in relation to academic integrity. This study examines how AI tools are being integrated into African higher education, with a focus on improving research supervision, grant discovery, and proposal writing, while maintaining ethical standards. The section that follows provides the background to this investigation.</w:t>
      </w:r>
    </w:p>
    <w:p w:rsidR="00000000" w:rsidDel="00000000" w:rsidP="00000000" w:rsidRDefault="00000000" w:rsidRPr="00000000" w14:paraId="00000005">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Background of the Study</w:t>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Technological advancement continues to influence major sectors of society, including education. Over the past two decades, digital systems, data-driven platforms, and automation tools have increasingly been adopted to improve efficiency and access in both public and private institutions (Roy, 2020). In education, technology has introduced changes in how teaching, learning, and academic administration are delivered.</w:t>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specific area of interest is Educational Technology (EdTech), which refers to the use of digital tools and software to support instructional processes. Examples include online learning platforms, digital libraries, and automated assessment tools. EdTech has gained attention for its potential to improve learning outcomes, widen participation, and facilitate resource sharing across institutions and borders (Means et al., 2013). In Sub-Saharan Africa, higher education systems have expanded in terms of enrollment and institutional growth. However, many universities still face structural challenges such as inadequate infrastructure, limited access to funding, and shortage of qualified academic staff (Teferra &amp; Altbach, 2004). These constraints affect not only teaching but also research and postgraduate training. Despite these challenges, many African universities are adopting digital solutions to support teaching and learning activities (Ssekakubo et al., 2011).</w:t>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adoption in African higher education is increasing but remains uneven. Universities in urban areas often have better access to digital tools than those in rural regions. Differences in internet connectivity, staff capacity, and institutional policy also contribute to variations in adoption levels. Even where digital systems are in place, their integration into core academic functions—such as research support and proposal development—is often limited (Kommers et al., 2021). One area of concern in higher education is the need to strengthen research capacity. This includes effective supervision of graduate students, increased access to funding opportunities, and support for writing high-quality research proposals. Many institutions do not have systems that adequately support these functions. As a result, students and early-career researchers often face difficulties navigating the research process.</w:t>
      </w:r>
    </w:p>
    <w:p w:rsidR="00000000" w:rsidDel="00000000" w:rsidP="00000000" w:rsidRDefault="00000000" w:rsidRPr="00000000" w14:paraId="0000000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parallel with these developments, there is growing attention to the role of ethics in both education and technology. Ethics refers to principles and standards that guide appropriate conduct. In academic settings, this includes values such as honesty, fairness, and responsibility in research, teaching, and assessment (Resnik, 2015). The increased use of digital tools has raised new questions about how these values are upheld. Artificial Intelligence (AI) is one of the emerging technologies being introduced in education. AI systems are now being used to support learning analytics, provide writing suggestions, and automate feedback. However, their use raises ethical concerns (Jobin et al., 2019), including the risk of plagiarism, bias in algorithms, and reduced student engagement in critical thinking (Binns, 2017). These concerns are particularly relevant in academic settings where originality and independent reasoning are central.</w:t>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integrity remains a fundamental requirement of higher education. It involves producing work that is one's own, acknowledging sources properly, and avoiding dishonest practices such as copying or fabrication. As AI tools become more capable of generating written content, their use in academic work must be carefully managed to prevent violations of academic integrity (Cotton et al., 2024). The idea of ethical AI integration has emerged to describe the responsible use of AI tools in academic processes. Ethical integration involves using AI to support student and staff productivity while ensuring that its use does not undermine core academic standards. Institutions must develop clear policies and provide training on how AI tools can be used appropriately (Holmes et al., 2019).</w:t>
      </w:r>
    </w:p>
    <w:p w:rsidR="00000000" w:rsidDel="00000000" w:rsidP="00000000" w:rsidRDefault="00000000" w:rsidRPr="00000000" w14:paraId="0000000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supervision is one area where AI tools have been introduced to provide structured guidance, suggest relevant literature, and track progress. However, supervision also involves judgment, mentorship, and feedback that require human input. AI may be used to assist, but not replace, academic supervision. In addition, AI systems have been used to support grant discovery. These systems can match researcher profiles with available funding calls, saving time and improving access to opportunities. For researchers in African institutions, such tools may reduce some barriers to international funding—provided they are used with transparency and fairness (Kraemer-Mbula &amp; Konté, 2016). Proposal writing is another process where AI tools are increasingly used. Features such as grammar checking, formatting, and automated feedback can assist researchers in improving clarity and structure. </w:t>
      </w:r>
    </w:p>
    <w:p w:rsidR="00000000" w:rsidDel="00000000" w:rsidP="00000000" w:rsidRDefault="00000000" w:rsidRPr="00000000" w14:paraId="0000000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overreliance on such tools may limit the development of academic writing skills and originality. Institutions must ensure that AI-supported writing remains aligned with scholarly standards (Heavenarchive, 2023). Given these developments, it is necessary to examine how AI can be used to improve research support systems while maintaining ethical standards. This study focuses on the integration of AI tools in African higher education to enhance research supervision, grant discovery, and proposal writing, while ensuring that academic integrity is not compromised</w:t>
      </w:r>
    </w:p>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0E">
      <w:pPr>
        <w:widowControl w:val="0"/>
        <w:spacing w:line="24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Binns, R. (2017). </w:t>
      </w:r>
      <w:r w:rsidDel="00000000" w:rsidR="00000000" w:rsidRPr="00000000">
        <w:rPr>
          <w:rFonts w:ascii="Times New Roman" w:cs="Times New Roman" w:eastAsia="Times New Roman" w:hAnsi="Times New Roman"/>
          <w:i w:val="1"/>
          <w:sz w:val="24"/>
          <w:szCs w:val="24"/>
          <w:rtl w:val="0"/>
        </w:rPr>
        <w:t xml:space="preserve">Fairness in Machine Learning: Lessons from Political Philosophy</w:t>
      </w:r>
      <w:r w:rsidDel="00000000" w:rsidR="00000000" w:rsidRPr="00000000">
        <w:rPr>
          <w:rFonts w:ascii="Times New Roman" w:cs="Times New Roman" w:eastAsia="Times New Roman" w:hAnsi="Times New Roman"/>
          <w:sz w:val="24"/>
          <w:szCs w:val="24"/>
          <w:rtl w:val="0"/>
        </w:rPr>
        <w:t xml:space="preserve">. https://papers.ssrn.com/abstract=3086546</w:t>
      </w:r>
    </w:p>
    <w:p w:rsidR="00000000" w:rsidDel="00000000" w:rsidP="00000000" w:rsidRDefault="00000000" w:rsidRPr="00000000" w14:paraId="0000000F">
      <w:pPr>
        <w:widowControl w:val="0"/>
        <w:spacing w:line="24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Cotton, D. R. E., Cotton, P. A., &amp; Shipway, J. R. (2024). Chatting and cheating: Ensuring academic integrity in the era of ChatGPT. </w:t>
      </w:r>
      <w:r w:rsidDel="00000000" w:rsidR="00000000" w:rsidRPr="00000000">
        <w:rPr>
          <w:rFonts w:ascii="Times New Roman" w:cs="Times New Roman" w:eastAsia="Times New Roman" w:hAnsi="Times New Roman"/>
          <w:i w:val="1"/>
          <w:sz w:val="24"/>
          <w:szCs w:val="24"/>
          <w:rtl w:val="0"/>
        </w:rPr>
        <w:t xml:space="preserve">Innovations in Education and Teaching International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61</w:t>
      </w:r>
      <w:r w:rsidDel="00000000" w:rsidR="00000000" w:rsidRPr="00000000">
        <w:rPr>
          <w:rFonts w:ascii="Times New Roman" w:cs="Times New Roman" w:eastAsia="Times New Roman" w:hAnsi="Times New Roman"/>
          <w:sz w:val="24"/>
          <w:szCs w:val="24"/>
          <w:rtl w:val="0"/>
        </w:rPr>
        <w:t xml:space="preserve">(2), 228–239. https://doi.org/10.1080/14703297.2023.2190148</w:t>
      </w:r>
    </w:p>
    <w:p w:rsidR="00000000" w:rsidDel="00000000" w:rsidP="00000000" w:rsidRDefault="00000000" w:rsidRPr="00000000" w14:paraId="00000010">
      <w:pPr>
        <w:widowControl w:val="0"/>
        <w:spacing w:line="24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Heavenarchive, W. D. (2023). ChatGPT is going to change education, not destroy it | MIT Technology Review. </w:t>
      </w:r>
      <w:r w:rsidDel="00000000" w:rsidR="00000000" w:rsidRPr="00000000">
        <w:rPr>
          <w:rFonts w:ascii="Times New Roman" w:cs="Times New Roman" w:eastAsia="Times New Roman" w:hAnsi="Times New Roman"/>
          <w:i w:val="1"/>
          <w:sz w:val="24"/>
          <w:szCs w:val="24"/>
          <w:rtl w:val="0"/>
        </w:rPr>
        <w:t xml:space="preserve">MIT Technology Review</w:t>
      </w:r>
      <w:r w:rsidDel="00000000" w:rsidR="00000000" w:rsidRPr="00000000">
        <w:rPr>
          <w:rFonts w:ascii="Times New Roman" w:cs="Times New Roman" w:eastAsia="Times New Roman" w:hAnsi="Times New Roman"/>
          <w:sz w:val="24"/>
          <w:szCs w:val="24"/>
          <w:rtl w:val="0"/>
        </w:rPr>
        <w:t xml:space="preserve">. https://www.technologyreview.com/2023/04/06/1071059/chatgpt-change-not-destroy-education-openai/</w:t>
      </w:r>
    </w:p>
    <w:p w:rsidR="00000000" w:rsidDel="00000000" w:rsidP="00000000" w:rsidRDefault="00000000" w:rsidRPr="00000000" w14:paraId="00000011">
      <w:pPr>
        <w:widowControl w:val="0"/>
        <w:spacing w:line="24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Holmes, W., Bialik, M., &amp; Fadel, C. (2019). </w:t>
      </w:r>
      <w:r w:rsidDel="00000000" w:rsidR="00000000" w:rsidRPr="00000000">
        <w:rPr>
          <w:rFonts w:ascii="Times New Roman" w:cs="Times New Roman" w:eastAsia="Times New Roman" w:hAnsi="Times New Roman"/>
          <w:i w:val="1"/>
          <w:sz w:val="24"/>
          <w:szCs w:val="24"/>
          <w:rtl w:val="0"/>
        </w:rPr>
        <w:t xml:space="preserve">Artificial Intelligence In Education Promises and Implications for Teaching and Learning</w:t>
      </w:r>
      <w:r w:rsidDel="00000000" w:rsidR="00000000" w:rsidRPr="00000000">
        <w:rPr>
          <w:rFonts w:ascii="Times New Roman" w:cs="Times New Roman" w:eastAsia="Times New Roman" w:hAnsi="Times New Roman"/>
          <w:sz w:val="24"/>
          <w:szCs w:val="24"/>
          <w:rtl w:val="0"/>
        </w:rPr>
        <w:t xml:space="preserve">. http://bit.ly/AIED-</w:t>
      </w:r>
    </w:p>
    <w:p w:rsidR="00000000" w:rsidDel="00000000" w:rsidP="00000000" w:rsidRDefault="00000000" w:rsidRPr="00000000" w14:paraId="00000012">
      <w:pPr>
        <w:widowControl w:val="0"/>
        <w:spacing w:line="24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Jobin, A., Ienca, M., &amp; Vayena, E. (2019). The global landscape of AI ethics guidelines. </w:t>
      </w:r>
      <w:r w:rsidDel="00000000" w:rsidR="00000000" w:rsidRPr="00000000">
        <w:rPr>
          <w:rFonts w:ascii="Times New Roman" w:cs="Times New Roman" w:eastAsia="Times New Roman" w:hAnsi="Times New Roman"/>
          <w:i w:val="1"/>
          <w:sz w:val="24"/>
          <w:szCs w:val="24"/>
          <w:rtl w:val="0"/>
        </w:rPr>
        <w:t xml:space="preserve">Nature Machine Intelligence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(9), 389–399. https://doi.org/10.1038/s42256-019-0088-2</w:t>
      </w:r>
    </w:p>
    <w:p w:rsidR="00000000" w:rsidDel="00000000" w:rsidP="00000000" w:rsidRDefault="00000000" w:rsidRPr="00000000" w14:paraId="00000013">
      <w:pPr>
        <w:widowControl w:val="0"/>
        <w:spacing w:line="24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Kommers, S., Zijde, M. Van Der, &amp; Elfferich, A. (2021). Digitalisation of education in East Africa : Needs , experiences and opportunities. </w:t>
      </w:r>
      <w:r w:rsidDel="00000000" w:rsidR="00000000" w:rsidRPr="00000000">
        <w:rPr>
          <w:rFonts w:ascii="Times New Roman" w:cs="Times New Roman" w:eastAsia="Times New Roman" w:hAnsi="Times New Roman"/>
          <w:i w:val="1"/>
          <w:sz w:val="24"/>
          <w:szCs w:val="24"/>
          <w:rtl w:val="0"/>
        </w:rPr>
        <w:t xml:space="preserve">Nuffic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(2), 1–52.</w:t>
      </w:r>
    </w:p>
    <w:p w:rsidR="00000000" w:rsidDel="00000000" w:rsidP="00000000" w:rsidRDefault="00000000" w:rsidRPr="00000000" w14:paraId="00000014">
      <w:pPr>
        <w:widowControl w:val="0"/>
        <w:spacing w:line="24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Kraemer-Mbula, E., &amp; Konté, A. (2016). Innovation Policy and the Informal Economy. In </w:t>
      </w:r>
      <w:r w:rsidDel="00000000" w:rsidR="00000000" w:rsidRPr="00000000">
        <w:rPr>
          <w:rFonts w:ascii="Times New Roman" w:cs="Times New Roman" w:eastAsia="Times New Roman" w:hAnsi="Times New Roman"/>
          <w:i w:val="1"/>
          <w:sz w:val="24"/>
          <w:szCs w:val="24"/>
          <w:rtl w:val="0"/>
        </w:rPr>
        <w:t xml:space="preserve">The Informal Economy in Developing Nations</w:t>
      </w:r>
      <w:r w:rsidDel="00000000" w:rsidR="00000000" w:rsidRPr="00000000">
        <w:rPr>
          <w:rFonts w:ascii="Times New Roman" w:cs="Times New Roman" w:eastAsia="Times New Roman" w:hAnsi="Times New Roman"/>
          <w:sz w:val="24"/>
          <w:szCs w:val="24"/>
          <w:rtl w:val="0"/>
        </w:rPr>
        <w:t xml:space="preserve"> (pp. 296–335). Cambridge University Press. https://doi.org/10.1017/cbo9781316662076.012</w:t>
      </w:r>
    </w:p>
    <w:p w:rsidR="00000000" w:rsidDel="00000000" w:rsidP="00000000" w:rsidRDefault="00000000" w:rsidRPr="00000000" w14:paraId="00000015">
      <w:pPr>
        <w:widowControl w:val="0"/>
        <w:spacing w:line="24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Means, B., Toyama, Y., Murphy, R. F., &amp; Baki, M. (2013). The Effectiveness of Online and Blended Learning: A Meta-Analysis of the Empirical Literature. </w:t>
      </w:r>
      <w:r w:rsidDel="00000000" w:rsidR="00000000" w:rsidRPr="00000000">
        <w:rPr>
          <w:rFonts w:ascii="Times New Roman" w:cs="Times New Roman" w:eastAsia="Times New Roman" w:hAnsi="Times New Roman"/>
          <w:i w:val="1"/>
          <w:sz w:val="24"/>
          <w:szCs w:val="24"/>
          <w:rtl w:val="0"/>
        </w:rPr>
        <w:t xml:space="preserve">Teachers College Record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115</w:t>
      </w: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16">
      <w:pPr>
        <w:widowControl w:val="0"/>
        <w:spacing w:line="24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Resnik, D. B. (2015). </w:t>
      </w:r>
      <w:r w:rsidDel="00000000" w:rsidR="00000000" w:rsidRPr="00000000">
        <w:rPr>
          <w:rFonts w:ascii="Times New Roman" w:cs="Times New Roman" w:eastAsia="Times New Roman" w:hAnsi="Times New Roman"/>
          <w:i w:val="1"/>
          <w:sz w:val="24"/>
          <w:szCs w:val="24"/>
          <w:rtl w:val="0"/>
        </w:rPr>
        <w:t xml:space="preserve">What is Ethics in Research &amp; Why is it Important? National Institute of Environmental Health Sciences.</w:t>
      </w:r>
      <w:r w:rsidDel="00000000" w:rsidR="00000000" w:rsidRPr="00000000">
        <w:rPr>
          <w:rFonts w:ascii="Times New Roman" w:cs="Times New Roman" w:eastAsia="Times New Roman" w:hAnsi="Times New Roman"/>
          <w:sz w:val="24"/>
          <w:szCs w:val="24"/>
          <w:rtl w:val="0"/>
        </w:rPr>
        <w:t xml:space="preserve"> https://www.niehs.nih.gov/research/resources/bioethics/whatis</w:t>
      </w:r>
    </w:p>
    <w:p w:rsidR="00000000" w:rsidDel="00000000" w:rsidP="00000000" w:rsidRDefault="00000000" w:rsidRPr="00000000" w14:paraId="00000017">
      <w:pPr>
        <w:widowControl w:val="0"/>
        <w:spacing w:line="24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Roy, A. (2020). The Fourth Industrial Revolution. </w:t>
      </w:r>
      <w:r w:rsidDel="00000000" w:rsidR="00000000" w:rsidRPr="00000000">
        <w:rPr>
          <w:rFonts w:ascii="Times New Roman" w:cs="Times New Roman" w:eastAsia="Times New Roman" w:hAnsi="Times New Roman"/>
          <w:i w:val="1"/>
          <w:sz w:val="24"/>
          <w:szCs w:val="24"/>
          <w:rtl w:val="0"/>
        </w:rPr>
        <w:t xml:space="preserve">Journal of International Consumer Marketing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32</w:t>
      </w:r>
      <w:r w:rsidDel="00000000" w:rsidR="00000000" w:rsidRPr="00000000">
        <w:rPr>
          <w:rFonts w:ascii="Times New Roman" w:cs="Times New Roman" w:eastAsia="Times New Roman" w:hAnsi="Times New Roman"/>
          <w:sz w:val="24"/>
          <w:szCs w:val="24"/>
          <w:rtl w:val="0"/>
        </w:rPr>
        <w:t xml:space="preserve">(3), 268–270. https://doi.org/10.1080/08961530.2020.1727164</w:t>
      </w:r>
    </w:p>
    <w:p w:rsidR="00000000" w:rsidDel="00000000" w:rsidP="00000000" w:rsidRDefault="00000000" w:rsidRPr="00000000" w14:paraId="00000018">
      <w:pPr>
        <w:widowControl w:val="0"/>
        <w:spacing w:line="24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Ssekakubo, G., Suleman, H., &amp; Marsden, G. (2011). Issues of adoption: Have e-learning management systems fulfilled their potential in developing countries? </w:t>
      </w:r>
      <w:r w:rsidDel="00000000" w:rsidR="00000000" w:rsidRPr="00000000">
        <w:rPr>
          <w:rFonts w:ascii="Times New Roman" w:cs="Times New Roman" w:eastAsia="Times New Roman" w:hAnsi="Times New Roman"/>
          <w:i w:val="1"/>
          <w:sz w:val="24"/>
          <w:szCs w:val="24"/>
          <w:rtl w:val="0"/>
        </w:rPr>
        <w:t xml:space="preserve">ACM International Conference Proceeding Series</w:t>
      </w:r>
      <w:r w:rsidDel="00000000" w:rsidR="00000000" w:rsidRPr="00000000">
        <w:rPr>
          <w:rFonts w:ascii="Times New Roman" w:cs="Times New Roman" w:eastAsia="Times New Roman" w:hAnsi="Times New Roman"/>
          <w:sz w:val="24"/>
          <w:szCs w:val="24"/>
          <w:rtl w:val="0"/>
        </w:rPr>
        <w:t xml:space="preserve">, 231–238. https://doi.org/10.1145/2072221.2072248</w:t>
      </w:r>
    </w:p>
    <w:p w:rsidR="00000000" w:rsidDel="00000000" w:rsidP="00000000" w:rsidRDefault="00000000" w:rsidRPr="00000000" w14:paraId="00000019">
      <w:pPr>
        <w:widowControl w:val="0"/>
        <w:spacing w:line="240" w:lineRule="auto"/>
        <w:ind w:left="4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Teferra, D., &amp; Altbach, P. G. (2004). African higher education: Challenges for the 21st century. </w:t>
      </w:r>
      <w:r w:rsidDel="00000000" w:rsidR="00000000" w:rsidRPr="00000000">
        <w:rPr>
          <w:rFonts w:ascii="Times New Roman" w:cs="Times New Roman" w:eastAsia="Times New Roman" w:hAnsi="Times New Roman"/>
          <w:i w:val="1"/>
          <w:sz w:val="24"/>
          <w:szCs w:val="24"/>
          <w:rtl w:val="0"/>
        </w:rPr>
        <w:t xml:space="preserve">Higher Education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47</w:t>
      </w:r>
      <w:r w:rsidDel="00000000" w:rsidR="00000000" w:rsidRPr="00000000">
        <w:rPr>
          <w:rFonts w:ascii="Times New Roman" w:cs="Times New Roman" w:eastAsia="Times New Roman" w:hAnsi="Times New Roman"/>
          <w:sz w:val="24"/>
          <w:szCs w:val="24"/>
          <w:rtl w:val="0"/>
        </w:rPr>
        <w:t xml:space="preserve">(1), 21–50. https://doi.org/10.1023/B:HIGH.0000009822.49980.30/METRICS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yperlink">
    <w:name w:val="Hyperlink"/>
    <w:basedOn w:val="DefaultParagraphFont"/>
    <w:uiPriority w:val="99"/>
    <w:unhideWhenUsed w:val="1"/>
    <w:rsid w:val="009E1B1A"/>
    <w:rPr>
      <w:color w:val="0000ff" w:themeColor="hyperlink"/>
      <w:u w:val="single"/>
    </w:rPr>
  </w:style>
  <w:style w:type="character" w:styleId="UnresolvedMention">
    <w:name w:val="Unresolved Mention"/>
    <w:basedOn w:val="DefaultParagraphFont"/>
    <w:uiPriority w:val="99"/>
    <w:semiHidden w:val="1"/>
    <w:unhideWhenUsed w:val="1"/>
    <w:rsid w:val="009E1B1A"/>
    <w:rPr>
      <w:color w:val="605e5c"/>
      <w:shd w:color="auto" w:fill="e1dfdd" w:val="clear"/>
    </w:rPr>
  </w:style>
  <w:style w:type="character" w:styleId="FollowedHyperlink">
    <w:name w:val="FollowedHyperlink"/>
    <w:basedOn w:val="DefaultParagraphFont"/>
    <w:uiPriority w:val="99"/>
    <w:semiHidden w:val="1"/>
    <w:unhideWhenUsed w:val="1"/>
    <w:rsid w:val="00482195"/>
    <w:rPr>
      <w:color w:val="800080" w:themeColor="followedHyperlink"/>
      <w:u w:val="single"/>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5/wKSlcwCs+MNNGs0Zt/dwcEMQ==">CgMxLjA4AHIhMUlmTUU1azh2U3VHX0dYcDVENC1HdUl2SzZ1RE1kTmtl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d5d84244-91a8-3c9b-9e46-d0d20027d7a4</vt:lpwstr>
  </property>
  <property fmtid="{D5CDD505-2E9C-101B-9397-08002B2CF9AE}" pid="24" name="Mendeley Citation Style_1">
    <vt:lpwstr>http://www.zotero.org/styles/apa</vt:lpwstr>
  </property>
</Properties>
</file>