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Periodisering</w:t>
      </w:r>
    </w:p>
    <w:p>
      <w:r>
        <w:rPr>
          <w:i/>
          <w:sz w:val="22"/>
        </w:rPr>
        <w:t>Makro, meso, mikro — og norsk utholdenhetspraksis</w:t>
      </w:r>
    </w:p>
    <w:p>
      <w:r>
        <w:t>Versjon 2026-10-30 · For egen planlegging · Lofoten_light repo</w:t>
      </w:r>
    </w:p>
    <w:p>
      <w:pPr>
        <w:pStyle w:val="Heading1"/>
      </w:pPr>
      <w:r>
        <w:t>1. Nivåer</w:t>
      </w:r>
    </w:p>
    <w:p>
      <w:pPr>
        <w:pStyle w:val="ListBullet"/>
      </w:pPr>
      <w:r>
        <w:t>Makro (6–12 mnd): retning mot hovedkonkurranse; total timer og faser.</w:t>
      </w:r>
    </w:p>
    <w:p>
      <w:pPr>
        <w:pStyle w:val="ListBullet"/>
      </w:pPr>
      <w:r>
        <w:t>Meso (3–6 uker): ofte 3 uker progresjon + 1 avlasting.</w:t>
      </w:r>
    </w:p>
    <w:p>
      <w:pPr>
        <w:pStyle w:val="ListBullet"/>
      </w:pPr>
      <w:r>
        <w:t>Mikro (1 uke): daglig fordeling; 2–3 nøkkeløkter.</w:t>
      </w:r>
    </w:p>
    <w:p>
      <w:pPr>
        <w:pStyle w:val="Heading1"/>
      </w:pPr>
      <w:r>
        <w:t>2. Tradisjonell periodisering</w:t>
      </w:r>
    </w:p>
    <w:p>
      <w:r>
        <w:t>General → spesifikk; volum ofte høyere tidlig, intensitet og spesifisitet øker nær konkurranse. Norske verdensklasse-trenere (2025) bruker tradisjonell plan, men pragmatisk hybrid (blokker, altitude, kamplister).</w:t>
      </w:r>
    </w:p>
    <w:p>
      <w:pPr>
        <w:pStyle w:val="Heading1"/>
      </w:pPr>
      <w:r>
        <w:t>3. Intensitetsfordeling over året</w:t>
      </w:r>
    </w:p>
    <w:p>
      <w:r>
        <w:t>Langrenn elite: mye lav intensitet i general prep; mer polarisert nær konkurranse (Sandbakk/Tønnessen). Triathlon: pyramidal volum i deler av året (Blummenfelt case, J Applied Physiol 2024) — høyt årsvolum med kontrollert intensitet.</w:t>
      </w:r>
    </w:p>
    <w:p>
      <w:pPr>
        <w:pStyle w:val="Heading1"/>
      </w:pPr>
      <w:r>
        <w:t>4. Mesosyklus 3+1 (praktisk)</w:t>
      </w:r>
    </w:p>
    <w:p>
      <w:pPr>
        <w:pStyle w:val="ListBullet"/>
      </w:pPr>
      <w:r>
        <w:t>Uke 1–3: gradvis ↑ timer eller TSS (typisk ≤10 %/uke individuelt).</w:t>
      </w:r>
    </w:p>
    <w:p>
      <w:pPr>
        <w:pStyle w:val="ListBullet"/>
      </w:pPr>
      <w:r>
        <w:t>Uke 4: −25–35 % volum; behold litt stimulus.</w:t>
      </w:r>
    </w:p>
    <w:p>
      <w:pPr>
        <w:pStyle w:val="ListBullet"/>
      </w:pPr>
      <w:r>
        <w:t>Gjenta med justert startpunkt.</w:t>
      </w:r>
    </w:p>
    <w:p>
      <w:pPr>
        <w:pStyle w:val="Heading1"/>
      </w:pPr>
      <w:r>
        <w:t>5. Belastningsstyring</w:t>
      </w:r>
    </w:p>
    <w:p>
      <w:r>
        <w:t>IOC: rask økning i belastning øker skaderisiko. ACWR 0,8–1,3 assosiert med lavere risiko; &gt;1,5 mer enn dobler i enkelte data. Subjektive tegn (søvn, fatigue) er viktige — bruk sammen med TSS/CTL, ikke i stedet for egen dømmekraft.</w:t>
      </w:r>
    </w:p>
    <w:p>
      <w:pPr>
        <w:pStyle w:val="Heading1"/>
      </w:pPr>
      <w:r>
        <w:t>6. Triathlon-spesifikt</w:t>
      </w:r>
    </w:p>
    <w:p>
      <w:pPr>
        <w:pStyle w:val="ListBullet"/>
      </w:pPr>
      <w:r>
        <w:t>Svak disiplin (ofte svøm) planlegges først — ellers fyller sykkel/løp kalenderen.</w:t>
      </w:r>
    </w:p>
    <w:p>
      <w:pPr>
        <w:pStyle w:val="ListBullet"/>
      </w:pPr>
      <w:r>
        <w:t>Brick øker spesifisitet; introduser gradvis.</w:t>
      </w:r>
    </w:p>
    <w:p>
      <w:pPr>
        <w:pStyle w:val="ListBullet"/>
      </w:pPr>
      <w:r>
        <w:t>Spesifisitet mot race (Half Extreme: lang svøm, terreng, kulde/OWS senere).</w:t>
      </w:r>
    </w:p>
    <w:p>
      <w:pPr>
        <w:pStyle w:val="Heading1"/>
      </w:pPr>
      <w:r>
        <w:t>7. Taper</w:t>
      </w:r>
    </w:p>
    <w:p>
      <w:r>
        <w:t>Reduser volum 2–3 uker pre-start; behold korte race-pace. Målet er friskhet, ikke fitness-tap — cycling literature (Sagan/Vila): freshness som konkurransestrategi.</w:t>
      </w:r>
    </w:p>
    <w:p>
      <w:pPr>
        <w:pStyle w:val="Heading2"/>
      </w:pPr>
      <w:r>
        <w:t>Referanser og kilder</w:t>
      </w:r>
    </w:p>
    <w:p>
      <w:pPr>
        <w:pStyle w:val="ListNumber"/>
      </w:pPr>
      <w:r>
        <w:t>Matveyev / tradisjonell periodisering — lærebokstandard (via Rønnestad 2025 coach study).</w:t>
      </w:r>
    </w:p>
    <w:p>
      <w:pPr>
        <w:pStyle w:val="ListNumber"/>
      </w:pPr>
      <w:r>
        <w:t>Rønnestad et al. (2025). Sports Medicine Open — norske OL-utholdenhetstrenere.</w:t>
      </w:r>
    </w:p>
    <w:p>
      <w:pPr>
        <w:pStyle w:val="ListNumber"/>
      </w:pPr>
      <w:r>
        <w:t>Sandbakk &amp; Tønnessen — intensitetsfordeling langrenn (Frontiers reviews).</w:t>
      </w:r>
    </w:p>
    <w:p>
      <w:pPr>
        <w:pStyle w:val="ListNumber"/>
      </w:pPr>
      <w:r>
        <w:t>Blummenfelt annual training volume (2024). Journal of Applied Physiology.</w:t>
      </w:r>
    </w:p>
    <w:p>
      <w:pPr>
        <w:pStyle w:val="ListNumber"/>
      </w:pPr>
      <w:r>
        <w:t>Soligard et al. (2016). IOC load consensus Part 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