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AUTH_HU004_REQ001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Recuperación Segura de Contraseña y Desbloqueo de Cuenta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ALTA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16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Usuario registrado</w:t>
        <w:br/>
        <w:t>Quiero recuperar mi contraseña de forma segura mediante un token temporal</w:t>
        <w:br/>
        <w:t>Para restaurar el acceso a mi cuenta sin comprometer la seguridad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usuario que olvidó su contraseña</w:t>
        <w:br/>
        <w:t>Cuando solicita recuperación con su email registrado</w:t>
        <w:br/>
        <w:t>Entonces el sistema genera un token de un solo uso con expiración de 15 minutos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usuario con token de recuperación válido</w:t>
        <w:br/>
        <w:t>Cuando ingresa el token y una nueva contraseña</w:t>
        <w:br/>
        <w:t>Entonces el sistema actualiza la contraseña, marca el token como usado e invalida todas las sesiones activas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un token de recuperación expirado o ya usado</w:t>
        <w:br/>
        <w:t>Cuando se intenta usar</w:t>
        <w:br/>
        <w:t>Entonces el sistema rechaza con error 400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Token hash almacenado (no texto plano), single-use, TTL 15 min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Auditoría: Evento de recuperación registrado en AuditLog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Disponibilidad: El token se entrega en la respuesta (token-return-only, sin dependencia SMTP)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AUTH_HU004_REQ001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