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Explicação de como preencher um modelo de negócio 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http://www.manualdastartup.com.br/blog/desenhando-o-modelo-de-negocio-da-startup/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Apostila completa para java web: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https://www.caelum.com.br/apostila-java-web/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Links do Modelo pronto: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https://canvanizer.com/canvas/weCdIul8nVLO8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Only Read: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https://canvanizer.com/canvas/r5IWE8JL1mCiJ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JBoos Servidor de aplicação: (equivalente ao apache wamp, vertrigo do php.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http://jbossas.jboss.org/downloads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nualdastartup.com.br/blog/desenhando-o-modelo-de-negocio-da-startup/" TargetMode="External"/><Relationship Id="rId6" Type="http://schemas.openxmlformats.org/officeDocument/2006/relationships/hyperlink" Target="https://www.caelum.com.br/apostila-java-web/" TargetMode="External"/><Relationship Id="rId7" Type="http://schemas.openxmlformats.org/officeDocument/2006/relationships/hyperlink" Target="https://canvanizer.com/canvas/r5IWE8JL1mCiJ" TargetMode="External"/></Relationships>
</file>