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82E" w:rsidRDefault="00BB082E">
      <w:pPr>
        <w:rPr>
          <w:color w:val="00B050"/>
          <w:sz w:val="20"/>
          <w:szCs w:val="20"/>
        </w:rPr>
      </w:pPr>
      <w:bookmarkStart w:id="0" w:name="_GoBack"/>
      <w:bookmarkEnd w:id="0"/>
    </w:p>
    <w:p w:rsidR="00BB082E" w:rsidRPr="00BB082E" w:rsidRDefault="00BB082E" w:rsidP="00BB082E">
      <w:pPr>
        <w:spacing w:before="100" w:beforeAutospacing="1" w:after="100" w:afterAutospacing="1" w:line="240" w:lineRule="auto"/>
        <w:outlineLvl w:val="2"/>
        <w:rPr>
          <w:rFonts w:eastAsia="Times New Roman" w:cs="Times New Roman"/>
          <w:b/>
          <w:bCs/>
          <w:color w:val="000000"/>
          <w:sz w:val="20"/>
          <w:szCs w:val="20"/>
          <w:lang w:eastAsia="es-ES"/>
        </w:rPr>
      </w:pPr>
      <w:r w:rsidRPr="00BB082E">
        <w:rPr>
          <w:rFonts w:eastAsia="Times New Roman" w:cs="Times New Roman"/>
          <w:b/>
          <w:bCs/>
          <w:color w:val="FF0000"/>
          <w:sz w:val="20"/>
          <w:szCs w:val="20"/>
          <w:lang w:eastAsia="es-ES"/>
        </w:rPr>
        <w:t>CUENTAS DE GASTOS OPERACIONALES</w:t>
      </w:r>
    </w:p>
    <w:p w:rsidR="00BB082E" w:rsidRPr="00BB082E" w:rsidRDefault="00BB082E" w:rsidP="00BB082E">
      <w:pPr>
        <w:spacing w:after="0" w:line="240" w:lineRule="atLeast"/>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pt-BR" w:eastAsia="es-ES"/>
        </w:rPr>
        <w:t> </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Son todas las disminuciones brutas del </w:t>
      </w:r>
      <w:r w:rsidRPr="00BB082E">
        <w:rPr>
          <w:rFonts w:eastAsia="Times New Roman" w:cs="Times New Roman"/>
          <w:b/>
          <w:bCs/>
          <w:i/>
          <w:iCs/>
          <w:color w:val="000000"/>
          <w:sz w:val="20"/>
          <w:szCs w:val="20"/>
          <w:lang w:val="es-CO" w:eastAsia="es-ES"/>
        </w:rPr>
        <w:t>patrimonio </w:t>
      </w:r>
      <w:r w:rsidRPr="00BB082E">
        <w:rPr>
          <w:rFonts w:eastAsia="Times New Roman" w:cs="Times New Roman"/>
          <w:b/>
          <w:bCs/>
          <w:color w:val="000000"/>
          <w:sz w:val="20"/>
          <w:szCs w:val="20"/>
          <w:lang w:val="es-CO" w:eastAsia="es-ES"/>
        </w:rPr>
        <w:t>originadas en el desarrollo del objeto social del ente distintas de la distribución de utilidades a los propietarios. Los gastos operacionales tienen relación directa con el giro ordinario de los negocios.</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De igual manera que en los </w:t>
      </w:r>
      <w:r w:rsidRPr="00BB082E">
        <w:rPr>
          <w:rFonts w:eastAsia="Times New Roman" w:cs="Times New Roman"/>
          <w:b/>
          <w:bCs/>
          <w:i/>
          <w:iCs/>
          <w:color w:val="000000"/>
          <w:sz w:val="20"/>
          <w:szCs w:val="20"/>
          <w:lang w:val="es-CO" w:eastAsia="es-ES"/>
        </w:rPr>
        <w:t>ingresos, </w:t>
      </w:r>
      <w:r w:rsidRPr="00BB082E">
        <w:rPr>
          <w:rFonts w:eastAsia="Times New Roman" w:cs="Times New Roman"/>
          <w:b/>
          <w:bCs/>
          <w:color w:val="000000"/>
          <w:sz w:val="20"/>
          <w:szCs w:val="20"/>
          <w:lang w:val="es-CO" w:eastAsia="es-ES"/>
        </w:rPr>
        <w:t>todo desembolso de recursos no implica un </w:t>
      </w:r>
      <w:r w:rsidRPr="00BB082E">
        <w:rPr>
          <w:rFonts w:eastAsia="Times New Roman" w:cs="Times New Roman"/>
          <w:b/>
          <w:bCs/>
          <w:i/>
          <w:iCs/>
          <w:color w:val="000000"/>
          <w:sz w:val="20"/>
          <w:szCs w:val="20"/>
          <w:lang w:val="es-CO" w:eastAsia="es-ES"/>
        </w:rPr>
        <w:t>gasto, </w:t>
      </w:r>
      <w:r w:rsidRPr="00BB082E">
        <w:rPr>
          <w:rFonts w:eastAsia="Times New Roman" w:cs="Times New Roman"/>
          <w:b/>
          <w:bCs/>
          <w:color w:val="000000"/>
          <w:sz w:val="20"/>
          <w:szCs w:val="20"/>
          <w:lang w:val="es-CO" w:eastAsia="es-ES"/>
        </w:rPr>
        <w:t>pues para que lo sea se necesita que disminuya en forma bruta el </w:t>
      </w:r>
      <w:r w:rsidRPr="00BB082E">
        <w:rPr>
          <w:rFonts w:eastAsia="Times New Roman" w:cs="Times New Roman"/>
          <w:b/>
          <w:bCs/>
          <w:i/>
          <w:iCs/>
          <w:color w:val="000000"/>
          <w:sz w:val="20"/>
          <w:szCs w:val="20"/>
          <w:lang w:val="es-CO" w:eastAsia="es-ES"/>
        </w:rPr>
        <w:t>patrimonio.</w:t>
      </w:r>
    </w:p>
    <w:p w:rsidR="00BB082E" w:rsidRPr="001A7572" w:rsidRDefault="00BB082E">
      <w:pPr>
        <w:rPr>
          <w:color w:val="00B050"/>
          <w:sz w:val="20"/>
          <w:szCs w:val="20"/>
        </w:rPr>
      </w:pP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Los gastos operacionales se producen en:</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p w:rsidR="00BB082E" w:rsidRPr="00BB082E" w:rsidRDefault="00BB082E" w:rsidP="00BB082E">
      <w:pPr>
        <w:spacing w:after="0" w:line="240" w:lineRule="auto"/>
        <w:rPr>
          <w:rFonts w:eastAsia="Times New Roman" w:cs="Times New Roman"/>
          <w:color w:val="000000"/>
          <w:sz w:val="20"/>
          <w:szCs w:val="20"/>
          <w:lang w:eastAsia="es-ES"/>
        </w:rPr>
      </w:pPr>
      <w:proofErr w:type="gramStart"/>
      <w:r w:rsidRPr="00BB082E">
        <w:rPr>
          <w:rFonts w:eastAsia="Times New Roman" w:cs="Times New Roman"/>
          <w:color w:val="000000"/>
          <w:sz w:val="20"/>
          <w:szCs w:val="20"/>
          <w:lang w:val="es-CO" w:eastAsia="es-ES"/>
        </w:rPr>
        <w:t>r</w:t>
      </w:r>
      <w:proofErr w:type="gramEnd"/>
      <w:r w:rsidRPr="00BB082E">
        <w:rPr>
          <w:rFonts w:eastAsia="Times New Roman" w:cs="Times New Roman"/>
          <w:color w:val="000000"/>
          <w:sz w:val="20"/>
          <w:szCs w:val="20"/>
          <w:lang w:val="es-CO" w:eastAsia="es-ES"/>
        </w:rPr>
        <w:t>       </w:t>
      </w:r>
      <w:r w:rsidRPr="00BB082E">
        <w:rPr>
          <w:rFonts w:eastAsia="Times New Roman" w:cs="Times New Roman"/>
          <w:b/>
          <w:bCs/>
          <w:color w:val="000000"/>
          <w:sz w:val="20"/>
          <w:szCs w:val="20"/>
          <w:lang w:val="es-CO" w:eastAsia="es-ES"/>
        </w:rPr>
        <w:t>Erogaciones necesarias para administrar el ente y permitir el desarrollo del objeto social</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p w:rsidR="00BB082E" w:rsidRPr="00BB082E" w:rsidRDefault="00BB082E" w:rsidP="00BB082E">
      <w:pPr>
        <w:spacing w:after="0" w:line="240" w:lineRule="auto"/>
        <w:rPr>
          <w:rFonts w:eastAsia="Times New Roman" w:cs="Times New Roman"/>
          <w:color w:val="000000"/>
          <w:sz w:val="20"/>
          <w:szCs w:val="20"/>
          <w:lang w:eastAsia="es-ES"/>
        </w:rPr>
      </w:pPr>
      <w:proofErr w:type="gramStart"/>
      <w:r w:rsidRPr="00BB082E">
        <w:rPr>
          <w:rFonts w:eastAsia="Times New Roman" w:cs="Times New Roman"/>
          <w:color w:val="000000"/>
          <w:sz w:val="20"/>
          <w:szCs w:val="20"/>
          <w:lang w:val="es-CO" w:eastAsia="es-ES"/>
        </w:rPr>
        <w:t>r</w:t>
      </w:r>
      <w:proofErr w:type="gramEnd"/>
      <w:r w:rsidRPr="00BB082E">
        <w:rPr>
          <w:rFonts w:eastAsia="Times New Roman" w:cs="Times New Roman"/>
          <w:color w:val="000000"/>
          <w:sz w:val="20"/>
          <w:szCs w:val="20"/>
          <w:lang w:val="es-CO" w:eastAsia="es-ES"/>
        </w:rPr>
        <w:t>       </w:t>
      </w:r>
      <w:r w:rsidRPr="00BB082E">
        <w:rPr>
          <w:rFonts w:eastAsia="Times New Roman" w:cs="Times New Roman"/>
          <w:b/>
          <w:bCs/>
          <w:color w:val="000000"/>
          <w:sz w:val="20"/>
          <w:szCs w:val="20"/>
          <w:lang w:val="es-CO" w:eastAsia="es-ES"/>
        </w:rPr>
        <w:t>Erogaciones necesarias para vender el bien o servicio del objeto social del ente.</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p w:rsidR="00BB082E" w:rsidRPr="00BB082E" w:rsidRDefault="00BB082E" w:rsidP="00BB082E">
      <w:pPr>
        <w:spacing w:after="0" w:line="240" w:lineRule="auto"/>
        <w:jc w:val="both"/>
        <w:rPr>
          <w:rFonts w:eastAsia="Times New Roman" w:cs="Times New Roman"/>
          <w:color w:val="000000"/>
          <w:sz w:val="20"/>
          <w:szCs w:val="20"/>
          <w:lang w:eastAsia="es-ES"/>
        </w:rPr>
      </w:pPr>
    </w:p>
    <w:tbl>
      <w:tblPr>
        <w:tblW w:w="0" w:type="auto"/>
        <w:tblInd w:w="675" w:type="dxa"/>
        <w:tblCellMar>
          <w:left w:w="0" w:type="dxa"/>
          <w:right w:w="0" w:type="dxa"/>
        </w:tblCellMar>
        <w:tblLook w:val="04A0" w:firstRow="1" w:lastRow="0" w:firstColumn="1" w:lastColumn="0" w:noHBand="0" w:noVBand="1"/>
      </w:tblPr>
      <w:tblGrid>
        <w:gridCol w:w="860"/>
        <w:gridCol w:w="6062"/>
        <w:gridCol w:w="861"/>
      </w:tblGrid>
      <w:tr w:rsidR="00BB082E" w:rsidRPr="00BB082E" w:rsidTr="00BB082E">
        <w:tc>
          <w:tcPr>
            <w:tcW w:w="8931" w:type="dxa"/>
            <w:gridSpan w:val="3"/>
            <w:tcBorders>
              <w:top w:val="single" w:sz="18" w:space="0" w:color="auto"/>
              <w:left w:val="single" w:sz="18" w:space="0" w:color="auto"/>
              <w:bottom w:val="single" w:sz="18" w:space="0" w:color="auto"/>
              <w:right w:val="single" w:sz="18" w:space="0" w:color="auto"/>
            </w:tcBorders>
            <w:shd w:val="clear" w:color="auto" w:fill="00FFFF"/>
            <w:tcMar>
              <w:top w:w="0" w:type="dxa"/>
              <w:left w:w="108" w:type="dxa"/>
              <w:bottom w:w="0" w:type="dxa"/>
              <w:right w:w="108" w:type="dxa"/>
            </w:tcMar>
            <w:hideMark/>
          </w:tcPr>
          <w:p w:rsidR="00BB082E" w:rsidRPr="00BB082E" w:rsidRDefault="00BB082E" w:rsidP="00BB082E">
            <w:pPr>
              <w:spacing w:after="0"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NORMA INTERNACIONAL DE CONTABILIDAD</w:t>
            </w:r>
          </w:p>
        </w:tc>
      </w:tr>
      <w:tr w:rsidR="00BB082E" w:rsidRPr="00BB082E" w:rsidTr="00BB082E">
        <w:tc>
          <w:tcPr>
            <w:tcW w:w="993" w:type="dxa"/>
            <w:tcBorders>
              <w:top w:val="nil"/>
              <w:left w:val="single" w:sz="18" w:space="0" w:color="auto"/>
              <w:bottom w:val="single" w:sz="18" w:space="0" w:color="auto"/>
              <w:right w:val="nil"/>
            </w:tcBorders>
            <w:shd w:val="clear" w:color="auto" w:fill="CCFFFF"/>
            <w:tcMar>
              <w:top w:w="0" w:type="dxa"/>
              <w:left w:w="108" w:type="dxa"/>
              <w:bottom w:w="0" w:type="dxa"/>
              <w:right w:w="108" w:type="dxa"/>
            </w:tcMar>
            <w:hideMark/>
          </w:tcPr>
          <w:p w:rsidR="00BB082E" w:rsidRPr="00BB082E" w:rsidRDefault="00BB082E" w:rsidP="00BB082E">
            <w:pPr>
              <w:spacing w:after="0" w:line="240" w:lineRule="auto"/>
              <w:jc w:val="both"/>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6945" w:type="dxa"/>
            <w:tcBorders>
              <w:top w:val="nil"/>
              <w:left w:val="nil"/>
              <w:bottom w:val="single" w:sz="18" w:space="0" w:color="auto"/>
              <w:right w:val="nil"/>
            </w:tcBorders>
            <w:shd w:val="clear" w:color="auto" w:fill="CCFFFF"/>
            <w:tcMar>
              <w:top w:w="0" w:type="dxa"/>
              <w:left w:w="108" w:type="dxa"/>
              <w:bottom w:w="0" w:type="dxa"/>
              <w:right w:w="108" w:type="dxa"/>
            </w:tcMar>
            <w:hideMark/>
          </w:tcPr>
          <w:p w:rsidR="00BB082E" w:rsidRPr="00BB082E" w:rsidRDefault="00BB082E" w:rsidP="00BB082E">
            <w:pPr>
              <w:spacing w:after="0" w:line="240" w:lineRule="auto"/>
              <w:jc w:val="both"/>
              <w:rPr>
                <w:rFonts w:eastAsia="Times New Roman" w:cs="Times New Roman"/>
                <w:sz w:val="20"/>
                <w:szCs w:val="20"/>
                <w:lang w:eastAsia="es-ES"/>
              </w:rPr>
            </w:pPr>
            <w:r w:rsidRPr="00BB082E">
              <w:rPr>
                <w:rFonts w:eastAsia="Times New Roman" w:cs="Times New Roman"/>
                <w:b/>
                <w:bCs/>
                <w:i/>
                <w:iCs/>
                <w:sz w:val="20"/>
                <w:szCs w:val="20"/>
                <w:lang w:val="es-CO" w:eastAsia="es-ES"/>
              </w:rPr>
              <w:t> </w:t>
            </w:r>
          </w:p>
          <w:p w:rsidR="00BB082E" w:rsidRPr="00BB082E" w:rsidRDefault="00BB082E" w:rsidP="00BB082E">
            <w:pPr>
              <w:spacing w:after="0" w:line="240" w:lineRule="auto"/>
              <w:jc w:val="both"/>
              <w:rPr>
                <w:rFonts w:eastAsia="Times New Roman" w:cs="Times New Roman"/>
                <w:sz w:val="20"/>
                <w:szCs w:val="20"/>
                <w:lang w:eastAsia="es-ES"/>
              </w:rPr>
            </w:pPr>
            <w:r w:rsidRPr="00BB082E">
              <w:rPr>
                <w:rFonts w:eastAsia="Times New Roman" w:cs="Times New Roman"/>
                <w:b/>
                <w:bCs/>
                <w:i/>
                <w:iCs/>
                <w:sz w:val="20"/>
                <w:szCs w:val="20"/>
                <w:lang w:val="es-CO" w:eastAsia="es-ES"/>
              </w:rPr>
              <w:t>"Gastos son todos los decrementos en los beneficios económicos durante el período contable en forma de salidas </w:t>
            </w:r>
            <w:r w:rsidRPr="00BB082E">
              <w:rPr>
                <w:rFonts w:eastAsia="Times New Roman" w:cs="Times New Roman"/>
                <w:b/>
                <w:bCs/>
                <w:sz w:val="20"/>
                <w:szCs w:val="20"/>
                <w:lang w:val="es-CO" w:eastAsia="es-ES"/>
              </w:rPr>
              <w:t>o </w:t>
            </w:r>
            <w:r w:rsidRPr="00BB082E">
              <w:rPr>
                <w:rFonts w:eastAsia="Times New Roman" w:cs="Times New Roman"/>
                <w:b/>
                <w:bCs/>
                <w:i/>
                <w:iCs/>
                <w:sz w:val="20"/>
                <w:szCs w:val="20"/>
                <w:lang w:val="es-CO" w:eastAsia="es-ES"/>
              </w:rPr>
              <w:t>agotamiento de activos </w:t>
            </w:r>
            <w:r w:rsidRPr="00BB082E">
              <w:rPr>
                <w:rFonts w:eastAsia="Times New Roman" w:cs="Times New Roman"/>
                <w:b/>
                <w:bCs/>
                <w:sz w:val="20"/>
                <w:szCs w:val="20"/>
                <w:lang w:val="es-CO" w:eastAsia="es-ES"/>
              </w:rPr>
              <w:t>o </w:t>
            </w:r>
            <w:proofErr w:type="spellStart"/>
            <w:r w:rsidRPr="00BB082E">
              <w:rPr>
                <w:rFonts w:eastAsia="Times New Roman" w:cs="Times New Roman"/>
                <w:b/>
                <w:bCs/>
                <w:i/>
                <w:iCs/>
                <w:sz w:val="20"/>
                <w:szCs w:val="20"/>
                <w:lang w:val="es-CO" w:eastAsia="es-ES"/>
              </w:rPr>
              <w:t>incurrencias</w:t>
            </w:r>
            <w:proofErr w:type="spellEnd"/>
            <w:r w:rsidRPr="00BB082E">
              <w:rPr>
                <w:rFonts w:eastAsia="Times New Roman" w:cs="Times New Roman"/>
                <w:b/>
                <w:bCs/>
                <w:i/>
                <w:iCs/>
                <w:sz w:val="20"/>
                <w:szCs w:val="20"/>
                <w:lang w:val="es-CO" w:eastAsia="es-ES"/>
              </w:rPr>
              <w:t xml:space="preserve"> de pasivos que resultan en decrementos de capital, diferentes </w:t>
            </w:r>
            <w:r w:rsidRPr="00BB082E">
              <w:rPr>
                <w:rFonts w:eastAsia="Times New Roman" w:cs="Times New Roman"/>
                <w:b/>
                <w:bCs/>
                <w:sz w:val="20"/>
                <w:szCs w:val="20"/>
                <w:lang w:val="es-CO" w:eastAsia="es-ES"/>
              </w:rPr>
              <w:t>a </w:t>
            </w:r>
            <w:r w:rsidRPr="00BB082E">
              <w:rPr>
                <w:rFonts w:eastAsia="Times New Roman" w:cs="Times New Roman"/>
                <w:b/>
                <w:bCs/>
                <w:i/>
                <w:iCs/>
                <w:sz w:val="20"/>
                <w:szCs w:val="20"/>
                <w:lang w:val="es-CO" w:eastAsia="es-ES"/>
              </w:rPr>
              <w:t>los relacionados con distribuciones de capital </w:t>
            </w:r>
            <w:r w:rsidRPr="00BB082E">
              <w:rPr>
                <w:rFonts w:eastAsia="Times New Roman" w:cs="Times New Roman"/>
                <w:b/>
                <w:bCs/>
                <w:sz w:val="20"/>
                <w:szCs w:val="20"/>
                <w:lang w:val="es-CO" w:eastAsia="es-ES"/>
              </w:rPr>
              <w:t>a </w:t>
            </w:r>
            <w:r w:rsidRPr="00BB082E">
              <w:rPr>
                <w:rFonts w:eastAsia="Times New Roman" w:cs="Times New Roman"/>
                <w:b/>
                <w:bCs/>
                <w:i/>
                <w:iCs/>
                <w:sz w:val="20"/>
                <w:szCs w:val="20"/>
                <w:lang w:val="es-CO" w:eastAsia="es-ES"/>
              </w:rPr>
              <w:t>los socios.”</w:t>
            </w:r>
            <w:r w:rsidRPr="00BB082E">
              <w:rPr>
                <w:rFonts w:eastAsia="Times New Roman" w:cs="Times New Roman"/>
                <w:b/>
                <w:bCs/>
                <w:sz w:val="20"/>
                <w:szCs w:val="20"/>
                <w:lang w:val="es-CO" w:eastAsia="es-ES"/>
              </w:rPr>
              <w:t> [NIC,1994]</w:t>
            </w:r>
          </w:p>
          <w:p w:rsidR="00BB082E" w:rsidRPr="00BB082E" w:rsidRDefault="00BB082E" w:rsidP="00BB082E">
            <w:pPr>
              <w:spacing w:after="0" w:line="240" w:lineRule="auto"/>
              <w:jc w:val="both"/>
              <w:rPr>
                <w:rFonts w:eastAsia="Times New Roman" w:cs="Times New Roman"/>
                <w:sz w:val="20"/>
                <w:szCs w:val="20"/>
                <w:lang w:eastAsia="es-ES"/>
              </w:rPr>
            </w:pPr>
            <w:r w:rsidRPr="00BB082E">
              <w:rPr>
                <w:rFonts w:eastAsia="Times New Roman" w:cs="Times New Roman"/>
                <w:sz w:val="20"/>
                <w:szCs w:val="20"/>
                <w:lang w:eastAsia="es-ES"/>
              </w:rPr>
              <w:t> </w:t>
            </w:r>
          </w:p>
        </w:tc>
        <w:tc>
          <w:tcPr>
            <w:tcW w:w="993" w:type="dxa"/>
            <w:tcBorders>
              <w:top w:val="nil"/>
              <w:left w:val="nil"/>
              <w:bottom w:val="single" w:sz="18" w:space="0" w:color="auto"/>
              <w:right w:val="single" w:sz="18" w:space="0" w:color="auto"/>
            </w:tcBorders>
            <w:shd w:val="clear" w:color="auto" w:fill="CCFFFF"/>
            <w:tcMar>
              <w:top w:w="0" w:type="dxa"/>
              <w:left w:w="108" w:type="dxa"/>
              <w:bottom w:w="0" w:type="dxa"/>
              <w:right w:w="108" w:type="dxa"/>
            </w:tcMar>
            <w:hideMark/>
          </w:tcPr>
          <w:p w:rsidR="00BB082E" w:rsidRPr="00BB082E" w:rsidRDefault="00BB082E" w:rsidP="00BB082E">
            <w:pPr>
              <w:spacing w:after="0" w:line="240" w:lineRule="auto"/>
              <w:jc w:val="both"/>
              <w:rPr>
                <w:rFonts w:eastAsia="Times New Roman" w:cs="Times New Roman"/>
                <w:sz w:val="20"/>
                <w:szCs w:val="20"/>
                <w:lang w:eastAsia="es-ES"/>
              </w:rPr>
            </w:pPr>
            <w:r w:rsidRPr="00BB082E">
              <w:rPr>
                <w:rFonts w:eastAsia="Times New Roman" w:cs="Times New Roman"/>
                <w:b/>
                <w:bCs/>
                <w:sz w:val="20"/>
                <w:szCs w:val="20"/>
                <w:lang w:val="es-CO" w:eastAsia="es-ES"/>
              </w:rPr>
              <w:t> </w:t>
            </w:r>
          </w:p>
        </w:tc>
      </w:tr>
    </w:tbl>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color w:val="000000"/>
          <w:sz w:val="20"/>
          <w:szCs w:val="20"/>
          <w:lang w:eastAsia="es-ES"/>
        </w:rPr>
        <w:br w:type="textWrapping" w:clear="all"/>
        <w:t> </w:t>
      </w:r>
    </w:p>
    <w:p w:rsidR="001A7572" w:rsidRPr="001A7572" w:rsidRDefault="001A7572" w:rsidP="001A7572">
      <w:pPr>
        <w:spacing w:before="100" w:beforeAutospacing="1" w:after="100" w:afterAutospacing="1" w:line="240" w:lineRule="auto"/>
        <w:outlineLvl w:val="2"/>
        <w:rPr>
          <w:rFonts w:eastAsia="Times New Roman" w:cs="Times New Roman"/>
          <w:b/>
          <w:bCs/>
          <w:color w:val="000000"/>
          <w:sz w:val="20"/>
          <w:szCs w:val="20"/>
          <w:lang w:eastAsia="es-ES"/>
        </w:rPr>
      </w:pPr>
      <w:r w:rsidRPr="001A7572">
        <w:rPr>
          <w:rFonts w:eastAsia="Times New Roman" w:cs="Times New Roman"/>
          <w:b/>
          <w:bCs/>
          <w:color w:val="FF0000"/>
          <w:sz w:val="20"/>
          <w:szCs w:val="20"/>
          <w:lang w:eastAsia="es-ES"/>
        </w:rPr>
        <w:t>CUENTAS DE COSTOS</w:t>
      </w:r>
    </w:p>
    <w:p w:rsidR="001A7572" w:rsidRPr="001A7572" w:rsidRDefault="001A7572" w:rsidP="001A7572">
      <w:pPr>
        <w:spacing w:after="0" w:line="240" w:lineRule="atLeast"/>
        <w:jc w:val="both"/>
        <w:rPr>
          <w:rFonts w:eastAsia="Times New Roman" w:cs="Times New Roman"/>
          <w:color w:val="000000"/>
          <w:sz w:val="20"/>
          <w:szCs w:val="20"/>
          <w:lang w:eastAsia="es-ES"/>
        </w:rPr>
      </w:pPr>
      <w:r w:rsidRPr="001A7572">
        <w:rPr>
          <w:rFonts w:eastAsia="Times New Roman" w:cs="Times New Roman"/>
          <w:b/>
          <w:bCs/>
          <w:color w:val="000000"/>
          <w:sz w:val="20"/>
          <w:szCs w:val="20"/>
          <w:lang w:val="pt-BR" w:eastAsia="es-ES"/>
        </w:rPr>
        <w:t> </w:t>
      </w:r>
      <w:r w:rsidRPr="001A7572">
        <w:rPr>
          <w:rFonts w:eastAsia="Times New Roman" w:cs="Times New Roman"/>
          <w:b/>
          <w:bCs/>
          <w:color w:val="000000"/>
          <w:sz w:val="20"/>
          <w:szCs w:val="20"/>
          <w:lang w:val="es-CO" w:eastAsia="es-ES"/>
        </w:rPr>
        <w:t>Son todas las erogaciones o distribuciones del costo de un bien productivo (depreciaciones, amortizaciones y agotamiento) que se requieren para producir en forma directa los ingresos operacionales.</w:t>
      </w:r>
    </w:p>
    <w:p w:rsidR="001A7572" w:rsidRPr="001A7572" w:rsidRDefault="001A7572" w:rsidP="001A7572">
      <w:pPr>
        <w:spacing w:before="100" w:beforeAutospacing="1" w:after="100" w:afterAutospacing="1" w:line="240" w:lineRule="auto"/>
        <w:jc w:val="both"/>
        <w:rPr>
          <w:rFonts w:eastAsia="Times New Roman" w:cs="Times New Roman"/>
          <w:color w:val="000000"/>
          <w:sz w:val="20"/>
          <w:szCs w:val="20"/>
          <w:lang w:eastAsia="es-ES"/>
        </w:rPr>
      </w:pPr>
    </w:p>
    <w:p w:rsidR="001A7572" w:rsidRPr="001A7572" w:rsidRDefault="001A7572" w:rsidP="001A7572">
      <w:pPr>
        <w:spacing w:before="100" w:beforeAutospacing="1" w:after="100" w:afterAutospacing="1" w:line="240" w:lineRule="auto"/>
        <w:rPr>
          <w:rFonts w:eastAsia="Times New Roman" w:cs="Times New Roman"/>
          <w:color w:val="000000"/>
          <w:sz w:val="20"/>
          <w:szCs w:val="20"/>
          <w:lang w:eastAsia="es-ES"/>
        </w:rPr>
      </w:pPr>
      <w:r w:rsidRPr="001A7572">
        <w:rPr>
          <w:rFonts w:eastAsia="Times New Roman" w:cs="Times New Roman"/>
          <w:b/>
          <w:bCs/>
          <w:color w:val="000000"/>
          <w:sz w:val="20"/>
          <w:szCs w:val="20"/>
          <w:lang w:val="es-CO" w:eastAsia="es-ES"/>
        </w:rPr>
        <w:t>Los costos se generan en:</w:t>
      </w:r>
    </w:p>
    <w:p w:rsidR="001A7572" w:rsidRPr="001A7572" w:rsidRDefault="001A7572" w:rsidP="001A7572">
      <w:pPr>
        <w:spacing w:before="100" w:beforeAutospacing="1" w:after="100" w:afterAutospacing="1" w:line="240" w:lineRule="auto"/>
        <w:ind w:left="720" w:hanging="360"/>
        <w:rPr>
          <w:rFonts w:eastAsia="Times New Roman" w:cs="Times New Roman"/>
          <w:color w:val="000000"/>
          <w:sz w:val="20"/>
          <w:szCs w:val="20"/>
          <w:lang w:eastAsia="es-ES"/>
        </w:rPr>
      </w:pPr>
      <w:proofErr w:type="gramStart"/>
      <w:r w:rsidRPr="001A7572">
        <w:rPr>
          <w:rFonts w:eastAsia="Times New Roman" w:cs="Times New Roman"/>
          <w:color w:val="000000"/>
          <w:sz w:val="20"/>
          <w:szCs w:val="20"/>
          <w:lang w:val="es-CO" w:eastAsia="es-ES"/>
        </w:rPr>
        <w:t>r</w:t>
      </w:r>
      <w:proofErr w:type="gramEnd"/>
      <w:r w:rsidRPr="001A7572">
        <w:rPr>
          <w:rFonts w:eastAsia="Times New Roman" w:cs="Times New Roman"/>
          <w:color w:val="000000"/>
          <w:sz w:val="20"/>
          <w:szCs w:val="20"/>
          <w:lang w:val="es-CO" w:eastAsia="es-ES"/>
        </w:rPr>
        <w:t>       </w:t>
      </w:r>
      <w:r w:rsidRPr="001A7572">
        <w:rPr>
          <w:rFonts w:eastAsia="Times New Roman" w:cs="Times New Roman"/>
          <w:b/>
          <w:bCs/>
          <w:color w:val="000000"/>
          <w:sz w:val="20"/>
          <w:szCs w:val="20"/>
          <w:lang w:val="es-CO" w:eastAsia="es-ES"/>
        </w:rPr>
        <w:t>El valor de los bienes no elaborados por el ente vendidos durante el período.</w:t>
      </w:r>
    </w:p>
    <w:p w:rsidR="001A7572" w:rsidRPr="001A7572" w:rsidRDefault="001A7572" w:rsidP="001A7572">
      <w:pPr>
        <w:spacing w:before="100" w:beforeAutospacing="1" w:after="100" w:afterAutospacing="1" w:line="240" w:lineRule="auto"/>
        <w:ind w:left="720" w:hanging="360"/>
        <w:rPr>
          <w:rFonts w:eastAsia="Times New Roman" w:cs="Times New Roman"/>
          <w:color w:val="000000"/>
          <w:sz w:val="20"/>
          <w:szCs w:val="20"/>
          <w:lang w:eastAsia="es-ES"/>
        </w:rPr>
      </w:pPr>
      <w:proofErr w:type="gramStart"/>
      <w:r w:rsidRPr="001A7572">
        <w:rPr>
          <w:rFonts w:eastAsia="Times New Roman" w:cs="Times New Roman"/>
          <w:color w:val="000000"/>
          <w:sz w:val="20"/>
          <w:szCs w:val="20"/>
          <w:lang w:val="es-CO" w:eastAsia="es-ES"/>
        </w:rPr>
        <w:t>r</w:t>
      </w:r>
      <w:proofErr w:type="gramEnd"/>
      <w:r w:rsidRPr="001A7572">
        <w:rPr>
          <w:rFonts w:eastAsia="Times New Roman" w:cs="Times New Roman"/>
          <w:color w:val="000000"/>
          <w:sz w:val="20"/>
          <w:szCs w:val="20"/>
          <w:lang w:val="es-CO" w:eastAsia="es-ES"/>
        </w:rPr>
        <w:t>       </w:t>
      </w:r>
      <w:r w:rsidRPr="001A7572">
        <w:rPr>
          <w:rFonts w:eastAsia="Times New Roman" w:cs="Times New Roman"/>
          <w:b/>
          <w:bCs/>
          <w:color w:val="000000"/>
          <w:sz w:val="20"/>
          <w:szCs w:val="20"/>
          <w:lang w:val="es-CO" w:eastAsia="es-ES"/>
        </w:rPr>
        <w:t>El valor mano de obra y costos indirectos de producción de los servicios vendidos durante el período.</w:t>
      </w:r>
    </w:p>
    <w:tbl>
      <w:tblPr>
        <w:tblW w:w="0" w:type="auto"/>
        <w:tblInd w:w="675" w:type="dxa"/>
        <w:tblCellMar>
          <w:left w:w="0" w:type="dxa"/>
          <w:right w:w="0" w:type="dxa"/>
        </w:tblCellMar>
        <w:tblLook w:val="04A0" w:firstRow="1" w:lastRow="0" w:firstColumn="1" w:lastColumn="0" w:noHBand="0" w:noVBand="1"/>
      </w:tblPr>
      <w:tblGrid>
        <w:gridCol w:w="865"/>
        <w:gridCol w:w="6053"/>
        <w:gridCol w:w="865"/>
      </w:tblGrid>
      <w:tr w:rsidR="001A7572" w:rsidRPr="001A7572" w:rsidTr="001A7572">
        <w:tc>
          <w:tcPr>
            <w:tcW w:w="8931" w:type="dxa"/>
            <w:gridSpan w:val="3"/>
            <w:tcBorders>
              <w:top w:val="single" w:sz="18" w:space="0" w:color="auto"/>
              <w:left w:val="single" w:sz="18" w:space="0" w:color="auto"/>
              <w:bottom w:val="single" w:sz="18" w:space="0" w:color="auto"/>
              <w:right w:val="single" w:sz="18" w:space="0" w:color="auto"/>
            </w:tcBorders>
            <w:shd w:val="clear" w:color="auto" w:fill="00FFFF"/>
            <w:tcMar>
              <w:top w:w="0" w:type="dxa"/>
              <w:left w:w="108" w:type="dxa"/>
              <w:bottom w:w="0" w:type="dxa"/>
              <w:right w:w="108" w:type="dxa"/>
            </w:tcMar>
            <w:hideMark/>
          </w:tcPr>
          <w:p w:rsidR="001A7572" w:rsidRPr="001A7572" w:rsidRDefault="001A7572" w:rsidP="001A7572">
            <w:pPr>
              <w:spacing w:before="100" w:beforeAutospacing="1" w:after="100" w:afterAutospacing="1" w:line="240" w:lineRule="auto"/>
              <w:jc w:val="center"/>
              <w:rPr>
                <w:rFonts w:eastAsia="Times New Roman" w:cs="Times New Roman"/>
                <w:sz w:val="20"/>
                <w:szCs w:val="20"/>
                <w:lang w:eastAsia="es-ES"/>
              </w:rPr>
            </w:pPr>
            <w:r w:rsidRPr="001A7572">
              <w:rPr>
                <w:rFonts w:eastAsia="Times New Roman" w:cs="Times New Roman"/>
                <w:b/>
                <w:bCs/>
                <w:sz w:val="20"/>
                <w:szCs w:val="20"/>
                <w:lang w:val="es-CO" w:eastAsia="es-ES"/>
              </w:rPr>
              <w:t>NORMA INTERNACIONAL DE CONTABILIDAD</w:t>
            </w:r>
          </w:p>
        </w:tc>
      </w:tr>
      <w:tr w:rsidR="001A7572" w:rsidRPr="001A7572" w:rsidTr="001A7572">
        <w:tc>
          <w:tcPr>
            <w:tcW w:w="993" w:type="dxa"/>
            <w:tcBorders>
              <w:top w:val="nil"/>
              <w:left w:val="single" w:sz="18" w:space="0" w:color="auto"/>
              <w:bottom w:val="single" w:sz="18" w:space="0" w:color="auto"/>
              <w:right w:val="nil"/>
            </w:tcBorders>
            <w:shd w:val="clear" w:color="auto" w:fill="CCFFFF"/>
            <w:tcMar>
              <w:top w:w="0" w:type="dxa"/>
              <w:left w:w="108" w:type="dxa"/>
              <w:bottom w:w="0" w:type="dxa"/>
              <w:right w:w="108" w:type="dxa"/>
            </w:tcMar>
            <w:hideMark/>
          </w:tcPr>
          <w:p w:rsidR="001A7572" w:rsidRPr="001A7572" w:rsidRDefault="001A7572" w:rsidP="001A7572">
            <w:pPr>
              <w:spacing w:before="100" w:beforeAutospacing="1" w:after="100" w:afterAutospacing="1" w:line="240" w:lineRule="auto"/>
              <w:jc w:val="both"/>
              <w:rPr>
                <w:rFonts w:eastAsia="Times New Roman" w:cs="Times New Roman"/>
                <w:sz w:val="20"/>
                <w:szCs w:val="20"/>
                <w:lang w:eastAsia="es-ES"/>
              </w:rPr>
            </w:pPr>
            <w:r w:rsidRPr="001A7572">
              <w:rPr>
                <w:rFonts w:eastAsia="Times New Roman" w:cs="Times New Roman"/>
                <w:b/>
                <w:bCs/>
                <w:sz w:val="20"/>
                <w:szCs w:val="20"/>
                <w:lang w:val="es-CO" w:eastAsia="es-ES"/>
              </w:rPr>
              <w:t> </w:t>
            </w:r>
          </w:p>
        </w:tc>
        <w:tc>
          <w:tcPr>
            <w:tcW w:w="6945" w:type="dxa"/>
            <w:tcBorders>
              <w:top w:val="nil"/>
              <w:left w:val="nil"/>
              <w:bottom w:val="single" w:sz="18" w:space="0" w:color="auto"/>
              <w:right w:val="nil"/>
            </w:tcBorders>
            <w:shd w:val="clear" w:color="auto" w:fill="CCFFFF"/>
            <w:tcMar>
              <w:top w:w="0" w:type="dxa"/>
              <w:left w:w="108" w:type="dxa"/>
              <w:bottom w:w="0" w:type="dxa"/>
              <w:right w:w="108" w:type="dxa"/>
            </w:tcMar>
            <w:hideMark/>
          </w:tcPr>
          <w:p w:rsidR="001A7572" w:rsidRPr="001A7572" w:rsidRDefault="001A7572" w:rsidP="001A7572">
            <w:pPr>
              <w:spacing w:before="100" w:beforeAutospacing="1" w:after="100" w:afterAutospacing="1" w:line="240" w:lineRule="auto"/>
              <w:jc w:val="both"/>
              <w:rPr>
                <w:rFonts w:eastAsia="Times New Roman" w:cs="Times New Roman"/>
                <w:sz w:val="20"/>
                <w:szCs w:val="20"/>
                <w:lang w:eastAsia="es-ES"/>
              </w:rPr>
            </w:pPr>
            <w:r w:rsidRPr="001A7572">
              <w:rPr>
                <w:rFonts w:eastAsia="Times New Roman" w:cs="Times New Roman"/>
                <w:b/>
                <w:bCs/>
                <w:i/>
                <w:iCs/>
                <w:sz w:val="20"/>
                <w:szCs w:val="20"/>
                <w:lang w:val="es-CO" w:eastAsia="es-ES"/>
              </w:rPr>
              <w:t> </w:t>
            </w:r>
          </w:p>
          <w:p w:rsidR="001A7572" w:rsidRPr="001A7572" w:rsidRDefault="001A7572" w:rsidP="001A7572">
            <w:pPr>
              <w:spacing w:before="100" w:beforeAutospacing="1" w:after="100" w:afterAutospacing="1" w:line="240" w:lineRule="auto"/>
              <w:jc w:val="both"/>
              <w:rPr>
                <w:rFonts w:eastAsia="Times New Roman" w:cs="Times New Roman"/>
                <w:sz w:val="20"/>
                <w:szCs w:val="20"/>
                <w:lang w:eastAsia="es-ES"/>
              </w:rPr>
            </w:pPr>
            <w:r w:rsidRPr="001A7572">
              <w:rPr>
                <w:rFonts w:eastAsia="Times New Roman" w:cs="Times New Roman"/>
                <w:b/>
                <w:bCs/>
                <w:i/>
                <w:iCs/>
                <w:sz w:val="20"/>
                <w:szCs w:val="20"/>
                <w:lang w:val="es-CO" w:eastAsia="es-ES"/>
              </w:rPr>
              <w:t xml:space="preserve">"La definición de gastos abarca tanto pérdidas como gastos que surjan en el curso de las actividades normales de una empresa, los cuales incluyen, por ejemplo costo de ventas, gastos por sueldos, y depreciación. Los mismos normalmente forman la toma de una salida </w:t>
            </w:r>
            <w:r w:rsidRPr="001A7572">
              <w:rPr>
                <w:rFonts w:eastAsia="Times New Roman" w:cs="Times New Roman"/>
                <w:b/>
                <w:bCs/>
                <w:i/>
                <w:iCs/>
                <w:sz w:val="20"/>
                <w:szCs w:val="20"/>
                <w:lang w:val="es-CO" w:eastAsia="es-ES"/>
              </w:rPr>
              <w:lastRenderedPageBreak/>
              <w:t>o agotamiento de activos, tales como efectivo y sus equivalentes, inventarios, propiedad, planta y equipo.”</w:t>
            </w:r>
            <w:r w:rsidRPr="001A7572">
              <w:rPr>
                <w:rFonts w:eastAsia="Times New Roman" w:cs="Times New Roman"/>
                <w:b/>
                <w:bCs/>
                <w:sz w:val="20"/>
                <w:szCs w:val="20"/>
                <w:lang w:val="es-CO" w:eastAsia="es-ES"/>
              </w:rPr>
              <w:t> [NIC,1994]</w:t>
            </w:r>
          </w:p>
          <w:p w:rsidR="001A7572" w:rsidRPr="001A7572" w:rsidRDefault="001A7572" w:rsidP="001A7572">
            <w:pPr>
              <w:spacing w:before="100" w:beforeAutospacing="1" w:after="100" w:afterAutospacing="1" w:line="240" w:lineRule="auto"/>
              <w:jc w:val="both"/>
              <w:rPr>
                <w:rFonts w:eastAsia="Times New Roman" w:cs="Times New Roman"/>
                <w:sz w:val="20"/>
                <w:szCs w:val="20"/>
                <w:lang w:eastAsia="es-ES"/>
              </w:rPr>
            </w:pPr>
            <w:r w:rsidRPr="001A7572">
              <w:rPr>
                <w:rFonts w:eastAsia="Times New Roman" w:cs="Times New Roman"/>
                <w:sz w:val="20"/>
                <w:szCs w:val="20"/>
                <w:lang w:eastAsia="es-ES"/>
              </w:rPr>
              <w:t> </w:t>
            </w:r>
          </w:p>
        </w:tc>
        <w:tc>
          <w:tcPr>
            <w:tcW w:w="993" w:type="dxa"/>
            <w:tcBorders>
              <w:top w:val="nil"/>
              <w:left w:val="nil"/>
              <w:bottom w:val="single" w:sz="18" w:space="0" w:color="auto"/>
              <w:right w:val="single" w:sz="18" w:space="0" w:color="auto"/>
            </w:tcBorders>
            <w:shd w:val="clear" w:color="auto" w:fill="CCFFFF"/>
            <w:tcMar>
              <w:top w:w="0" w:type="dxa"/>
              <w:left w:w="108" w:type="dxa"/>
              <w:bottom w:w="0" w:type="dxa"/>
              <w:right w:w="108" w:type="dxa"/>
            </w:tcMar>
            <w:hideMark/>
          </w:tcPr>
          <w:p w:rsidR="001A7572" w:rsidRPr="001A7572" w:rsidRDefault="001A7572" w:rsidP="001A7572">
            <w:pPr>
              <w:spacing w:before="100" w:beforeAutospacing="1" w:after="100" w:afterAutospacing="1" w:line="240" w:lineRule="auto"/>
              <w:jc w:val="both"/>
              <w:rPr>
                <w:rFonts w:eastAsia="Times New Roman" w:cs="Times New Roman"/>
                <w:sz w:val="20"/>
                <w:szCs w:val="20"/>
                <w:lang w:eastAsia="es-ES"/>
              </w:rPr>
            </w:pPr>
            <w:r w:rsidRPr="001A7572">
              <w:rPr>
                <w:rFonts w:eastAsia="Times New Roman" w:cs="Times New Roman"/>
                <w:b/>
                <w:bCs/>
                <w:sz w:val="20"/>
                <w:szCs w:val="20"/>
                <w:lang w:val="es-CO" w:eastAsia="es-ES"/>
              </w:rPr>
              <w:lastRenderedPageBreak/>
              <w:t> </w:t>
            </w:r>
          </w:p>
        </w:tc>
      </w:tr>
    </w:tbl>
    <w:p w:rsidR="00BB082E" w:rsidRDefault="00BB082E">
      <w:pPr>
        <w:rPr>
          <w:color w:val="00B050"/>
          <w:sz w:val="20"/>
          <w:szCs w:val="20"/>
        </w:rPr>
      </w:pPr>
    </w:p>
    <w:p w:rsidR="001A7572" w:rsidRDefault="001A7572">
      <w:pPr>
        <w:rPr>
          <w:rFonts w:ascii="Algerian" w:hAnsi="Algerian"/>
          <w:color w:val="00B050"/>
          <w:sz w:val="28"/>
          <w:szCs w:val="28"/>
        </w:rPr>
      </w:pPr>
      <w:r w:rsidRPr="001A7572">
        <w:rPr>
          <w:rFonts w:ascii="Algerian" w:hAnsi="Algerian"/>
          <w:color w:val="00B050"/>
          <w:sz w:val="28"/>
          <w:szCs w:val="28"/>
        </w:rPr>
        <w:t xml:space="preserve"># 2 elaboraciones del balance o estado de situación financiera </w:t>
      </w:r>
    </w:p>
    <w:p w:rsidR="00401404" w:rsidRDefault="00401404" w:rsidP="00401404">
      <w:pPr>
        <w:jc w:val="both"/>
        <w:rPr>
          <w:b/>
          <w:iCs/>
        </w:rPr>
      </w:pPr>
      <w:r>
        <w:rPr>
          <w:b/>
          <w:iCs/>
        </w:rPr>
        <w:t>ESTADO DE SITUACION FINANCIERA O BALANCE GENERAL</w:t>
      </w:r>
    </w:p>
    <w:p w:rsidR="00401404" w:rsidRDefault="00401404" w:rsidP="00401404">
      <w:pPr>
        <w:jc w:val="both"/>
        <w:rPr>
          <w:iCs/>
        </w:rPr>
      </w:pPr>
      <w:r>
        <w:rPr>
          <w:iCs/>
        </w:rPr>
        <w:t xml:space="preserve">El Estado de Situación Financiera o Balance General es un estado financiero que muestra el monto del activo, pasivo y capital en una fecha </w:t>
      </w:r>
      <w:proofErr w:type="spellStart"/>
      <w:r>
        <w:rPr>
          <w:iCs/>
        </w:rPr>
        <w:t>especifica</w:t>
      </w:r>
      <w:proofErr w:type="spellEnd"/>
      <w:r>
        <w:rPr>
          <w:iCs/>
        </w:rPr>
        <w:t>, en otras palabras, dicho estado financiero muestra los recursos que posee el negocio (activo), a lo que debe (pasivo) y el capital aportado por los socios o dueños.</w:t>
      </w:r>
    </w:p>
    <w:p w:rsidR="00401404" w:rsidRPr="00401404" w:rsidRDefault="00401404" w:rsidP="00401404">
      <w:pPr>
        <w:jc w:val="both"/>
        <w:rPr>
          <w:b/>
          <w:iCs/>
          <w:sz w:val="20"/>
          <w:szCs w:val="20"/>
          <w:u w:val="single"/>
        </w:rPr>
      </w:pPr>
      <w:r w:rsidRPr="00401404">
        <w:rPr>
          <w:b/>
          <w:iCs/>
          <w:sz w:val="20"/>
          <w:szCs w:val="20"/>
          <w:u w:val="single"/>
        </w:rPr>
        <w:t>Importancia del Balance General</w:t>
      </w:r>
    </w:p>
    <w:p w:rsidR="00401404" w:rsidRPr="00401404" w:rsidRDefault="00401404" w:rsidP="00401404">
      <w:pPr>
        <w:jc w:val="both"/>
        <w:rPr>
          <w:iCs/>
          <w:sz w:val="20"/>
          <w:szCs w:val="20"/>
        </w:rPr>
      </w:pPr>
      <w:r w:rsidRPr="00401404">
        <w:rPr>
          <w:iCs/>
          <w:sz w:val="20"/>
          <w:szCs w:val="20"/>
        </w:rPr>
        <w:t>El Estado de Situación Financiera, también conocido como Balance General, presenta en el mismo reporte la información necesaria para tomar decisiones en las áreas de inversión y de financiamiento. Dicho estado incluye en el mismo informe ambos aspectos, porque parte de las ideas de que los recursos con que cuenta el negocio deben estar correspondidos directamente con las fuentes necesarias para adquirirlos.</w:t>
      </w:r>
    </w:p>
    <w:p w:rsidR="00401404" w:rsidRPr="00401404" w:rsidRDefault="00401404" w:rsidP="00401404">
      <w:pPr>
        <w:tabs>
          <w:tab w:val="left" w:pos="4980"/>
        </w:tabs>
        <w:jc w:val="both"/>
        <w:rPr>
          <w:b/>
          <w:iCs/>
          <w:sz w:val="20"/>
          <w:szCs w:val="20"/>
        </w:rPr>
      </w:pPr>
    </w:p>
    <w:p w:rsidR="00401404" w:rsidRPr="00401404" w:rsidRDefault="00401404" w:rsidP="00401404">
      <w:pPr>
        <w:tabs>
          <w:tab w:val="left" w:pos="4980"/>
        </w:tabs>
        <w:jc w:val="both"/>
        <w:rPr>
          <w:iCs/>
          <w:sz w:val="20"/>
          <w:szCs w:val="20"/>
        </w:rPr>
      </w:pPr>
      <w:r w:rsidRPr="00401404">
        <w:rPr>
          <w:b/>
          <w:iCs/>
          <w:sz w:val="20"/>
          <w:szCs w:val="20"/>
        </w:rPr>
        <w:t>FORMULA DEL BALANCE</w:t>
      </w:r>
      <w:r w:rsidRPr="00401404">
        <w:rPr>
          <w:iCs/>
          <w:sz w:val="20"/>
          <w:szCs w:val="20"/>
        </w:rPr>
        <w:t>:</w:t>
      </w:r>
    </w:p>
    <w:p w:rsidR="00401404" w:rsidRPr="00401404" w:rsidRDefault="00401404" w:rsidP="00401404">
      <w:pPr>
        <w:tabs>
          <w:tab w:val="left" w:pos="4980"/>
        </w:tabs>
        <w:jc w:val="both"/>
        <w:rPr>
          <w:iCs/>
          <w:sz w:val="20"/>
          <w:szCs w:val="20"/>
        </w:rPr>
      </w:pPr>
      <w:r w:rsidRPr="00401404">
        <w:rPr>
          <w:iCs/>
          <w:sz w:val="20"/>
          <w:szCs w:val="20"/>
        </w:rPr>
        <w:t xml:space="preserve">El balance </w:t>
      </w:r>
      <w:proofErr w:type="spellStart"/>
      <w:r w:rsidRPr="00401404">
        <w:rPr>
          <w:iCs/>
          <w:sz w:val="20"/>
          <w:szCs w:val="20"/>
        </w:rPr>
        <w:t>esta</w:t>
      </w:r>
      <w:proofErr w:type="spellEnd"/>
      <w:r w:rsidRPr="00401404">
        <w:rPr>
          <w:iCs/>
          <w:sz w:val="20"/>
          <w:szCs w:val="20"/>
        </w:rPr>
        <w:t xml:space="preserve"> formado por el activo que son los bienes o inversiones que tiene la organización, pasivo son las deudas u obligaciones y el capital o sea los dueños. En base a esto se forma la igualdad matemática: </w:t>
      </w:r>
    </w:p>
    <w:p w:rsidR="00401404" w:rsidRPr="00401404" w:rsidRDefault="00401404" w:rsidP="00401404">
      <w:pPr>
        <w:tabs>
          <w:tab w:val="left" w:pos="4980"/>
        </w:tabs>
        <w:jc w:val="both"/>
        <w:rPr>
          <w:iCs/>
          <w:sz w:val="20"/>
          <w:szCs w:val="20"/>
        </w:rPr>
      </w:pPr>
    </w:p>
    <w:p w:rsidR="00401404" w:rsidRPr="00401404" w:rsidRDefault="00401404" w:rsidP="00401404">
      <w:pPr>
        <w:numPr>
          <w:ilvl w:val="1"/>
          <w:numId w:val="2"/>
        </w:numPr>
        <w:tabs>
          <w:tab w:val="left" w:pos="4980"/>
        </w:tabs>
        <w:spacing w:after="0" w:line="240" w:lineRule="auto"/>
        <w:jc w:val="both"/>
        <w:rPr>
          <w:b/>
          <w:iCs/>
          <w:sz w:val="20"/>
          <w:szCs w:val="20"/>
        </w:rPr>
      </w:pPr>
      <w:r w:rsidRPr="00401404">
        <w:rPr>
          <w:b/>
          <w:iCs/>
          <w:sz w:val="20"/>
          <w:szCs w:val="20"/>
        </w:rPr>
        <w:t>A = P + C</w:t>
      </w:r>
    </w:p>
    <w:p w:rsidR="00401404" w:rsidRPr="00401404" w:rsidRDefault="00401404" w:rsidP="00401404">
      <w:pPr>
        <w:tabs>
          <w:tab w:val="left" w:pos="4980"/>
        </w:tabs>
        <w:ind w:left="1080"/>
        <w:jc w:val="both"/>
        <w:rPr>
          <w:b/>
          <w:iCs/>
          <w:sz w:val="20"/>
          <w:szCs w:val="20"/>
        </w:rPr>
      </w:pPr>
    </w:p>
    <w:p w:rsidR="00401404" w:rsidRPr="00401404" w:rsidRDefault="00401404" w:rsidP="00401404">
      <w:pPr>
        <w:tabs>
          <w:tab w:val="left" w:pos="4980"/>
        </w:tabs>
        <w:jc w:val="both"/>
        <w:rPr>
          <w:iCs/>
          <w:sz w:val="20"/>
          <w:szCs w:val="20"/>
        </w:rPr>
      </w:pPr>
      <w:r w:rsidRPr="00401404">
        <w:rPr>
          <w:iCs/>
          <w:sz w:val="20"/>
          <w:szCs w:val="20"/>
        </w:rPr>
        <w:t xml:space="preserve">De esta </w:t>
      </w:r>
      <w:proofErr w:type="spellStart"/>
      <w:r w:rsidRPr="00401404">
        <w:rPr>
          <w:iCs/>
          <w:sz w:val="20"/>
          <w:szCs w:val="20"/>
        </w:rPr>
        <w:t>formula</w:t>
      </w:r>
      <w:proofErr w:type="spellEnd"/>
      <w:r w:rsidRPr="00401404">
        <w:rPr>
          <w:iCs/>
          <w:sz w:val="20"/>
          <w:szCs w:val="20"/>
        </w:rPr>
        <w:t xml:space="preserve"> se infiere la del pasivo:</w:t>
      </w:r>
    </w:p>
    <w:p w:rsidR="00401404" w:rsidRPr="00401404" w:rsidRDefault="00401404" w:rsidP="00401404">
      <w:pPr>
        <w:tabs>
          <w:tab w:val="left" w:pos="4980"/>
        </w:tabs>
        <w:jc w:val="both"/>
        <w:rPr>
          <w:iCs/>
          <w:sz w:val="20"/>
          <w:szCs w:val="20"/>
        </w:rPr>
      </w:pPr>
    </w:p>
    <w:p w:rsidR="00401404" w:rsidRPr="00401404" w:rsidRDefault="00401404" w:rsidP="00401404">
      <w:pPr>
        <w:numPr>
          <w:ilvl w:val="1"/>
          <w:numId w:val="2"/>
        </w:numPr>
        <w:tabs>
          <w:tab w:val="left" w:pos="4980"/>
        </w:tabs>
        <w:spacing w:after="0" w:line="240" w:lineRule="auto"/>
        <w:jc w:val="both"/>
        <w:rPr>
          <w:b/>
          <w:iCs/>
          <w:sz w:val="20"/>
          <w:szCs w:val="20"/>
        </w:rPr>
      </w:pPr>
      <w:r w:rsidRPr="00401404">
        <w:rPr>
          <w:b/>
          <w:iCs/>
          <w:sz w:val="20"/>
          <w:szCs w:val="20"/>
        </w:rPr>
        <w:t>P = A – C</w:t>
      </w:r>
    </w:p>
    <w:p w:rsidR="00D338F5" w:rsidRPr="00D338F5" w:rsidRDefault="00D338F5" w:rsidP="00D338F5">
      <w:pPr>
        <w:tabs>
          <w:tab w:val="left" w:pos="4980"/>
        </w:tabs>
        <w:jc w:val="both"/>
        <w:rPr>
          <w:iCs/>
          <w:sz w:val="20"/>
          <w:szCs w:val="20"/>
        </w:rPr>
      </w:pPr>
      <w:r w:rsidRPr="00D338F5">
        <w:rPr>
          <w:iCs/>
          <w:sz w:val="20"/>
          <w:szCs w:val="20"/>
        </w:rPr>
        <w:t>Y la del capital:</w:t>
      </w:r>
    </w:p>
    <w:p w:rsidR="00D338F5" w:rsidRPr="00D338F5" w:rsidRDefault="00D338F5" w:rsidP="00D338F5">
      <w:pPr>
        <w:tabs>
          <w:tab w:val="left" w:pos="4980"/>
        </w:tabs>
        <w:jc w:val="both"/>
        <w:rPr>
          <w:iCs/>
          <w:sz w:val="20"/>
          <w:szCs w:val="20"/>
        </w:rPr>
      </w:pPr>
    </w:p>
    <w:p w:rsidR="00D338F5" w:rsidRPr="00D338F5" w:rsidRDefault="00D338F5" w:rsidP="00D338F5">
      <w:pPr>
        <w:tabs>
          <w:tab w:val="left" w:pos="4980"/>
        </w:tabs>
        <w:jc w:val="both"/>
        <w:rPr>
          <w:b/>
          <w:iCs/>
          <w:sz w:val="20"/>
          <w:szCs w:val="20"/>
        </w:rPr>
      </w:pPr>
      <w:r w:rsidRPr="00D338F5">
        <w:rPr>
          <w:b/>
          <w:iCs/>
          <w:sz w:val="20"/>
          <w:szCs w:val="20"/>
        </w:rPr>
        <w:t xml:space="preserve">                  3- C = A - P</w:t>
      </w:r>
    </w:p>
    <w:p w:rsidR="00D338F5" w:rsidRPr="00D338F5" w:rsidRDefault="00D338F5" w:rsidP="00D338F5">
      <w:pPr>
        <w:jc w:val="both"/>
        <w:rPr>
          <w:iCs/>
          <w:sz w:val="20"/>
          <w:szCs w:val="20"/>
        </w:rPr>
      </w:pPr>
    </w:p>
    <w:p w:rsidR="00D338F5" w:rsidRPr="00D338F5" w:rsidRDefault="00D338F5" w:rsidP="00D338F5">
      <w:pPr>
        <w:jc w:val="both"/>
        <w:rPr>
          <w:b/>
          <w:iCs/>
          <w:sz w:val="20"/>
          <w:szCs w:val="20"/>
          <w:u w:val="single"/>
        </w:rPr>
      </w:pPr>
      <w:r w:rsidRPr="00D338F5">
        <w:rPr>
          <w:b/>
          <w:iCs/>
          <w:sz w:val="20"/>
          <w:szCs w:val="20"/>
          <w:u w:val="single"/>
        </w:rPr>
        <w:t>Movimiento de las cuentas</w:t>
      </w:r>
    </w:p>
    <w:p w:rsidR="00D338F5" w:rsidRPr="00D338F5" w:rsidRDefault="00D338F5" w:rsidP="00D338F5">
      <w:pPr>
        <w:jc w:val="both"/>
        <w:rPr>
          <w:iCs/>
          <w:sz w:val="20"/>
          <w:szCs w:val="20"/>
        </w:rPr>
      </w:pPr>
      <w:r w:rsidRPr="00D338F5">
        <w:rPr>
          <w:iCs/>
          <w:sz w:val="20"/>
          <w:szCs w:val="20"/>
        </w:rPr>
        <w:t>Conceptos importantes a conocer previos a la elaboración de un estado financiero:</w:t>
      </w:r>
    </w:p>
    <w:p w:rsidR="00D338F5" w:rsidRPr="00D338F5" w:rsidRDefault="00D338F5" w:rsidP="00D338F5">
      <w:pPr>
        <w:jc w:val="both"/>
        <w:rPr>
          <w:iCs/>
          <w:sz w:val="20"/>
          <w:szCs w:val="20"/>
        </w:rPr>
      </w:pPr>
    </w:p>
    <w:p w:rsidR="00D338F5" w:rsidRPr="00D338F5" w:rsidRDefault="00D338F5" w:rsidP="00D338F5">
      <w:pPr>
        <w:jc w:val="both"/>
        <w:rPr>
          <w:iCs/>
          <w:sz w:val="20"/>
          <w:szCs w:val="20"/>
        </w:rPr>
      </w:pPr>
      <w:r w:rsidRPr="00D338F5">
        <w:rPr>
          <w:b/>
          <w:iCs/>
          <w:sz w:val="20"/>
          <w:szCs w:val="20"/>
        </w:rPr>
        <w:lastRenderedPageBreak/>
        <w:t xml:space="preserve">Jornal izar,  </w:t>
      </w:r>
      <w:r w:rsidRPr="00D338F5">
        <w:rPr>
          <w:iCs/>
          <w:sz w:val="20"/>
          <w:szCs w:val="20"/>
        </w:rPr>
        <w:t>es registrar las diferentes transacciones económicas o monetarias de aumentos o disminuciones que afecta un valor o concepto, ya sea de activo, pasivo o capital, como consecuencia de las operaciones practicadas en la organización o entidad.</w:t>
      </w:r>
    </w:p>
    <w:p w:rsidR="00D338F5" w:rsidRPr="00D338F5" w:rsidRDefault="00D338F5" w:rsidP="00D338F5">
      <w:pPr>
        <w:jc w:val="both"/>
        <w:rPr>
          <w:iCs/>
          <w:sz w:val="20"/>
          <w:szCs w:val="20"/>
        </w:rPr>
      </w:pPr>
      <w:r w:rsidRPr="00D338F5">
        <w:rPr>
          <w:b/>
          <w:iCs/>
          <w:sz w:val="20"/>
          <w:szCs w:val="20"/>
        </w:rPr>
        <w:t xml:space="preserve">La cuenta, </w:t>
      </w:r>
      <w:r w:rsidRPr="00D338F5">
        <w:rPr>
          <w:iCs/>
          <w:sz w:val="20"/>
          <w:szCs w:val="20"/>
        </w:rPr>
        <w:t>es el registro histórico donde se anota en forma clara, ordenada y comprensible los aumentos o disminuciones que afectan a los diferentes elementos de un estado financiero, como consecuencia de las operaciones realizadas por la empresa.</w:t>
      </w:r>
    </w:p>
    <w:p w:rsidR="00D338F5" w:rsidRPr="00D338F5" w:rsidRDefault="00D338F5" w:rsidP="00D338F5">
      <w:pPr>
        <w:jc w:val="both"/>
        <w:rPr>
          <w:iCs/>
          <w:sz w:val="20"/>
          <w:szCs w:val="20"/>
        </w:rPr>
      </w:pPr>
      <w:r w:rsidRPr="00D338F5">
        <w:rPr>
          <w:iCs/>
          <w:sz w:val="20"/>
          <w:szCs w:val="20"/>
        </w:rPr>
        <w:t>Las cuentas en contabilidad  pueden adoptar formas diferentes, pero la más común de ellas es la cuenta “T” que recibe el nombre por su forma.</w:t>
      </w:r>
    </w:p>
    <w:p w:rsidR="00D338F5" w:rsidRPr="00D338F5" w:rsidRDefault="00D338F5" w:rsidP="00D338F5">
      <w:pPr>
        <w:jc w:val="both"/>
        <w:rPr>
          <w:iCs/>
          <w:sz w:val="20"/>
          <w:szCs w:val="20"/>
        </w:rPr>
      </w:pPr>
    </w:p>
    <w:p w:rsidR="00D338F5" w:rsidRPr="00D338F5" w:rsidRDefault="00D338F5" w:rsidP="00D338F5">
      <w:pPr>
        <w:jc w:val="both"/>
        <w:rPr>
          <w:iCs/>
          <w:sz w:val="20"/>
          <w:szCs w:val="20"/>
        </w:rPr>
      </w:pPr>
      <w:r w:rsidRPr="00D338F5">
        <w:rPr>
          <w:iCs/>
          <w:sz w:val="20"/>
          <w:szCs w:val="20"/>
        </w:rPr>
        <w:t>Si queremos presentar la cuenta CAJA en cuenta T, su forma será:</w:t>
      </w:r>
    </w:p>
    <w:p w:rsidR="00D338F5" w:rsidRPr="00D338F5" w:rsidRDefault="00D338F5" w:rsidP="00D338F5">
      <w:pPr>
        <w:jc w:val="both"/>
        <w:rPr>
          <w:iCs/>
          <w:sz w:val="20"/>
          <w:szCs w:val="20"/>
        </w:rPr>
      </w:pPr>
    </w:p>
    <w:tbl>
      <w:tblPr>
        <w:tblW w:w="2366" w:type="dxa"/>
        <w:tblInd w:w="55" w:type="dxa"/>
        <w:tblCellMar>
          <w:left w:w="70" w:type="dxa"/>
          <w:right w:w="70" w:type="dxa"/>
        </w:tblCellMar>
        <w:tblLook w:val="04A0" w:firstRow="1" w:lastRow="0" w:firstColumn="1" w:lastColumn="0" w:noHBand="0" w:noVBand="1"/>
      </w:tblPr>
      <w:tblGrid>
        <w:gridCol w:w="1168"/>
        <w:gridCol w:w="1198"/>
      </w:tblGrid>
      <w:tr w:rsidR="00D338F5" w:rsidRPr="00D338F5" w:rsidTr="00D338F5">
        <w:trPr>
          <w:trHeight w:val="274"/>
        </w:trPr>
        <w:tc>
          <w:tcPr>
            <w:tcW w:w="2366" w:type="dxa"/>
            <w:gridSpan w:val="2"/>
            <w:tcBorders>
              <w:top w:val="nil"/>
              <w:left w:val="nil"/>
              <w:bottom w:val="single" w:sz="4" w:space="0" w:color="auto"/>
              <w:right w:val="nil"/>
            </w:tcBorders>
            <w:noWrap/>
            <w:vAlign w:val="bottom"/>
            <w:hideMark/>
          </w:tcPr>
          <w:p w:rsidR="00D338F5" w:rsidRPr="00D338F5" w:rsidRDefault="00D338F5">
            <w:pPr>
              <w:jc w:val="center"/>
              <w:rPr>
                <w:rFonts w:cs="Arial"/>
                <w:b/>
                <w:bCs/>
                <w:sz w:val="20"/>
                <w:szCs w:val="20"/>
              </w:rPr>
            </w:pPr>
            <w:r w:rsidRPr="00D338F5">
              <w:rPr>
                <w:rFonts w:cs="Arial"/>
                <w:b/>
                <w:bCs/>
                <w:sz w:val="20"/>
                <w:szCs w:val="20"/>
              </w:rPr>
              <w:t>CAJA</w:t>
            </w:r>
          </w:p>
        </w:tc>
      </w:tr>
      <w:tr w:rsidR="00D338F5" w:rsidRPr="00D338F5" w:rsidTr="00D338F5">
        <w:trPr>
          <w:trHeight w:val="274"/>
        </w:trPr>
        <w:tc>
          <w:tcPr>
            <w:tcW w:w="1168" w:type="dxa"/>
            <w:tcBorders>
              <w:top w:val="nil"/>
              <w:left w:val="nil"/>
              <w:bottom w:val="nil"/>
              <w:right w:val="single" w:sz="4" w:space="0" w:color="auto"/>
            </w:tcBorders>
            <w:noWrap/>
            <w:vAlign w:val="bottom"/>
            <w:hideMark/>
          </w:tcPr>
          <w:p w:rsidR="00D338F5" w:rsidRPr="00D338F5" w:rsidRDefault="00D338F5">
            <w:pPr>
              <w:rPr>
                <w:rFonts w:cs="Arial"/>
                <w:b/>
                <w:bCs/>
                <w:i/>
                <w:iCs/>
                <w:sz w:val="20"/>
                <w:szCs w:val="20"/>
              </w:rPr>
            </w:pPr>
            <w:r w:rsidRPr="00D338F5">
              <w:rPr>
                <w:rFonts w:cs="Arial"/>
                <w:b/>
                <w:bCs/>
                <w:i/>
                <w:iCs/>
                <w:sz w:val="20"/>
                <w:szCs w:val="20"/>
              </w:rPr>
              <w:t> </w:t>
            </w:r>
          </w:p>
        </w:tc>
        <w:tc>
          <w:tcPr>
            <w:tcW w:w="1198" w:type="dxa"/>
            <w:noWrap/>
            <w:vAlign w:val="bottom"/>
          </w:tcPr>
          <w:p w:rsidR="00D338F5" w:rsidRPr="00D338F5" w:rsidRDefault="00D338F5">
            <w:pPr>
              <w:rPr>
                <w:rFonts w:cs="Arial"/>
                <w:b/>
                <w:bCs/>
                <w:i/>
                <w:iCs/>
                <w:sz w:val="20"/>
                <w:szCs w:val="20"/>
              </w:rPr>
            </w:pPr>
          </w:p>
        </w:tc>
      </w:tr>
    </w:tbl>
    <w:p w:rsidR="001A7572" w:rsidRPr="00D338F5" w:rsidRDefault="001A7572">
      <w:pPr>
        <w:rPr>
          <w:color w:val="00B050"/>
          <w:sz w:val="20"/>
          <w:szCs w:val="20"/>
        </w:rPr>
      </w:pPr>
    </w:p>
    <w:p w:rsidR="00D338F5" w:rsidRPr="00D338F5" w:rsidRDefault="00D338F5" w:rsidP="00D338F5">
      <w:pPr>
        <w:jc w:val="both"/>
        <w:rPr>
          <w:iCs/>
          <w:sz w:val="20"/>
          <w:szCs w:val="20"/>
        </w:rPr>
      </w:pPr>
      <w:r w:rsidRPr="00D338F5">
        <w:rPr>
          <w:iCs/>
          <w:sz w:val="20"/>
          <w:szCs w:val="20"/>
        </w:rPr>
        <w:t>Puede observarse que esta cuenta tiene un lado izquierdo y un lado derecho. El lado izquierdo lo llamaremos DEBE y el lado derecho HABER.</w:t>
      </w:r>
    </w:p>
    <w:p w:rsidR="00D338F5" w:rsidRPr="00D338F5" w:rsidRDefault="00D338F5" w:rsidP="00D338F5">
      <w:pPr>
        <w:jc w:val="both"/>
        <w:rPr>
          <w:iCs/>
          <w:sz w:val="20"/>
          <w:szCs w:val="20"/>
        </w:rPr>
      </w:pPr>
      <w:r w:rsidRPr="00D338F5">
        <w:rPr>
          <w:b/>
          <w:iCs/>
          <w:sz w:val="20"/>
          <w:szCs w:val="20"/>
        </w:rPr>
        <w:t>Debitar o cargar</w:t>
      </w:r>
      <w:r w:rsidRPr="00D338F5">
        <w:rPr>
          <w:iCs/>
          <w:sz w:val="20"/>
          <w:szCs w:val="20"/>
        </w:rPr>
        <w:t xml:space="preserve"> una cuenta es anotar una cantidad en </w:t>
      </w:r>
      <w:proofErr w:type="spellStart"/>
      <w:r w:rsidRPr="00D338F5">
        <w:rPr>
          <w:iCs/>
          <w:sz w:val="20"/>
          <w:szCs w:val="20"/>
        </w:rPr>
        <w:t>el</w:t>
      </w:r>
      <w:proofErr w:type="spellEnd"/>
      <w:r w:rsidRPr="00D338F5">
        <w:rPr>
          <w:iCs/>
          <w:sz w:val="20"/>
          <w:szCs w:val="20"/>
        </w:rPr>
        <w:t xml:space="preserve"> DEBE de la misma.</w:t>
      </w:r>
    </w:p>
    <w:p w:rsidR="00D338F5" w:rsidRPr="00D338F5" w:rsidRDefault="00D338F5" w:rsidP="00D338F5">
      <w:pPr>
        <w:jc w:val="both"/>
        <w:rPr>
          <w:iCs/>
          <w:sz w:val="20"/>
          <w:szCs w:val="20"/>
        </w:rPr>
      </w:pPr>
      <w:r w:rsidRPr="00D338F5">
        <w:rPr>
          <w:b/>
          <w:iCs/>
          <w:sz w:val="20"/>
          <w:szCs w:val="20"/>
        </w:rPr>
        <w:t>Acreditar o abona</w:t>
      </w:r>
      <w:r w:rsidRPr="00D338F5">
        <w:rPr>
          <w:iCs/>
          <w:sz w:val="20"/>
          <w:szCs w:val="20"/>
        </w:rPr>
        <w:t>r una cuenta es anotar una cantidad en el HABER  de la misma.</w:t>
      </w:r>
    </w:p>
    <w:p w:rsidR="00D338F5" w:rsidRPr="00D338F5" w:rsidRDefault="00D338F5" w:rsidP="00D338F5">
      <w:pPr>
        <w:jc w:val="both"/>
        <w:rPr>
          <w:iCs/>
          <w:sz w:val="20"/>
          <w:szCs w:val="20"/>
        </w:rPr>
      </w:pPr>
      <w:r w:rsidRPr="00D338F5">
        <w:rPr>
          <w:iCs/>
          <w:sz w:val="20"/>
          <w:szCs w:val="20"/>
        </w:rPr>
        <w:t>De lo anterior se puede inferir, que la cuenta CAJA, en nuestro ejemplo se puede ver de la siguiente forma:</w:t>
      </w:r>
    </w:p>
    <w:p w:rsidR="00D338F5" w:rsidRPr="00D338F5" w:rsidRDefault="00D338F5" w:rsidP="00D338F5">
      <w:pPr>
        <w:jc w:val="both"/>
        <w:rPr>
          <w:iCs/>
          <w:sz w:val="20"/>
          <w:szCs w:val="20"/>
        </w:rPr>
      </w:pPr>
    </w:p>
    <w:tbl>
      <w:tblPr>
        <w:tblW w:w="2400" w:type="dxa"/>
        <w:tblInd w:w="55" w:type="dxa"/>
        <w:tblCellMar>
          <w:left w:w="70" w:type="dxa"/>
          <w:right w:w="70" w:type="dxa"/>
        </w:tblCellMar>
        <w:tblLook w:val="04A0" w:firstRow="1" w:lastRow="0" w:firstColumn="1" w:lastColumn="0" w:noHBand="0" w:noVBand="1"/>
      </w:tblPr>
      <w:tblGrid>
        <w:gridCol w:w="1061"/>
        <w:gridCol w:w="1339"/>
      </w:tblGrid>
      <w:tr w:rsidR="00D338F5" w:rsidRPr="00D338F5" w:rsidTr="00D338F5">
        <w:trPr>
          <w:trHeight w:val="255"/>
        </w:trPr>
        <w:tc>
          <w:tcPr>
            <w:tcW w:w="2400" w:type="dxa"/>
            <w:gridSpan w:val="2"/>
            <w:tcBorders>
              <w:top w:val="nil"/>
              <w:left w:val="nil"/>
              <w:bottom w:val="single" w:sz="4" w:space="0" w:color="auto"/>
              <w:right w:val="nil"/>
            </w:tcBorders>
            <w:noWrap/>
            <w:vAlign w:val="bottom"/>
            <w:hideMark/>
          </w:tcPr>
          <w:p w:rsidR="00D338F5" w:rsidRPr="00D338F5" w:rsidRDefault="00D338F5">
            <w:pPr>
              <w:jc w:val="center"/>
              <w:rPr>
                <w:rFonts w:cs="Arial"/>
                <w:b/>
                <w:bCs/>
                <w:sz w:val="20"/>
                <w:szCs w:val="20"/>
              </w:rPr>
            </w:pPr>
            <w:r w:rsidRPr="00D338F5">
              <w:rPr>
                <w:noProof/>
                <w:sz w:val="20"/>
                <w:szCs w:val="20"/>
                <w:lang w:eastAsia="es-ES"/>
              </w:rPr>
              <mc:AlternateContent>
                <mc:Choice Requires="wps">
                  <w:drawing>
                    <wp:anchor distT="0" distB="0" distL="114300" distR="114300" simplePos="0" relativeHeight="251658240" behindDoc="0" locked="0" layoutInCell="1" allowOverlap="1">
                      <wp:simplePos x="0" y="0"/>
                      <wp:positionH relativeFrom="column">
                        <wp:posOffset>2365375</wp:posOffset>
                      </wp:positionH>
                      <wp:positionV relativeFrom="paragraph">
                        <wp:posOffset>151765</wp:posOffset>
                      </wp:positionV>
                      <wp:extent cx="2286000" cy="800100"/>
                      <wp:effectExtent l="3175" t="0" r="0" b="63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1142" w:rsidRDefault="00E21142" w:rsidP="00D338F5">
                                  <w:pPr>
                                    <w:jc w:val="both"/>
                                  </w:pPr>
                                  <w:r>
                                    <w:t>Todos los términos señalados son sinónimos, por lo que en contabilidad significan lo mismo.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186.25pt;margin-top:11.95pt;width:180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" filled="f" stroked="f">
                      <v:textbox>
                        <w:txbxContent>
                          <w:p w:rsidR="00E21142" w:rsidRDefault="00E21142" w:rsidP="00D338F5">
                            <w:pPr>
                              <w:jc w:val="both"/>
                            </w:pPr>
                            <w:r>
                              <w:t>Todos los términos señalados son sinónimos, por lo que en contabilidad significan lo mismo.</w:t>
                            </w:r>
                          </w:p>
                        </w:txbxContent>
                      </v:textbox>
                    </v:shape>
                  </w:pict>
                </mc:Fallback>
              </mc:AlternateContent>
            </w:r>
            <w:r w:rsidRPr="00D338F5">
              <w:rPr>
                <w:rFonts w:cs="Arial"/>
                <w:b/>
                <w:bCs/>
                <w:sz w:val="20"/>
                <w:szCs w:val="20"/>
              </w:rPr>
              <w:t>CAJA</w:t>
            </w:r>
          </w:p>
        </w:tc>
      </w:tr>
      <w:tr w:rsidR="00D338F5" w:rsidRPr="00D338F5" w:rsidTr="00D338F5">
        <w:trPr>
          <w:trHeight w:val="255"/>
        </w:trPr>
        <w:tc>
          <w:tcPr>
            <w:tcW w:w="1061" w:type="dxa"/>
            <w:tcBorders>
              <w:top w:val="single" w:sz="4" w:space="0" w:color="auto"/>
              <w:left w:val="nil"/>
              <w:bottom w:val="single" w:sz="4" w:space="0" w:color="auto"/>
              <w:right w:val="single" w:sz="4" w:space="0" w:color="auto"/>
            </w:tcBorders>
            <w:noWrap/>
            <w:vAlign w:val="bottom"/>
            <w:hideMark/>
          </w:tcPr>
          <w:p w:rsidR="00D338F5" w:rsidRPr="00D338F5" w:rsidRDefault="00D338F5">
            <w:pPr>
              <w:rPr>
                <w:rFonts w:cs="Arial"/>
                <w:b/>
                <w:bCs/>
                <w:iCs/>
                <w:sz w:val="20"/>
                <w:szCs w:val="20"/>
              </w:rPr>
            </w:pPr>
            <w:r w:rsidRPr="00D338F5">
              <w:rPr>
                <w:rFonts w:cs="Arial"/>
                <w:b/>
                <w:bCs/>
                <w:iCs/>
                <w:sz w:val="20"/>
                <w:szCs w:val="20"/>
              </w:rPr>
              <w:t>Debe</w:t>
            </w:r>
          </w:p>
        </w:tc>
        <w:tc>
          <w:tcPr>
            <w:tcW w:w="1339" w:type="dxa"/>
            <w:tcBorders>
              <w:top w:val="single" w:sz="4" w:space="0" w:color="auto"/>
              <w:left w:val="nil"/>
              <w:bottom w:val="single" w:sz="4" w:space="0" w:color="auto"/>
              <w:right w:val="nil"/>
            </w:tcBorders>
            <w:noWrap/>
            <w:vAlign w:val="bottom"/>
            <w:hideMark/>
          </w:tcPr>
          <w:p w:rsidR="00D338F5" w:rsidRPr="00D338F5" w:rsidRDefault="00D338F5">
            <w:pPr>
              <w:rPr>
                <w:rFonts w:cs="Arial"/>
                <w:b/>
                <w:bCs/>
                <w:iCs/>
                <w:sz w:val="20"/>
                <w:szCs w:val="20"/>
              </w:rPr>
            </w:pPr>
            <w:r w:rsidRPr="00D338F5">
              <w:rPr>
                <w:rFonts w:cs="Arial"/>
                <w:b/>
                <w:bCs/>
                <w:iCs/>
                <w:sz w:val="20"/>
                <w:szCs w:val="20"/>
              </w:rPr>
              <w:t>Haber</w:t>
            </w:r>
          </w:p>
        </w:tc>
      </w:tr>
      <w:tr w:rsidR="00D338F5" w:rsidRPr="00D338F5" w:rsidTr="00D338F5">
        <w:trPr>
          <w:trHeight w:val="255"/>
        </w:trPr>
        <w:tc>
          <w:tcPr>
            <w:tcW w:w="1061" w:type="dxa"/>
            <w:tcBorders>
              <w:top w:val="single" w:sz="4" w:space="0" w:color="auto"/>
              <w:left w:val="nil"/>
              <w:bottom w:val="nil"/>
              <w:right w:val="single" w:sz="4" w:space="0" w:color="auto"/>
            </w:tcBorders>
            <w:noWrap/>
            <w:vAlign w:val="bottom"/>
            <w:hideMark/>
          </w:tcPr>
          <w:p w:rsidR="00D338F5" w:rsidRPr="00D338F5" w:rsidRDefault="00D338F5">
            <w:pPr>
              <w:rPr>
                <w:rFonts w:cs="Arial"/>
                <w:b/>
                <w:bCs/>
                <w:i/>
                <w:iCs/>
                <w:sz w:val="20"/>
                <w:szCs w:val="20"/>
              </w:rPr>
            </w:pPr>
            <w:r w:rsidRPr="00D338F5">
              <w:rPr>
                <w:rFonts w:cs="Arial"/>
                <w:b/>
                <w:bCs/>
                <w:i/>
                <w:iCs/>
                <w:sz w:val="20"/>
                <w:szCs w:val="20"/>
              </w:rPr>
              <w:t>Débito</w:t>
            </w:r>
          </w:p>
        </w:tc>
        <w:tc>
          <w:tcPr>
            <w:tcW w:w="1339" w:type="dxa"/>
            <w:tcBorders>
              <w:top w:val="single" w:sz="4" w:space="0" w:color="auto"/>
              <w:left w:val="nil"/>
              <w:bottom w:val="nil"/>
              <w:right w:val="nil"/>
            </w:tcBorders>
            <w:noWrap/>
            <w:vAlign w:val="bottom"/>
            <w:hideMark/>
          </w:tcPr>
          <w:p w:rsidR="00D338F5" w:rsidRPr="00D338F5" w:rsidRDefault="00D338F5">
            <w:pPr>
              <w:rPr>
                <w:rFonts w:cs="Arial"/>
                <w:b/>
                <w:bCs/>
                <w:i/>
                <w:iCs/>
                <w:sz w:val="20"/>
                <w:szCs w:val="20"/>
              </w:rPr>
            </w:pPr>
            <w:r w:rsidRPr="00D338F5">
              <w:rPr>
                <w:rFonts w:cs="Arial"/>
                <w:b/>
                <w:bCs/>
                <w:i/>
                <w:iCs/>
                <w:sz w:val="20"/>
                <w:szCs w:val="20"/>
              </w:rPr>
              <w:t>Crédito</w:t>
            </w:r>
          </w:p>
        </w:tc>
      </w:tr>
      <w:tr w:rsidR="00D338F5" w:rsidRPr="00D338F5" w:rsidTr="00D338F5">
        <w:trPr>
          <w:trHeight w:val="255"/>
        </w:trPr>
        <w:tc>
          <w:tcPr>
            <w:tcW w:w="1061" w:type="dxa"/>
            <w:tcBorders>
              <w:top w:val="nil"/>
              <w:left w:val="nil"/>
              <w:bottom w:val="nil"/>
              <w:right w:val="single" w:sz="4" w:space="0" w:color="auto"/>
            </w:tcBorders>
            <w:noWrap/>
            <w:vAlign w:val="bottom"/>
            <w:hideMark/>
          </w:tcPr>
          <w:p w:rsidR="00D338F5" w:rsidRPr="00D338F5" w:rsidRDefault="00D338F5">
            <w:pPr>
              <w:rPr>
                <w:rFonts w:cs="Arial"/>
                <w:b/>
                <w:bCs/>
                <w:i/>
                <w:iCs/>
                <w:sz w:val="20"/>
                <w:szCs w:val="20"/>
              </w:rPr>
            </w:pPr>
            <w:r w:rsidRPr="00D338F5">
              <w:rPr>
                <w:rFonts w:cs="Arial"/>
                <w:b/>
                <w:bCs/>
                <w:i/>
                <w:iCs/>
                <w:sz w:val="20"/>
                <w:szCs w:val="20"/>
              </w:rPr>
              <w:t>Debitar</w:t>
            </w:r>
          </w:p>
        </w:tc>
        <w:tc>
          <w:tcPr>
            <w:tcW w:w="1339" w:type="dxa"/>
            <w:noWrap/>
            <w:vAlign w:val="bottom"/>
            <w:hideMark/>
          </w:tcPr>
          <w:p w:rsidR="00D338F5" w:rsidRPr="00D338F5" w:rsidRDefault="00D338F5">
            <w:pPr>
              <w:rPr>
                <w:rFonts w:cs="Arial"/>
                <w:b/>
                <w:bCs/>
                <w:i/>
                <w:iCs/>
                <w:sz w:val="20"/>
                <w:szCs w:val="20"/>
              </w:rPr>
            </w:pPr>
            <w:r w:rsidRPr="00D338F5">
              <w:rPr>
                <w:rFonts w:cs="Arial"/>
                <w:b/>
                <w:bCs/>
                <w:i/>
                <w:iCs/>
                <w:sz w:val="20"/>
                <w:szCs w:val="20"/>
              </w:rPr>
              <w:t>Acreditar</w:t>
            </w:r>
          </w:p>
        </w:tc>
      </w:tr>
      <w:tr w:rsidR="00D338F5" w:rsidRPr="00D338F5" w:rsidTr="00D338F5">
        <w:trPr>
          <w:trHeight w:val="255"/>
        </w:trPr>
        <w:tc>
          <w:tcPr>
            <w:tcW w:w="1061" w:type="dxa"/>
            <w:tcBorders>
              <w:top w:val="nil"/>
              <w:left w:val="nil"/>
              <w:bottom w:val="nil"/>
              <w:right w:val="single" w:sz="4" w:space="0" w:color="auto"/>
            </w:tcBorders>
            <w:noWrap/>
            <w:vAlign w:val="bottom"/>
            <w:hideMark/>
          </w:tcPr>
          <w:p w:rsidR="00D338F5" w:rsidRPr="00D338F5" w:rsidRDefault="00D338F5">
            <w:pPr>
              <w:rPr>
                <w:rFonts w:cs="Arial"/>
                <w:b/>
                <w:bCs/>
                <w:i/>
                <w:iCs/>
                <w:sz w:val="20"/>
                <w:szCs w:val="20"/>
              </w:rPr>
            </w:pPr>
            <w:r w:rsidRPr="00D338F5">
              <w:rPr>
                <w:rFonts w:cs="Arial"/>
                <w:b/>
                <w:bCs/>
                <w:i/>
                <w:iCs/>
                <w:sz w:val="20"/>
                <w:szCs w:val="20"/>
              </w:rPr>
              <w:t>Cargar</w:t>
            </w:r>
          </w:p>
        </w:tc>
        <w:tc>
          <w:tcPr>
            <w:tcW w:w="1339" w:type="dxa"/>
            <w:noWrap/>
            <w:vAlign w:val="bottom"/>
            <w:hideMark/>
          </w:tcPr>
          <w:p w:rsidR="00D338F5" w:rsidRPr="00D338F5" w:rsidRDefault="00D338F5">
            <w:pPr>
              <w:rPr>
                <w:rFonts w:cs="Arial"/>
                <w:b/>
                <w:bCs/>
                <w:i/>
                <w:iCs/>
                <w:sz w:val="20"/>
                <w:szCs w:val="20"/>
              </w:rPr>
            </w:pPr>
            <w:r w:rsidRPr="00D338F5">
              <w:rPr>
                <w:rFonts w:cs="Arial"/>
                <w:b/>
                <w:bCs/>
                <w:i/>
                <w:iCs/>
                <w:sz w:val="20"/>
                <w:szCs w:val="20"/>
              </w:rPr>
              <w:t>Abonar</w:t>
            </w:r>
          </w:p>
        </w:tc>
      </w:tr>
      <w:tr w:rsidR="00D338F5" w:rsidRPr="00D338F5" w:rsidTr="00D338F5">
        <w:trPr>
          <w:trHeight w:val="255"/>
        </w:trPr>
        <w:tc>
          <w:tcPr>
            <w:tcW w:w="1061" w:type="dxa"/>
            <w:tcBorders>
              <w:top w:val="nil"/>
              <w:left w:val="nil"/>
              <w:bottom w:val="nil"/>
              <w:right w:val="single" w:sz="4" w:space="0" w:color="auto"/>
            </w:tcBorders>
            <w:noWrap/>
            <w:vAlign w:val="bottom"/>
            <w:hideMark/>
          </w:tcPr>
          <w:p w:rsidR="00D338F5" w:rsidRPr="00D338F5" w:rsidRDefault="00D338F5">
            <w:pPr>
              <w:rPr>
                <w:rFonts w:cs="Arial"/>
                <w:b/>
                <w:bCs/>
                <w:i/>
                <w:iCs/>
                <w:sz w:val="20"/>
                <w:szCs w:val="20"/>
              </w:rPr>
            </w:pPr>
            <w:r w:rsidRPr="00D338F5">
              <w:rPr>
                <w:rFonts w:cs="Arial"/>
                <w:b/>
                <w:bCs/>
                <w:i/>
                <w:iCs/>
                <w:sz w:val="20"/>
                <w:szCs w:val="20"/>
              </w:rPr>
              <w:t> </w:t>
            </w:r>
          </w:p>
        </w:tc>
        <w:tc>
          <w:tcPr>
            <w:tcW w:w="1339" w:type="dxa"/>
            <w:noWrap/>
            <w:vAlign w:val="bottom"/>
          </w:tcPr>
          <w:p w:rsidR="00D338F5" w:rsidRPr="00D338F5" w:rsidRDefault="00D338F5">
            <w:pPr>
              <w:rPr>
                <w:rFonts w:cs="Arial"/>
                <w:b/>
                <w:bCs/>
                <w:i/>
                <w:iCs/>
                <w:sz w:val="20"/>
                <w:szCs w:val="20"/>
              </w:rPr>
            </w:pPr>
          </w:p>
        </w:tc>
      </w:tr>
    </w:tbl>
    <w:p w:rsidR="00D338F5" w:rsidRPr="00D338F5" w:rsidRDefault="00D338F5" w:rsidP="00D338F5">
      <w:pPr>
        <w:jc w:val="both"/>
        <w:rPr>
          <w:rFonts w:cs="Times New Roman"/>
          <w:iCs/>
          <w:sz w:val="20"/>
          <w:szCs w:val="20"/>
        </w:rPr>
      </w:pPr>
    </w:p>
    <w:p w:rsidR="00D338F5" w:rsidRPr="00D338F5" w:rsidRDefault="00D338F5" w:rsidP="00D338F5">
      <w:pPr>
        <w:jc w:val="both"/>
        <w:rPr>
          <w:iCs/>
          <w:sz w:val="20"/>
          <w:szCs w:val="20"/>
        </w:rPr>
      </w:pPr>
      <w:r w:rsidRPr="00D338F5">
        <w:rPr>
          <w:iCs/>
          <w:sz w:val="20"/>
          <w:szCs w:val="20"/>
        </w:rPr>
        <w:t>Toda cuenta a su vez, tiene dos movimientos: movimiento deudor y movimiento acreedor.</w:t>
      </w:r>
    </w:p>
    <w:p w:rsidR="00D338F5" w:rsidRPr="00D338F5" w:rsidRDefault="00D338F5" w:rsidP="00D338F5">
      <w:pPr>
        <w:jc w:val="both"/>
        <w:rPr>
          <w:iCs/>
          <w:sz w:val="20"/>
          <w:szCs w:val="20"/>
        </w:rPr>
      </w:pPr>
      <w:r w:rsidRPr="00D338F5">
        <w:rPr>
          <w:b/>
          <w:iCs/>
          <w:sz w:val="20"/>
          <w:szCs w:val="20"/>
        </w:rPr>
        <w:t>Movimiento de una cuenta</w:t>
      </w:r>
      <w:r w:rsidRPr="00D338F5">
        <w:rPr>
          <w:iCs/>
          <w:sz w:val="20"/>
          <w:szCs w:val="20"/>
        </w:rPr>
        <w:t xml:space="preserve"> es la suma de los cargos y los abonos que esta tiene.</w:t>
      </w:r>
    </w:p>
    <w:p w:rsidR="00D338F5" w:rsidRPr="00D338F5" w:rsidRDefault="00D338F5" w:rsidP="00D338F5">
      <w:pPr>
        <w:jc w:val="both"/>
        <w:rPr>
          <w:iCs/>
          <w:sz w:val="20"/>
          <w:szCs w:val="20"/>
        </w:rPr>
      </w:pPr>
      <w:r w:rsidRPr="00D338F5">
        <w:rPr>
          <w:b/>
          <w:iCs/>
          <w:sz w:val="20"/>
          <w:szCs w:val="20"/>
        </w:rPr>
        <w:t xml:space="preserve">Movimiento deudor </w:t>
      </w:r>
      <w:r w:rsidRPr="00D338F5">
        <w:rPr>
          <w:iCs/>
          <w:sz w:val="20"/>
          <w:szCs w:val="20"/>
        </w:rPr>
        <w:t xml:space="preserve">es la suma de los débitos  o cargos que la cuenta tiene y </w:t>
      </w:r>
      <w:r w:rsidRPr="00D338F5">
        <w:rPr>
          <w:b/>
          <w:iCs/>
          <w:sz w:val="20"/>
          <w:szCs w:val="20"/>
        </w:rPr>
        <w:t>Movimiento Acreedor</w:t>
      </w:r>
      <w:r w:rsidRPr="00D338F5">
        <w:rPr>
          <w:iCs/>
          <w:sz w:val="20"/>
          <w:szCs w:val="20"/>
        </w:rPr>
        <w:t xml:space="preserve"> es la suma de los créditos o abonos de la misma.</w:t>
      </w:r>
    </w:p>
    <w:p w:rsidR="00D338F5" w:rsidRPr="00D338F5" w:rsidRDefault="00D338F5" w:rsidP="00D338F5">
      <w:pPr>
        <w:jc w:val="both"/>
        <w:rPr>
          <w:iCs/>
          <w:sz w:val="20"/>
          <w:szCs w:val="20"/>
        </w:rPr>
      </w:pPr>
      <w:r w:rsidRPr="00D338F5">
        <w:rPr>
          <w:b/>
          <w:iCs/>
          <w:sz w:val="20"/>
          <w:szCs w:val="20"/>
        </w:rPr>
        <w:t>Saldo de una cuenta</w:t>
      </w:r>
      <w:r w:rsidRPr="00D338F5">
        <w:rPr>
          <w:iCs/>
          <w:sz w:val="20"/>
          <w:szCs w:val="20"/>
        </w:rPr>
        <w:t xml:space="preserve"> es la diferencia entre el movimiento deudor y el acreedor y viceversa.</w:t>
      </w:r>
    </w:p>
    <w:p w:rsidR="00D338F5" w:rsidRPr="00D338F5" w:rsidRDefault="00D338F5" w:rsidP="00D338F5">
      <w:pPr>
        <w:jc w:val="both"/>
        <w:rPr>
          <w:iCs/>
          <w:sz w:val="20"/>
          <w:szCs w:val="20"/>
        </w:rPr>
      </w:pPr>
    </w:p>
    <w:tbl>
      <w:tblPr>
        <w:tblW w:w="8673" w:type="dxa"/>
        <w:jc w:val="center"/>
        <w:tblCellMar>
          <w:left w:w="70" w:type="dxa"/>
          <w:right w:w="70" w:type="dxa"/>
        </w:tblCellMar>
        <w:tblLook w:val="04A0" w:firstRow="1" w:lastRow="0" w:firstColumn="1" w:lastColumn="0" w:noHBand="0" w:noVBand="1"/>
      </w:tblPr>
      <w:tblGrid>
        <w:gridCol w:w="2533"/>
        <w:gridCol w:w="1535"/>
        <w:gridCol w:w="1535"/>
        <w:gridCol w:w="1535"/>
        <w:gridCol w:w="1535"/>
      </w:tblGrid>
      <w:tr w:rsidR="00D338F5" w:rsidRPr="00D338F5" w:rsidTr="00D338F5">
        <w:trPr>
          <w:trHeight w:val="263"/>
          <w:jc w:val="center"/>
        </w:trPr>
        <w:tc>
          <w:tcPr>
            <w:tcW w:w="2533" w:type="dxa"/>
            <w:noWrap/>
            <w:vAlign w:val="bottom"/>
          </w:tcPr>
          <w:p w:rsidR="00D338F5" w:rsidRPr="00D338F5" w:rsidRDefault="00D338F5">
            <w:pPr>
              <w:rPr>
                <w:rFonts w:cs="Arial"/>
                <w:sz w:val="20"/>
                <w:szCs w:val="20"/>
              </w:rPr>
            </w:pPr>
          </w:p>
        </w:tc>
        <w:tc>
          <w:tcPr>
            <w:tcW w:w="3070" w:type="dxa"/>
            <w:gridSpan w:val="2"/>
            <w:tcBorders>
              <w:top w:val="nil"/>
              <w:left w:val="nil"/>
              <w:bottom w:val="single" w:sz="4" w:space="0" w:color="auto"/>
              <w:right w:val="nil"/>
            </w:tcBorders>
            <w:noWrap/>
            <w:vAlign w:val="bottom"/>
            <w:hideMark/>
          </w:tcPr>
          <w:p w:rsidR="00D338F5" w:rsidRPr="00D338F5" w:rsidRDefault="00D338F5">
            <w:pPr>
              <w:jc w:val="center"/>
              <w:rPr>
                <w:rFonts w:cs="Arial"/>
                <w:b/>
                <w:bCs/>
                <w:sz w:val="20"/>
                <w:szCs w:val="20"/>
              </w:rPr>
            </w:pPr>
            <w:r w:rsidRPr="00D338F5">
              <w:rPr>
                <w:rFonts w:cs="Arial"/>
                <w:b/>
                <w:bCs/>
                <w:sz w:val="20"/>
                <w:szCs w:val="20"/>
              </w:rPr>
              <w:t>CAJA</w:t>
            </w:r>
          </w:p>
        </w:tc>
        <w:tc>
          <w:tcPr>
            <w:tcW w:w="1535" w:type="dxa"/>
            <w:noWrap/>
            <w:vAlign w:val="bottom"/>
          </w:tcPr>
          <w:p w:rsidR="00D338F5" w:rsidRPr="00D338F5" w:rsidRDefault="00D338F5">
            <w:pPr>
              <w:rPr>
                <w:rFonts w:cs="Arial"/>
                <w:sz w:val="20"/>
                <w:szCs w:val="20"/>
              </w:rPr>
            </w:pPr>
          </w:p>
        </w:tc>
        <w:tc>
          <w:tcPr>
            <w:tcW w:w="1535" w:type="dxa"/>
            <w:noWrap/>
            <w:vAlign w:val="bottom"/>
          </w:tcPr>
          <w:p w:rsidR="00D338F5" w:rsidRPr="00D338F5" w:rsidRDefault="00D338F5">
            <w:pPr>
              <w:rPr>
                <w:rFonts w:cs="Arial"/>
                <w:sz w:val="20"/>
                <w:szCs w:val="20"/>
              </w:rPr>
            </w:pPr>
          </w:p>
        </w:tc>
      </w:tr>
      <w:tr w:rsidR="00D338F5" w:rsidRPr="00D338F5" w:rsidTr="00D338F5">
        <w:trPr>
          <w:trHeight w:val="263"/>
          <w:jc w:val="center"/>
        </w:trPr>
        <w:tc>
          <w:tcPr>
            <w:tcW w:w="2533" w:type="dxa"/>
            <w:noWrap/>
            <w:vAlign w:val="bottom"/>
          </w:tcPr>
          <w:p w:rsidR="00D338F5" w:rsidRPr="00D338F5" w:rsidRDefault="00D338F5">
            <w:pPr>
              <w:rPr>
                <w:rFonts w:cs="Arial"/>
                <w:sz w:val="20"/>
                <w:szCs w:val="20"/>
              </w:rPr>
            </w:pPr>
          </w:p>
        </w:tc>
        <w:tc>
          <w:tcPr>
            <w:tcW w:w="1535" w:type="dxa"/>
            <w:tcBorders>
              <w:top w:val="nil"/>
              <w:left w:val="nil"/>
              <w:bottom w:val="nil"/>
              <w:right w:val="single" w:sz="4" w:space="0" w:color="auto"/>
            </w:tcBorders>
            <w:noWrap/>
            <w:vAlign w:val="bottom"/>
            <w:hideMark/>
          </w:tcPr>
          <w:p w:rsidR="00D338F5" w:rsidRPr="00D338F5" w:rsidRDefault="00D338F5">
            <w:pPr>
              <w:rPr>
                <w:rFonts w:cs="Arial"/>
                <w:b/>
                <w:bCs/>
                <w:i/>
                <w:iCs/>
                <w:sz w:val="20"/>
                <w:szCs w:val="20"/>
              </w:rPr>
            </w:pPr>
            <w:r w:rsidRPr="00D338F5">
              <w:rPr>
                <w:rFonts w:cs="Arial"/>
                <w:b/>
                <w:bCs/>
                <w:i/>
                <w:iCs/>
                <w:sz w:val="20"/>
                <w:szCs w:val="20"/>
              </w:rPr>
              <w:t>Cargos</w:t>
            </w:r>
          </w:p>
        </w:tc>
        <w:tc>
          <w:tcPr>
            <w:tcW w:w="1535" w:type="dxa"/>
            <w:noWrap/>
            <w:vAlign w:val="bottom"/>
            <w:hideMark/>
          </w:tcPr>
          <w:p w:rsidR="00D338F5" w:rsidRPr="00D338F5" w:rsidRDefault="00D338F5">
            <w:pPr>
              <w:rPr>
                <w:rFonts w:cs="Arial"/>
                <w:b/>
                <w:bCs/>
                <w:i/>
                <w:iCs/>
                <w:sz w:val="20"/>
                <w:szCs w:val="20"/>
              </w:rPr>
            </w:pPr>
            <w:r w:rsidRPr="00D338F5">
              <w:rPr>
                <w:rFonts w:cs="Arial"/>
                <w:b/>
                <w:bCs/>
                <w:i/>
                <w:iCs/>
                <w:sz w:val="20"/>
                <w:szCs w:val="20"/>
              </w:rPr>
              <w:t>Abonos</w:t>
            </w:r>
          </w:p>
        </w:tc>
        <w:tc>
          <w:tcPr>
            <w:tcW w:w="1535" w:type="dxa"/>
            <w:noWrap/>
            <w:vAlign w:val="bottom"/>
          </w:tcPr>
          <w:p w:rsidR="00D338F5" w:rsidRPr="00D338F5" w:rsidRDefault="00D338F5">
            <w:pPr>
              <w:rPr>
                <w:rFonts w:cs="Arial"/>
                <w:sz w:val="20"/>
                <w:szCs w:val="20"/>
              </w:rPr>
            </w:pPr>
          </w:p>
        </w:tc>
        <w:tc>
          <w:tcPr>
            <w:tcW w:w="1535" w:type="dxa"/>
            <w:noWrap/>
            <w:vAlign w:val="bottom"/>
          </w:tcPr>
          <w:p w:rsidR="00D338F5" w:rsidRPr="00D338F5" w:rsidRDefault="00D338F5">
            <w:pPr>
              <w:rPr>
                <w:rFonts w:cs="Arial"/>
                <w:sz w:val="20"/>
                <w:szCs w:val="20"/>
              </w:rPr>
            </w:pPr>
          </w:p>
        </w:tc>
      </w:tr>
      <w:tr w:rsidR="00D338F5" w:rsidRPr="00D338F5" w:rsidTr="00D338F5">
        <w:trPr>
          <w:trHeight w:val="263"/>
          <w:jc w:val="center"/>
        </w:trPr>
        <w:tc>
          <w:tcPr>
            <w:tcW w:w="2533" w:type="dxa"/>
            <w:noWrap/>
            <w:vAlign w:val="bottom"/>
          </w:tcPr>
          <w:p w:rsidR="00D338F5" w:rsidRPr="00D338F5" w:rsidRDefault="00D338F5">
            <w:pPr>
              <w:rPr>
                <w:rFonts w:cs="Arial"/>
                <w:sz w:val="20"/>
                <w:szCs w:val="20"/>
              </w:rPr>
            </w:pPr>
          </w:p>
        </w:tc>
        <w:tc>
          <w:tcPr>
            <w:tcW w:w="1535" w:type="dxa"/>
            <w:tcBorders>
              <w:top w:val="nil"/>
              <w:left w:val="nil"/>
              <w:bottom w:val="nil"/>
              <w:right w:val="single" w:sz="4" w:space="0" w:color="auto"/>
            </w:tcBorders>
            <w:noWrap/>
            <w:vAlign w:val="bottom"/>
            <w:hideMark/>
          </w:tcPr>
          <w:p w:rsidR="00D338F5" w:rsidRPr="00D338F5" w:rsidRDefault="00D338F5">
            <w:pPr>
              <w:jc w:val="right"/>
              <w:rPr>
                <w:rFonts w:cs="Arial"/>
                <w:sz w:val="20"/>
                <w:szCs w:val="20"/>
              </w:rPr>
            </w:pPr>
            <w:r w:rsidRPr="00D338F5">
              <w:rPr>
                <w:rFonts w:cs="Arial"/>
                <w:sz w:val="20"/>
                <w:szCs w:val="20"/>
              </w:rPr>
              <w:t>1,500.00</w:t>
            </w:r>
          </w:p>
        </w:tc>
        <w:tc>
          <w:tcPr>
            <w:tcW w:w="1535" w:type="dxa"/>
            <w:noWrap/>
            <w:vAlign w:val="bottom"/>
            <w:hideMark/>
          </w:tcPr>
          <w:p w:rsidR="00D338F5" w:rsidRPr="00D338F5" w:rsidRDefault="00D338F5">
            <w:pPr>
              <w:jc w:val="right"/>
              <w:rPr>
                <w:rFonts w:cs="Arial"/>
                <w:sz w:val="20"/>
                <w:szCs w:val="20"/>
              </w:rPr>
            </w:pPr>
            <w:r w:rsidRPr="00D338F5">
              <w:rPr>
                <w:rFonts w:cs="Arial"/>
                <w:sz w:val="20"/>
                <w:szCs w:val="20"/>
              </w:rPr>
              <w:t>1,000.00</w:t>
            </w:r>
          </w:p>
        </w:tc>
        <w:tc>
          <w:tcPr>
            <w:tcW w:w="1535" w:type="dxa"/>
            <w:noWrap/>
            <w:vAlign w:val="bottom"/>
          </w:tcPr>
          <w:p w:rsidR="00D338F5" w:rsidRPr="00D338F5" w:rsidRDefault="00D338F5">
            <w:pPr>
              <w:rPr>
                <w:rFonts w:cs="Arial"/>
                <w:sz w:val="20"/>
                <w:szCs w:val="20"/>
              </w:rPr>
            </w:pPr>
          </w:p>
        </w:tc>
        <w:tc>
          <w:tcPr>
            <w:tcW w:w="1535" w:type="dxa"/>
            <w:noWrap/>
            <w:vAlign w:val="bottom"/>
          </w:tcPr>
          <w:p w:rsidR="00D338F5" w:rsidRPr="00D338F5" w:rsidRDefault="00D338F5">
            <w:pPr>
              <w:rPr>
                <w:rFonts w:cs="Arial"/>
                <w:sz w:val="20"/>
                <w:szCs w:val="20"/>
              </w:rPr>
            </w:pPr>
          </w:p>
        </w:tc>
      </w:tr>
      <w:tr w:rsidR="00D338F5" w:rsidRPr="00D338F5" w:rsidTr="00D338F5">
        <w:trPr>
          <w:trHeight w:val="263"/>
          <w:jc w:val="center"/>
        </w:trPr>
        <w:tc>
          <w:tcPr>
            <w:tcW w:w="2533" w:type="dxa"/>
            <w:noWrap/>
            <w:vAlign w:val="bottom"/>
          </w:tcPr>
          <w:p w:rsidR="00D338F5" w:rsidRPr="00D338F5" w:rsidRDefault="00D338F5">
            <w:pPr>
              <w:rPr>
                <w:rFonts w:cs="Arial"/>
                <w:sz w:val="20"/>
                <w:szCs w:val="20"/>
              </w:rPr>
            </w:pPr>
          </w:p>
        </w:tc>
        <w:tc>
          <w:tcPr>
            <w:tcW w:w="1535" w:type="dxa"/>
            <w:tcBorders>
              <w:top w:val="nil"/>
              <w:left w:val="nil"/>
              <w:bottom w:val="nil"/>
              <w:right w:val="single" w:sz="4" w:space="0" w:color="auto"/>
            </w:tcBorders>
            <w:noWrap/>
            <w:vAlign w:val="bottom"/>
            <w:hideMark/>
          </w:tcPr>
          <w:p w:rsidR="00D338F5" w:rsidRPr="00D338F5" w:rsidRDefault="00D338F5">
            <w:pPr>
              <w:jc w:val="right"/>
              <w:rPr>
                <w:rFonts w:cs="Arial"/>
                <w:sz w:val="20"/>
                <w:szCs w:val="20"/>
              </w:rPr>
            </w:pPr>
            <w:r w:rsidRPr="00D338F5">
              <w:rPr>
                <w:rFonts w:cs="Arial"/>
                <w:sz w:val="20"/>
                <w:szCs w:val="20"/>
              </w:rPr>
              <w:t>2,000.00</w:t>
            </w:r>
          </w:p>
        </w:tc>
        <w:tc>
          <w:tcPr>
            <w:tcW w:w="1535" w:type="dxa"/>
            <w:noWrap/>
            <w:vAlign w:val="bottom"/>
            <w:hideMark/>
          </w:tcPr>
          <w:p w:rsidR="00D338F5" w:rsidRPr="00D338F5" w:rsidRDefault="00D338F5">
            <w:pPr>
              <w:jc w:val="right"/>
              <w:rPr>
                <w:rFonts w:cs="Arial"/>
                <w:sz w:val="20"/>
                <w:szCs w:val="20"/>
              </w:rPr>
            </w:pPr>
            <w:r w:rsidRPr="00D338F5">
              <w:rPr>
                <w:rFonts w:cs="Arial"/>
                <w:sz w:val="20"/>
                <w:szCs w:val="20"/>
              </w:rPr>
              <w:t>1,200.00</w:t>
            </w:r>
          </w:p>
        </w:tc>
        <w:tc>
          <w:tcPr>
            <w:tcW w:w="1535" w:type="dxa"/>
            <w:noWrap/>
            <w:vAlign w:val="bottom"/>
          </w:tcPr>
          <w:p w:rsidR="00D338F5" w:rsidRPr="00D338F5" w:rsidRDefault="00D338F5">
            <w:pPr>
              <w:rPr>
                <w:rFonts w:cs="Arial"/>
                <w:sz w:val="20"/>
                <w:szCs w:val="20"/>
              </w:rPr>
            </w:pPr>
          </w:p>
        </w:tc>
        <w:tc>
          <w:tcPr>
            <w:tcW w:w="1535" w:type="dxa"/>
            <w:noWrap/>
            <w:vAlign w:val="bottom"/>
          </w:tcPr>
          <w:p w:rsidR="00D338F5" w:rsidRPr="00D338F5" w:rsidRDefault="00D338F5">
            <w:pPr>
              <w:rPr>
                <w:rFonts w:cs="Arial"/>
                <w:sz w:val="20"/>
                <w:szCs w:val="20"/>
              </w:rPr>
            </w:pPr>
          </w:p>
        </w:tc>
      </w:tr>
      <w:tr w:rsidR="00D338F5" w:rsidRPr="00D338F5" w:rsidTr="00D338F5">
        <w:trPr>
          <w:trHeight w:val="263"/>
          <w:jc w:val="center"/>
        </w:trPr>
        <w:tc>
          <w:tcPr>
            <w:tcW w:w="2533" w:type="dxa"/>
            <w:noWrap/>
            <w:vAlign w:val="bottom"/>
          </w:tcPr>
          <w:p w:rsidR="00D338F5" w:rsidRPr="00D338F5" w:rsidRDefault="00D338F5">
            <w:pPr>
              <w:rPr>
                <w:rFonts w:cs="Arial"/>
                <w:sz w:val="20"/>
                <w:szCs w:val="20"/>
              </w:rPr>
            </w:pPr>
          </w:p>
        </w:tc>
        <w:tc>
          <w:tcPr>
            <w:tcW w:w="1535" w:type="dxa"/>
            <w:tcBorders>
              <w:top w:val="nil"/>
              <w:left w:val="nil"/>
              <w:bottom w:val="single" w:sz="4" w:space="0" w:color="auto"/>
              <w:right w:val="single" w:sz="4" w:space="0" w:color="auto"/>
            </w:tcBorders>
            <w:noWrap/>
            <w:vAlign w:val="bottom"/>
            <w:hideMark/>
          </w:tcPr>
          <w:p w:rsidR="00D338F5" w:rsidRPr="00D338F5" w:rsidRDefault="00D338F5">
            <w:pPr>
              <w:jc w:val="right"/>
              <w:rPr>
                <w:rFonts w:cs="Arial"/>
                <w:sz w:val="20"/>
                <w:szCs w:val="20"/>
              </w:rPr>
            </w:pPr>
            <w:r w:rsidRPr="00D338F5">
              <w:rPr>
                <w:rFonts w:cs="Arial"/>
                <w:sz w:val="20"/>
                <w:szCs w:val="20"/>
              </w:rPr>
              <w:t>5,000.00</w:t>
            </w:r>
          </w:p>
        </w:tc>
        <w:tc>
          <w:tcPr>
            <w:tcW w:w="1535" w:type="dxa"/>
            <w:tcBorders>
              <w:top w:val="nil"/>
              <w:left w:val="nil"/>
              <w:bottom w:val="single" w:sz="4" w:space="0" w:color="auto"/>
              <w:right w:val="nil"/>
            </w:tcBorders>
            <w:noWrap/>
            <w:vAlign w:val="bottom"/>
            <w:hideMark/>
          </w:tcPr>
          <w:p w:rsidR="00D338F5" w:rsidRPr="00D338F5" w:rsidRDefault="00D338F5">
            <w:pPr>
              <w:jc w:val="right"/>
              <w:rPr>
                <w:rFonts w:cs="Arial"/>
                <w:sz w:val="20"/>
                <w:szCs w:val="20"/>
              </w:rPr>
            </w:pPr>
            <w:r w:rsidRPr="00D338F5">
              <w:rPr>
                <w:rFonts w:cs="Arial"/>
                <w:sz w:val="20"/>
                <w:szCs w:val="20"/>
              </w:rPr>
              <w:t>3,500.00</w:t>
            </w:r>
          </w:p>
        </w:tc>
        <w:tc>
          <w:tcPr>
            <w:tcW w:w="1535" w:type="dxa"/>
            <w:noWrap/>
            <w:vAlign w:val="bottom"/>
          </w:tcPr>
          <w:p w:rsidR="00D338F5" w:rsidRPr="00D338F5" w:rsidRDefault="00D338F5">
            <w:pPr>
              <w:rPr>
                <w:rFonts w:cs="Arial"/>
                <w:sz w:val="20"/>
                <w:szCs w:val="20"/>
              </w:rPr>
            </w:pPr>
          </w:p>
        </w:tc>
        <w:tc>
          <w:tcPr>
            <w:tcW w:w="1535" w:type="dxa"/>
            <w:noWrap/>
            <w:vAlign w:val="bottom"/>
          </w:tcPr>
          <w:p w:rsidR="00D338F5" w:rsidRPr="00D338F5" w:rsidRDefault="00D338F5">
            <w:pPr>
              <w:rPr>
                <w:rFonts w:cs="Arial"/>
                <w:sz w:val="20"/>
                <w:szCs w:val="20"/>
              </w:rPr>
            </w:pPr>
          </w:p>
        </w:tc>
      </w:tr>
      <w:tr w:rsidR="00D338F5" w:rsidRPr="00D338F5" w:rsidTr="00D338F5">
        <w:trPr>
          <w:trHeight w:val="263"/>
          <w:jc w:val="center"/>
        </w:trPr>
        <w:tc>
          <w:tcPr>
            <w:tcW w:w="2533" w:type="dxa"/>
            <w:noWrap/>
            <w:vAlign w:val="bottom"/>
            <w:hideMark/>
          </w:tcPr>
          <w:p w:rsidR="00D338F5" w:rsidRPr="00D338F5" w:rsidRDefault="00D338F5">
            <w:pPr>
              <w:rPr>
                <w:rFonts w:cs="Arial"/>
                <w:b/>
                <w:bCs/>
                <w:i/>
                <w:iCs/>
                <w:sz w:val="20"/>
                <w:szCs w:val="20"/>
              </w:rPr>
            </w:pPr>
            <w:r w:rsidRPr="00D338F5">
              <w:rPr>
                <w:rFonts w:cs="Arial"/>
                <w:b/>
                <w:bCs/>
                <w:i/>
                <w:iCs/>
                <w:sz w:val="20"/>
                <w:szCs w:val="20"/>
              </w:rPr>
              <w:t>Movimiento Deudor</w:t>
            </w:r>
          </w:p>
        </w:tc>
        <w:tc>
          <w:tcPr>
            <w:tcW w:w="1535" w:type="dxa"/>
            <w:tcBorders>
              <w:top w:val="nil"/>
              <w:left w:val="nil"/>
              <w:bottom w:val="single" w:sz="4" w:space="0" w:color="auto"/>
              <w:right w:val="single" w:sz="4" w:space="0" w:color="auto"/>
            </w:tcBorders>
            <w:noWrap/>
            <w:vAlign w:val="bottom"/>
            <w:hideMark/>
          </w:tcPr>
          <w:p w:rsidR="00D338F5" w:rsidRPr="00D338F5" w:rsidRDefault="00D338F5">
            <w:pPr>
              <w:jc w:val="right"/>
              <w:rPr>
                <w:rFonts w:cs="Arial"/>
                <w:b/>
                <w:bCs/>
                <w:i/>
                <w:iCs/>
                <w:sz w:val="20"/>
                <w:szCs w:val="20"/>
              </w:rPr>
            </w:pPr>
            <w:r w:rsidRPr="00D338F5">
              <w:rPr>
                <w:rFonts w:cs="Arial"/>
                <w:b/>
                <w:bCs/>
                <w:i/>
                <w:iCs/>
                <w:sz w:val="20"/>
                <w:szCs w:val="20"/>
              </w:rPr>
              <w:t>8,500.00</w:t>
            </w:r>
          </w:p>
        </w:tc>
        <w:tc>
          <w:tcPr>
            <w:tcW w:w="1535" w:type="dxa"/>
            <w:tcBorders>
              <w:top w:val="nil"/>
              <w:left w:val="nil"/>
              <w:bottom w:val="single" w:sz="4" w:space="0" w:color="auto"/>
              <w:right w:val="nil"/>
            </w:tcBorders>
            <w:noWrap/>
            <w:vAlign w:val="bottom"/>
            <w:hideMark/>
          </w:tcPr>
          <w:p w:rsidR="00D338F5" w:rsidRPr="00D338F5" w:rsidRDefault="00D338F5">
            <w:pPr>
              <w:jc w:val="right"/>
              <w:rPr>
                <w:rFonts w:cs="Arial"/>
                <w:b/>
                <w:bCs/>
                <w:i/>
                <w:iCs/>
                <w:sz w:val="20"/>
                <w:szCs w:val="20"/>
              </w:rPr>
            </w:pPr>
            <w:r w:rsidRPr="00D338F5">
              <w:rPr>
                <w:rFonts w:cs="Arial"/>
                <w:b/>
                <w:bCs/>
                <w:i/>
                <w:iCs/>
                <w:sz w:val="20"/>
                <w:szCs w:val="20"/>
              </w:rPr>
              <w:t>5,700.00</w:t>
            </w:r>
          </w:p>
        </w:tc>
        <w:tc>
          <w:tcPr>
            <w:tcW w:w="3070" w:type="dxa"/>
            <w:gridSpan w:val="2"/>
            <w:noWrap/>
            <w:vAlign w:val="bottom"/>
            <w:hideMark/>
          </w:tcPr>
          <w:p w:rsidR="00D338F5" w:rsidRPr="00D338F5" w:rsidRDefault="00D338F5">
            <w:pPr>
              <w:rPr>
                <w:rFonts w:cs="Arial"/>
                <w:b/>
                <w:bCs/>
                <w:i/>
                <w:iCs/>
                <w:sz w:val="20"/>
                <w:szCs w:val="20"/>
              </w:rPr>
            </w:pPr>
            <w:r w:rsidRPr="00D338F5">
              <w:rPr>
                <w:rFonts w:cs="Arial"/>
                <w:b/>
                <w:bCs/>
                <w:i/>
                <w:iCs/>
                <w:sz w:val="20"/>
                <w:szCs w:val="20"/>
              </w:rPr>
              <w:t>Movimiento Acreedor</w:t>
            </w:r>
          </w:p>
        </w:tc>
      </w:tr>
      <w:tr w:rsidR="00D338F5" w:rsidRPr="00D338F5" w:rsidTr="00D338F5">
        <w:trPr>
          <w:trHeight w:val="279"/>
          <w:jc w:val="center"/>
        </w:trPr>
        <w:tc>
          <w:tcPr>
            <w:tcW w:w="2533" w:type="dxa"/>
            <w:noWrap/>
            <w:vAlign w:val="bottom"/>
            <w:hideMark/>
          </w:tcPr>
          <w:p w:rsidR="00D338F5" w:rsidRPr="00D338F5" w:rsidRDefault="00D338F5">
            <w:pPr>
              <w:rPr>
                <w:rFonts w:cs="Arial"/>
                <w:b/>
                <w:bCs/>
                <w:sz w:val="20"/>
                <w:szCs w:val="20"/>
              </w:rPr>
            </w:pPr>
            <w:r w:rsidRPr="00D338F5">
              <w:rPr>
                <w:rFonts w:cs="Arial"/>
                <w:b/>
                <w:bCs/>
                <w:sz w:val="20"/>
                <w:szCs w:val="20"/>
              </w:rPr>
              <w:t>Saldo deudor</w:t>
            </w:r>
          </w:p>
        </w:tc>
        <w:tc>
          <w:tcPr>
            <w:tcW w:w="1535" w:type="dxa"/>
            <w:tcBorders>
              <w:top w:val="nil"/>
              <w:left w:val="nil"/>
              <w:bottom w:val="double" w:sz="6" w:space="0" w:color="auto"/>
              <w:right w:val="single" w:sz="4" w:space="0" w:color="auto"/>
            </w:tcBorders>
            <w:noWrap/>
            <w:vAlign w:val="bottom"/>
            <w:hideMark/>
          </w:tcPr>
          <w:p w:rsidR="00D338F5" w:rsidRPr="00D338F5" w:rsidRDefault="00D338F5">
            <w:pPr>
              <w:jc w:val="right"/>
              <w:rPr>
                <w:rFonts w:cs="Arial"/>
                <w:b/>
                <w:bCs/>
                <w:sz w:val="20"/>
                <w:szCs w:val="20"/>
              </w:rPr>
            </w:pPr>
            <w:r w:rsidRPr="00D338F5">
              <w:rPr>
                <w:rFonts w:cs="Arial"/>
                <w:b/>
                <w:bCs/>
                <w:sz w:val="20"/>
                <w:szCs w:val="20"/>
              </w:rPr>
              <w:t>2,800.00</w:t>
            </w:r>
          </w:p>
        </w:tc>
        <w:tc>
          <w:tcPr>
            <w:tcW w:w="1535" w:type="dxa"/>
            <w:noWrap/>
            <w:vAlign w:val="bottom"/>
          </w:tcPr>
          <w:p w:rsidR="00D338F5" w:rsidRPr="00D338F5" w:rsidRDefault="00D338F5">
            <w:pPr>
              <w:jc w:val="right"/>
              <w:rPr>
                <w:rFonts w:cs="Arial"/>
                <w:sz w:val="20"/>
                <w:szCs w:val="20"/>
              </w:rPr>
            </w:pPr>
          </w:p>
        </w:tc>
        <w:tc>
          <w:tcPr>
            <w:tcW w:w="1535" w:type="dxa"/>
            <w:noWrap/>
            <w:vAlign w:val="bottom"/>
          </w:tcPr>
          <w:p w:rsidR="00D338F5" w:rsidRPr="00D338F5" w:rsidRDefault="00D338F5">
            <w:pPr>
              <w:rPr>
                <w:rFonts w:cs="Arial"/>
                <w:sz w:val="20"/>
                <w:szCs w:val="20"/>
              </w:rPr>
            </w:pPr>
          </w:p>
        </w:tc>
        <w:tc>
          <w:tcPr>
            <w:tcW w:w="1535" w:type="dxa"/>
            <w:noWrap/>
            <w:vAlign w:val="bottom"/>
          </w:tcPr>
          <w:p w:rsidR="00D338F5" w:rsidRPr="00D338F5" w:rsidRDefault="00D338F5">
            <w:pPr>
              <w:rPr>
                <w:rFonts w:cs="Arial"/>
                <w:sz w:val="20"/>
                <w:szCs w:val="20"/>
              </w:rPr>
            </w:pPr>
          </w:p>
        </w:tc>
      </w:tr>
      <w:tr w:rsidR="00D338F5" w:rsidRPr="00D338F5" w:rsidTr="00D338F5">
        <w:trPr>
          <w:trHeight w:val="279"/>
          <w:jc w:val="center"/>
        </w:trPr>
        <w:tc>
          <w:tcPr>
            <w:tcW w:w="2533" w:type="dxa"/>
            <w:noWrap/>
            <w:vAlign w:val="bottom"/>
          </w:tcPr>
          <w:p w:rsidR="00D338F5" w:rsidRPr="00D338F5" w:rsidRDefault="00D338F5">
            <w:pPr>
              <w:rPr>
                <w:rFonts w:cs="Arial"/>
                <w:sz w:val="20"/>
                <w:szCs w:val="20"/>
              </w:rPr>
            </w:pPr>
          </w:p>
        </w:tc>
        <w:tc>
          <w:tcPr>
            <w:tcW w:w="1535" w:type="dxa"/>
            <w:tcBorders>
              <w:top w:val="nil"/>
              <w:left w:val="nil"/>
              <w:bottom w:val="nil"/>
              <w:right w:val="single" w:sz="4" w:space="0" w:color="auto"/>
            </w:tcBorders>
            <w:noWrap/>
            <w:vAlign w:val="bottom"/>
            <w:hideMark/>
          </w:tcPr>
          <w:p w:rsidR="00D338F5" w:rsidRPr="00D338F5" w:rsidRDefault="00D338F5">
            <w:pPr>
              <w:rPr>
                <w:rFonts w:cs="Arial"/>
                <w:sz w:val="20"/>
                <w:szCs w:val="20"/>
              </w:rPr>
            </w:pPr>
            <w:r w:rsidRPr="00D338F5">
              <w:rPr>
                <w:rFonts w:cs="Arial"/>
                <w:sz w:val="20"/>
                <w:szCs w:val="20"/>
              </w:rPr>
              <w:t> </w:t>
            </w:r>
          </w:p>
        </w:tc>
        <w:tc>
          <w:tcPr>
            <w:tcW w:w="1535" w:type="dxa"/>
            <w:noWrap/>
            <w:vAlign w:val="bottom"/>
          </w:tcPr>
          <w:p w:rsidR="00D338F5" w:rsidRPr="00D338F5" w:rsidRDefault="00D338F5">
            <w:pPr>
              <w:rPr>
                <w:rFonts w:cs="Arial"/>
                <w:sz w:val="20"/>
                <w:szCs w:val="20"/>
              </w:rPr>
            </w:pPr>
          </w:p>
        </w:tc>
        <w:tc>
          <w:tcPr>
            <w:tcW w:w="1535" w:type="dxa"/>
            <w:noWrap/>
            <w:vAlign w:val="bottom"/>
          </w:tcPr>
          <w:p w:rsidR="00D338F5" w:rsidRPr="00D338F5" w:rsidRDefault="00D338F5">
            <w:pPr>
              <w:rPr>
                <w:rFonts w:cs="Arial"/>
                <w:sz w:val="20"/>
                <w:szCs w:val="20"/>
              </w:rPr>
            </w:pPr>
          </w:p>
        </w:tc>
        <w:tc>
          <w:tcPr>
            <w:tcW w:w="1535" w:type="dxa"/>
            <w:noWrap/>
            <w:vAlign w:val="bottom"/>
          </w:tcPr>
          <w:p w:rsidR="00D338F5" w:rsidRPr="00D338F5" w:rsidRDefault="00D338F5">
            <w:pPr>
              <w:rPr>
                <w:rFonts w:cs="Arial"/>
                <w:sz w:val="20"/>
                <w:szCs w:val="20"/>
              </w:rPr>
            </w:pPr>
          </w:p>
        </w:tc>
      </w:tr>
    </w:tbl>
    <w:p w:rsidR="00D338F5" w:rsidRPr="00D338F5" w:rsidRDefault="00D338F5" w:rsidP="00D338F5">
      <w:pPr>
        <w:jc w:val="both"/>
        <w:rPr>
          <w:rFonts w:cs="Times New Roman"/>
          <w:iCs/>
          <w:sz w:val="20"/>
          <w:szCs w:val="20"/>
        </w:rPr>
      </w:pPr>
    </w:p>
    <w:p w:rsidR="00D338F5" w:rsidRPr="00D338F5" w:rsidRDefault="00D338F5" w:rsidP="00D338F5">
      <w:pPr>
        <w:jc w:val="both"/>
        <w:rPr>
          <w:iCs/>
          <w:sz w:val="20"/>
          <w:szCs w:val="20"/>
        </w:rPr>
      </w:pPr>
      <w:r w:rsidRPr="00D338F5">
        <w:rPr>
          <w:b/>
          <w:iCs/>
          <w:sz w:val="20"/>
          <w:szCs w:val="20"/>
        </w:rPr>
        <w:t>Saldo deudor</w:t>
      </w:r>
      <w:r w:rsidRPr="00D338F5">
        <w:rPr>
          <w:iCs/>
          <w:sz w:val="20"/>
          <w:szCs w:val="20"/>
        </w:rPr>
        <w:t>: Una cuenta tiene saldo deudor, cuando su movimiento deudor es mayor que el acreedor, en el ejemplo, Caja,  tiene saldo deudor.</w:t>
      </w:r>
    </w:p>
    <w:p w:rsidR="00D338F5" w:rsidRPr="00D338F5" w:rsidRDefault="00D338F5" w:rsidP="00D338F5">
      <w:pPr>
        <w:jc w:val="both"/>
        <w:rPr>
          <w:iCs/>
          <w:sz w:val="20"/>
          <w:szCs w:val="20"/>
        </w:rPr>
      </w:pPr>
      <w:r w:rsidRPr="00D338F5">
        <w:rPr>
          <w:iCs/>
          <w:sz w:val="20"/>
          <w:szCs w:val="20"/>
        </w:rPr>
        <w:t xml:space="preserve">La cuenta </w:t>
      </w:r>
      <w:r w:rsidRPr="00D338F5">
        <w:rPr>
          <w:b/>
          <w:iCs/>
          <w:sz w:val="20"/>
          <w:szCs w:val="20"/>
        </w:rPr>
        <w:t>Caja</w:t>
      </w:r>
      <w:r w:rsidRPr="00D338F5">
        <w:rPr>
          <w:iCs/>
          <w:sz w:val="20"/>
          <w:szCs w:val="20"/>
        </w:rPr>
        <w:t xml:space="preserve"> siempre reflejará un saldo deudor, ya que no se puede entregar más dinero del que se dispone.</w:t>
      </w:r>
    </w:p>
    <w:p w:rsidR="00D338F5" w:rsidRPr="00D338F5" w:rsidRDefault="00D338F5" w:rsidP="00D338F5">
      <w:pPr>
        <w:jc w:val="both"/>
        <w:rPr>
          <w:iCs/>
          <w:sz w:val="20"/>
          <w:szCs w:val="20"/>
        </w:rPr>
      </w:pPr>
      <w:r w:rsidRPr="00D338F5">
        <w:rPr>
          <w:iCs/>
          <w:sz w:val="20"/>
          <w:szCs w:val="20"/>
        </w:rPr>
        <w:t>Saldo acreedor: Una cuenta tiene saldo acreedor, cuando su movimiento acreedor es mayor que el deudor.</w:t>
      </w:r>
    </w:p>
    <w:p w:rsidR="00D338F5" w:rsidRPr="00D338F5" w:rsidRDefault="00D338F5" w:rsidP="00D338F5">
      <w:pPr>
        <w:jc w:val="both"/>
        <w:rPr>
          <w:iCs/>
          <w:sz w:val="20"/>
          <w:szCs w:val="20"/>
        </w:rPr>
      </w:pPr>
      <w:r w:rsidRPr="00D338F5">
        <w:rPr>
          <w:iCs/>
          <w:sz w:val="20"/>
          <w:szCs w:val="20"/>
        </w:rPr>
        <w:t>Tomaremos como ejemplo la cuenta Retenciones por Pagar (cuenta de Pasivo)</w:t>
      </w:r>
    </w:p>
    <w:tbl>
      <w:tblPr>
        <w:tblW w:w="4522" w:type="dxa"/>
        <w:tblInd w:w="55" w:type="dxa"/>
        <w:tblCellMar>
          <w:left w:w="70" w:type="dxa"/>
          <w:right w:w="70" w:type="dxa"/>
        </w:tblCellMar>
        <w:tblLook w:val="04A0" w:firstRow="1" w:lastRow="0" w:firstColumn="1" w:lastColumn="0" w:noHBand="0" w:noVBand="1"/>
      </w:tblPr>
      <w:tblGrid>
        <w:gridCol w:w="1423"/>
        <w:gridCol w:w="1443"/>
        <w:gridCol w:w="1656"/>
      </w:tblGrid>
      <w:tr w:rsidR="00D338F5" w:rsidRPr="00D338F5" w:rsidTr="00D338F5">
        <w:trPr>
          <w:trHeight w:val="252"/>
        </w:trPr>
        <w:tc>
          <w:tcPr>
            <w:tcW w:w="2866" w:type="dxa"/>
            <w:gridSpan w:val="2"/>
            <w:tcBorders>
              <w:top w:val="nil"/>
              <w:left w:val="nil"/>
              <w:bottom w:val="single" w:sz="4" w:space="0" w:color="auto"/>
              <w:right w:val="nil"/>
            </w:tcBorders>
            <w:noWrap/>
            <w:vAlign w:val="bottom"/>
            <w:hideMark/>
          </w:tcPr>
          <w:p w:rsidR="00D338F5" w:rsidRPr="00D338F5" w:rsidRDefault="00D338F5">
            <w:pPr>
              <w:jc w:val="center"/>
              <w:rPr>
                <w:rFonts w:cs="Arial"/>
                <w:b/>
                <w:bCs/>
                <w:sz w:val="20"/>
                <w:szCs w:val="20"/>
              </w:rPr>
            </w:pPr>
            <w:r w:rsidRPr="00D338F5">
              <w:rPr>
                <w:rFonts w:cs="Arial"/>
                <w:b/>
                <w:bCs/>
                <w:sz w:val="20"/>
                <w:szCs w:val="20"/>
              </w:rPr>
              <w:t>Retenciones por Pagar</w:t>
            </w:r>
          </w:p>
        </w:tc>
        <w:tc>
          <w:tcPr>
            <w:tcW w:w="1656" w:type="dxa"/>
            <w:noWrap/>
            <w:vAlign w:val="bottom"/>
          </w:tcPr>
          <w:p w:rsidR="00D338F5" w:rsidRPr="00D338F5" w:rsidRDefault="00D338F5">
            <w:pPr>
              <w:rPr>
                <w:rFonts w:cs="Arial"/>
                <w:sz w:val="20"/>
                <w:szCs w:val="20"/>
              </w:rPr>
            </w:pPr>
          </w:p>
        </w:tc>
      </w:tr>
      <w:tr w:rsidR="00D338F5" w:rsidRPr="00D338F5" w:rsidTr="00D338F5">
        <w:trPr>
          <w:trHeight w:val="252"/>
        </w:trPr>
        <w:tc>
          <w:tcPr>
            <w:tcW w:w="1423" w:type="dxa"/>
            <w:tcBorders>
              <w:top w:val="nil"/>
              <w:left w:val="nil"/>
              <w:bottom w:val="nil"/>
              <w:right w:val="single" w:sz="4" w:space="0" w:color="auto"/>
            </w:tcBorders>
            <w:noWrap/>
            <w:vAlign w:val="bottom"/>
            <w:hideMark/>
          </w:tcPr>
          <w:p w:rsidR="00D338F5" w:rsidRPr="00D338F5" w:rsidRDefault="00D338F5">
            <w:pPr>
              <w:rPr>
                <w:rFonts w:cs="Arial"/>
                <w:b/>
                <w:bCs/>
                <w:i/>
                <w:iCs/>
                <w:sz w:val="20"/>
                <w:szCs w:val="20"/>
              </w:rPr>
            </w:pPr>
            <w:r w:rsidRPr="00D338F5">
              <w:rPr>
                <w:rFonts w:cs="Arial"/>
                <w:b/>
                <w:bCs/>
                <w:i/>
                <w:iCs/>
                <w:sz w:val="20"/>
                <w:szCs w:val="20"/>
              </w:rPr>
              <w:t>CARGOS</w:t>
            </w:r>
          </w:p>
        </w:tc>
        <w:tc>
          <w:tcPr>
            <w:tcW w:w="1443" w:type="dxa"/>
            <w:noWrap/>
            <w:vAlign w:val="bottom"/>
            <w:hideMark/>
          </w:tcPr>
          <w:p w:rsidR="00D338F5" w:rsidRPr="00D338F5" w:rsidRDefault="00D338F5">
            <w:pPr>
              <w:rPr>
                <w:rFonts w:cs="Arial"/>
                <w:b/>
                <w:bCs/>
                <w:i/>
                <w:iCs/>
                <w:sz w:val="20"/>
                <w:szCs w:val="20"/>
              </w:rPr>
            </w:pPr>
            <w:r w:rsidRPr="00D338F5">
              <w:rPr>
                <w:rFonts w:cs="Arial"/>
                <w:b/>
                <w:bCs/>
                <w:i/>
                <w:iCs/>
                <w:sz w:val="20"/>
                <w:szCs w:val="20"/>
              </w:rPr>
              <w:t>ABONOS</w:t>
            </w:r>
          </w:p>
        </w:tc>
        <w:tc>
          <w:tcPr>
            <w:tcW w:w="1656" w:type="dxa"/>
            <w:noWrap/>
            <w:vAlign w:val="bottom"/>
          </w:tcPr>
          <w:p w:rsidR="00D338F5" w:rsidRPr="00D338F5" w:rsidRDefault="00D338F5">
            <w:pPr>
              <w:rPr>
                <w:rFonts w:cs="Arial"/>
                <w:sz w:val="20"/>
                <w:szCs w:val="20"/>
              </w:rPr>
            </w:pPr>
          </w:p>
        </w:tc>
      </w:tr>
      <w:tr w:rsidR="00D338F5" w:rsidRPr="00D338F5" w:rsidTr="00D338F5">
        <w:trPr>
          <w:trHeight w:val="252"/>
        </w:trPr>
        <w:tc>
          <w:tcPr>
            <w:tcW w:w="1423" w:type="dxa"/>
            <w:tcBorders>
              <w:top w:val="nil"/>
              <w:left w:val="nil"/>
              <w:bottom w:val="nil"/>
              <w:right w:val="single" w:sz="4" w:space="0" w:color="auto"/>
            </w:tcBorders>
            <w:noWrap/>
            <w:vAlign w:val="bottom"/>
            <w:hideMark/>
          </w:tcPr>
          <w:p w:rsidR="00D338F5" w:rsidRPr="00D338F5" w:rsidRDefault="00D338F5">
            <w:pPr>
              <w:jc w:val="right"/>
              <w:rPr>
                <w:rFonts w:cs="Arial"/>
                <w:i/>
                <w:iCs/>
                <w:sz w:val="20"/>
                <w:szCs w:val="20"/>
              </w:rPr>
            </w:pPr>
            <w:r w:rsidRPr="00D338F5">
              <w:rPr>
                <w:rFonts w:cs="Arial"/>
                <w:i/>
                <w:iCs/>
                <w:sz w:val="20"/>
                <w:szCs w:val="20"/>
              </w:rPr>
              <w:t>3,500.00</w:t>
            </w:r>
          </w:p>
        </w:tc>
        <w:tc>
          <w:tcPr>
            <w:tcW w:w="1443" w:type="dxa"/>
            <w:noWrap/>
            <w:vAlign w:val="bottom"/>
            <w:hideMark/>
          </w:tcPr>
          <w:p w:rsidR="00D338F5" w:rsidRPr="00D338F5" w:rsidRDefault="00D338F5">
            <w:pPr>
              <w:jc w:val="right"/>
              <w:rPr>
                <w:rFonts w:cs="Arial"/>
                <w:i/>
                <w:iCs/>
                <w:sz w:val="20"/>
                <w:szCs w:val="20"/>
              </w:rPr>
            </w:pPr>
            <w:r w:rsidRPr="00D338F5">
              <w:rPr>
                <w:rFonts w:cs="Arial"/>
                <w:i/>
                <w:iCs/>
                <w:sz w:val="20"/>
                <w:szCs w:val="20"/>
              </w:rPr>
              <w:t>15,000.00</w:t>
            </w:r>
          </w:p>
        </w:tc>
        <w:tc>
          <w:tcPr>
            <w:tcW w:w="1656" w:type="dxa"/>
            <w:noWrap/>
            <w:vAlign w:val="bottom"/>
          </w:tcPr>
          <w:p w:rsidR="00D338F5" w:rsidRPr="00D338F5" w:rsidRDefault="00D338F5">
            <w:pPr>
              <w:rPr>
                <w:rFonts w:cs="Arial"/>
                <w:sz w:val="20"/>
                <w:szCs w:val="20"/>
              </w:rPr>
            </w:pPr>
          </w:p>
        </w:tc>
      </w:tr>
      <w:tr w:rsidR="00D338F5" w:rsidRPr="00D338F5" w:rsidTr="00D338F5">
        <w:trPr>
          <w:trHeight w:val="252"/>
        </w:trPr>
        <w:tc>
          <w:tcPr>
            <w:tcW w:w="1423" w:type="dxa"/>
            <w:tcBorders>
              <w:top w:val="nil"/>
              <w:left w:val="nil"/>
              <w:bottom w:val="nil"/>
              <w:right w:val="single" w:sz="4" w:space="0" w:color="auto"/>
            </w:tcBorders>
            <w:noWrap/>
            <w:vAlign w:val="bottom"/>
            <w:hideMark/>
          </w:tcPr>
          <w:p w:rsidR="00D338F5" w:rsidRPr="00D338F5" w:rsidRDefault="00D338F5">
            <w:pPr>
              <w:jc w:val="right"/>
              <w:rPr>
                <w:rFonts w:cs="Arial"/>
                <w:i/>
                <w:iCs/>
                <w:sz w:val="20"/>
                <w:szCs w:val="20"/>
              </w:rPr>
            </w:pPr>
            <w:r w:rsidRPr="00D338F5">
              <w:rPr>
                <w:rFonts w:cs="Arial"/>
                <w:i/>
                <w:iCs/>
                <w:sz w:val="20"/>
                <w:szCs w:val="20"/>
              </w:rPr>
              <w:t>2,000.00</w:t>
            </w:r>
          </w:p>
        </w:tc>
        <w:tc>
          <w:tcPr>
            <w:tcW w:w="1443" w:type="dxa"/>
            <w:noWrap/>
            <w:vAlign w:val="bottom"/>
          </w:tcPr>
          <w:p w:rsidR="00D338F5" w:rsidRPr="00D338F5" w:rsidRDefault="00D338F5">
            <w:pPr>
              <w:rPr>
                <w:rFonts w:cs="Arial"/>
                <w:i/>
                <w:iCs/>
                <w:sz w:val="20"/>
                <w:szCs w:val="20"/>
              </w:rPr>
            </w:pPr>
          </w:p>
        </w:tc>
        <w:tc>
          <w:tcPr>
            <w:tcW w:w="1656" w:type="dxa"/>
            <w:noWrap/>
            <w:vAlign w:val="bottom"/>
          </w:tcPr>
          <w:p w:rsidR="00D338F5" w:rsidRPr="00D338F5" w:rsidRDefault="00D338F5">
            <w:pPr>
              <w:rPr>
                <w:rFonts w:cs="Arial"/>
                <w:sz w:val="20"/>
                <w:szCs w:val="20"/>
              </w:rPr>
            </w:pPr>
          </w:p>
        </w:tc>
      </w:tr>
      <w:tr w:rsidR="00D338F5" w:rsidRPr="00D338F5" w:rsidTr="00D338F5">
        <w:trPr>
          <w:trHeight w:val="252"/>
        </w:trPr>
        <w:tc>
          <w:tcPr>
            <w:tcW w:w="1423" w:type="dxa"/>
            <w:tcBorders>
              <w:top w:val="nil"/>
              <w:left w:val="nil"/>
              <w:bottom w:val="single" w:sz="4" w:space="0" w:color="auto"/>
              <w:right w:val="single" w:sz="4" w:space="0" w:color="auto"/>
            </w:tcBorders>
            <w:noWrap/>
            <w:vAlign w:val="bottom"/>
            <w:hideMark/>
          </w:tcPr>
          <w:p w:rsidR="00D338F5" w:rsidRPr="00D338F5" w:rsidRDefault="00D338F5">
            <w:pPr>
              <w:jc w:val="right"/>
              <w:rPr>
                <w:rFonts w:cs="Arial"/>
                <w:i/>
                <w:iCs/>
                <w:sz w:val="20"/>
                <w:szCs w:val="20"/>
              </w:rPr>
            </w:pPr>
            <w:r w:rsidRPr="00D338F5">
              <w:rPr>
                <w:rFonts w:cs="Arial"/>
                <w:i/>
                <w:iCs/>
                <w:sz w:val="20"/>
                <w:szCs w:val="20"/>
              </w:rPr>
              <w:t>3,200.00</w:t>
            </w:r>
          </w:p>
        </w:tc>
        <w:tc>
          <w:tcPr>
            <w:tcW w:w="1443" w:type="dxa"/>
            <w:tcBorders>
              <w:top w:val="nil"/>
              <w:left w:val="nil"/>
              <w:bottom w:val="single" w:sz="4" w:space="0" w:color="auto"/>
              <w:right w:val="nil"/>
            </w:tcBorders>
            <w:noWrap/>
            <w:vAlign w:val="bottom"/>
            <w:hideMark/>
          </w:tcPr>
          <w:p w:rsidR="00D338F5" w:rsidRPr="00D338F5" w:rsidRDefault="00D338F5">
            <w:pPr>
              <w:rPr>
                <w:rFonts w:cs="Arial"/>
                <w:i/>
                <w:iCs/>
                <w:sz w:val="20"/>
                <w:szCs w:val="20"/>
              </w:rPr>
            </w:pPr>
            <w:r w:rsidRPr="00D338F5">
              <w:rPr>
                <w:rFonts w:cs="Arial"/>
                <w:i/>
                <w:iCs/>
                <w:sz w:val="20"/>
                <w:szCs w:val="20"/>
              </w:rPr>
              <w:t> </w:t>
            </w:r>
          </w:p>
        </w:tc>
        <w:tc>
          <w:tcPr>
            <w:tcW w:w="1656" w:type="dxa"/>
            <w:noWrap/>
            <w:vAlign w:val="bottom"/>
          </w:tcPr>
          <w:p w:rsidR="00D338F5" w:rsidRPr="00D338F5" w:rsidRDefault="00D338F5">
            <w:pPr>
              <w:rPr>
                <w:rFonts w:cs="Arial"/>
                <w:sz w:val="20"/>
                <w:szCs w:val="20"/>
              </w:rPr>
            </w:pPr>
          </w:p>
        </w:tc>
      </w:tr>
      <w:tr w:rsidR="00D338F5" w:rsidRPr="00D338F5" w:rsidTr="00D338F5">
        <w:trPr>
          <w:trHeight w:val="252"/>
        </w:trPr>
        <w:tc>
          <w:tcPr>
            <w:tcW w:w="1423" w:type="dxa"/>
            <w:tcBorders>
              <w:top w:val="nil"/>
              <w:left w:val="nil"/>
              <w:bottom w:val="nil"/>
              <w:right w:val="single" w:sz="4" w:space="0" w:color="auto"/>
            </w:tcBorders>
            <w:noWrap/>
            <w:vAlign w:val="bottom"/>
            <w:hideMark/>
          </w:tcPr>
          <w:p w:rsidR="00D338F5" w:rsidRPr="00D338F5" w:rsidRDefault="00D338F5">
            <w:pPr>
              <w:jc w:val="right"/>
              <w:rPr>
                <w:rFonts w:cs="Arial"/>
                <w:b/>
                <w:bCs/>
                <w:i/>
                <w:iCs/>
                <w:sz w:val="20"/>
                <w:szCs w:val="20"/>
              </w:rPr>
            </w:pPr>
            <w:r w:rsidRPr="00D338F5">
              <w:rPr>
                <w:rFonts w:cs="Arial"/>
                <w:b/>
                <w:bCs/>
                <w:i/>
                <w:iCs/>
                <w:sz w:val="20"/>
                <w:szCs w:val="20"/>
              </w:rPr>
              <w:t>8,700.00</w:t>
            </w:r>
          </w:p>
        </w:tc>
        <w:tc>
          <w:tcPr>
            <w:tcW w:w="1443" w:type="dxa"/>
            <w:noWrap/>
            <w:vAlign w:val="bottom"/>
            <w:hideMark/>
          </w:tcPr>
          <w:p w:rsidR="00D338F5" w:rsidRPr="00D338F5" w:rsidRDefault="00D338F5">
            <w:pPr>
              <w:jc w:val="right"/>
              <w:rPr>
                <w:rFonts w:cs="Arial"/>
                <w:b/>
                <w:bCs/>
                <w:i/>
                <w:iCs/>
                <w:sz w:val="20"/>
                <w:szCs w:val="20"/>
              </w:rPr>
            </w:pPr>
            <w:r w:rsidRPr="00D338F5">
              <w:rPr>
                <w:rFonts w:cs="Arial"/>
                <w:b/>
                <w:bCs/>
                <w:i/>
                <w:iCs/>
                <w:sz w:val="20"/>
                <w:szCs w:val="20"/>
              </w:rPr>
              <w:t>15,000.00</w:t>
            </w:r>
          </w:p>
        </w:tc>
        <w:tc>
          <w:tcPr>
            <w:tcW w:w="1656" w:type="dxa"/>
            <w:noWrap/>
            <w:vAlign w:val="bottom"/>
          </w:tcPr>
          <w:p w:rsidR="00D338F5" w:rsidRPr="00D338F5" w:rsidRDefault="00D338F5">
            <w:pPr>
              <w:rPr>
                <w:rFonts w:cs="Arial"/>
                <w:sz w:val="20"/>
                <w:szCs w:val="20"/>
              </w:rPr>
            </w:pPr>
          </w:p>
        </w:tc>
      </w:tr>
      <w:tr w:rsidR="00D338F5" w:rsidRPr="00D338F5" w:rsidTr="00D338F5">
        <w:trPr>
          <w:trHeight w:val="267"/>
        </w:trPr>
        <w:tc>
          <w:tcPr>
            <w:tcW w:w="1423" w:type="dxa"/>
            <w:tcBorders>
              <w:top w:val="single" w:sz="4" w:space="0" w:color="auto"/>
              <w:left w:val="nil"/>
              <w:bottom w:val="double" w:sz="6" w:space="0" w:color="auto"/>
              <w:right w:val="single" w:sz="4" w:space="0" w:color="auto"/>
            </w:tcBorders>
            <w:noWrap/>
            <w:vAlign w:val="bottom"/>
            <w:hideMark/>
          </w:tcPr>
          <w:p w:rsidR="00D338F5" w:rsidRPr="00D338F5" w:rsidRDefault="00D338F5">
            <w:pPr>
              <w:rPr>
                <w:rFonts w:cs="Arial"/>
                <w:i/>
                <w:iCs/>
                <w:sz w:val="20"/>
                <w:szCs w:val="20"/>
              </w:rPr>
            </w:pPr>
            <w:r w:rsidRPr="00D338F5">
              <w:rPr>
                <w:rFonts w:cs="Arial"/>
                <w:i/>
                <w:iCs/>
                <w:sz w:val="20"/>
                <w:szCs w:val="20"/>
              </w:rPr>
              <w:t> </w:t>
            </w:r>
          </w:p>
        </w:tc>
        <w:tc>
          <w:tcPr>
            <w:tcW w:w="1443" w:type="dxa"/>
            <w:tcBorders>
              <w:top w:val="single" w:sz="4" w:space="0" w:color="auto"/>
              <w:left w:val="nil"/>
              <w:bottom w:val="double" w:sz="6" w:space="0" w:color="auto"/>
              <w:right w:val="nil"/>
            </w:tcBorders>
            <w:noWrap/>
            <w:vAlign w:val="bottom"/>
            <w:hideMark/>
          </w:tcPr>
          <w:p w:rsidR="00D338F5" w:rsidRPr="00D338F5" w:rsidRDefault="00D338F5">
            <w:pPr>
              <w:jc w:val="right"/>
              <w:rPr>
                <w:rFonts w:cs="Arial"/>
                <w:b/>
                <w:bCs/>
                <w:i/>
                <w:iCs/>
                <w:sz w:val="20"/>
                <w:szCs w:val="20"/>
              </w:rPr>
            </w:pPr>
            <w:r w:rsidRPr="00D338F5">
              <w:rPr>
                <w:rFonts w:cs="Arial"/>
                <w:b/>
                <w:bCs/>
                <w:i/>
                <w:iCs/>
                <w:sz w:val="20"/>
                <w:szCs w:val="20"/>
              </w:rPr>
              <w:t>6,300.00</w:t>
            </w:r>
          </w:p>
        </w:tc>
        <w:tc>
          <w:tcPr>
            <w:tcW w:w="1656" w:type="dxa"/>
            <w:noWrap/>
            <w:vAlign w:val="bottom"/>
            <w:hideMark/>
          </w:tcPr>
          <w:p w:rsidR="00D338F5" w:rsidRPr="00D338F5" w:rsidRDefault="00D338F5">
            <w:pPr>
              <w:rPr>
                <w:rFonts w:cs="Arial"/>
                <w:sz w:val="20"/>
                <w:szCs w:val="20"/>
              </w:rPr>
            </w:pPr>
            <w:r w:rsidRPr="00D338F5">
              <w:rPr>
                <w:rFonts w:cs="Arial"/>
                <w:sz w:val="20"/>
                <w:szCs w:val="20"/>
              </w:rPr>
              <w:t>Saldo acreedor</w:t>
            </w:r>
          </w:p>
        </w:tc>
      </w:tr>
      <w:tr w:rsidR="00D338F5" w:rsidRPr="00D338F5" w:rsidTr="00D338F5">
        <w:trPr>
          <w:trHeight w:val="267"/>
        </w:trPr>
        <w:tc>
          <w:tcPr>
            <w:tcW w:w="1423" w:type="dxa"/>
            <w:tcBorders>
              <w:top w:val="nil"/>
              <w:left w:val="nil"/>
              <w:bottom w:val="nil"/>
              <w:right w:val="single" w:sz="4" w:space="0" w:color="auto"/>
            </w:tcBorders>
            <w:noWrap/>
            <w:vAlign w:val="bottom"/>
            <w:hideMark/>
          </w:tcPr>
          <w:p w:rsidR="00D338F5" w:rsidRPr="00D338F5" w:rsidRDefault="00D338F5">
            <w:pPr>
              <w:rPr>
                <w:rFonts w:cs="Arial"/>
                <w:i/>
                <w:iCs/>
                <w:sz w:val="20"/>
                <w:szCs w:val="20"/>
              </w:rPr>
            </w:pPr>
            <w:r w:rsidRPr="00D338F5">
              <w:rPr>
                <w:rFonts w:cs="Arial"/>
                <w:i/>
                <w:iCs/>
                <w:sz w:val="20"/>
                <w:szCs w:val="20"/>
              </w:rPr>
              <w:t> </w:t>
            </w:r>
          </w:p>
        </w:tc>
        <w:tc>
          <w:tcPr>
            <w:tcW w:w="1443" w:type="dxa"/>
            <w:noWrap/>
            <w:vAlign w:val="bottom"/>
          </w:tcPr>
          <w:p w:rsidR="00D338F5" w:rsidRPr="00D338F5" w:rsidRDefault="00D338F5">
            <w:pPr>
              <w:rPr>
                <w:rFonts w:cs="Arial"/>
                <w:i/>
                <w:iCs/>
                <w:sz w:val="20"/>
                <w:szCs w:val="20"/>
              </w:rPr>
            </w:pPr>
          </w:p>
        </w:tc>
        <w:tc>
          <w:tcPr>
            <w:tcW w:w="1656" w:type="dxa"/>
            <w:noWrap/>
            <w:vAlign w:val="bottom"/>
          </w:tcPr>
          <w:p w:rsidR="00D338F5" w:rsidRPr="00D338F5" w:rsidRDefault="00D338F5">
            <w:pPr>
              <w:rPr>
                <w:rFonts w:cs="Arial"/>
                <w:sz w:val="20"/>
                <w:szCs w:val="20"/>
              </w:rPr>
            </w:pPr>
          </w:p>
        </w:tc>
      </w:tr>
    </w:tbl>
    <w:p w:rsidR="00D338F5" w:rsidRPr="00D338F5" w:rsidRDefault="00D338F5" w:rsidP="00D338F5">
      <w:pPr>
        <w:jc w:val="both"/>
        <w:rPr>
          <w:rFonts w:cs="Times New Roman"/>
          <w:iCs/>
          <w:sz w:val="20"/>
          <w:szCs w:val="20"/>
        </w:rPr>
      </w:pPr>
    </w:p>
    <w:p w:rsidR="00D338F5" w:rsidRPr="00D338F5" w:rsidRDefault="00D338F5" w:rsidP="00D338F5">
      <w:pPr>
        <w:jc w:val="both"/>
        <w:rPr>
          <w:iCs/>
          <w:sz w:val="20"/>
          <w:szCs w:val="20"/>
        </w:rPr>
      </w:pPr>
      <w:r w:rsidRPr="00D338F5">
        <w:rPr>
          <w:iCs/>
          <w:sz w:val="20"/>
          <w:szCs w:val="20"/>
        </w:rPr>
        <w:t>Retenciones por pagar tendrá siempre saldo acreedor, ya que no se puede pagar más dinero del que se adeuda.</w:t>
      </w:r>
    </w:p>
    <w:p w:rsidR="00D338F5" w:rsidRPr="00D338F5" w:rsidRDefault="00D338F5" w:rsidP="00D338F5">
      <w:pPr>
        <w:jc w:val="both"/>
        <w:rPr>
          <w:iCs/>
          <w:sz w:val="20"/>
          <w:szCs w:val="20"/>
        </w:rPr>
      </w:pPr>
      <w:r w:rsidRPr="00D338F5">
        <w:rPr>
          <w:iCs/>
          <w:sz w:val="20"/>
          <w:szCs w:val="20"/>
        </w:rPr>
        <w:t>Cuando una cuenta tiene únicamente saldo deudor, su importe representa saldo deudor, y si únicamente tiene movimiento acreedor, su saldo es acreedor.</w:t>
      </w:r>
    </w:p>
    <w:p w:rsidR="00D338F5" w:rsidRPr="00D338F5" w:rsidRDefault="00D338F5" w:rsidP="00D338F5">
      <w:pPr>
        <w:jc w:val="both"/>
        <w:rPr>
          <w:iCs/>
          <w:sz w:val="20"/>
          <w:szCs w:val="20"/>
        </w:rPr>
      </w:pPr>
      <w:r w:rsidRPr="00D338F5">
        <w:rPr>
          <w:iCs/>
          <w:sz w:val="20"/>
          <w:szCs w:val="20"/>
        </w:rPr>
        <w:lastRenderedPageBreak/>
        <w:t>Retomando nuestro tema de Balance General, recordemos que  es un estado financiero que muestra la situación financiera de una empresa a una fecha determinada y está constituido de activo, pasivo y patrimonio neto.</w:t>
      </w:r>
    </w:p>
    <w:p w:rsidR="00D338F5" w:rsidRPr="00D338F5" w:rsidRDefault="00D338F5" w:rsidP="00D338F5">
      <w:pPr>
        <w:jc w:val="both"/>
        <w:rPr>
          <w:iCs/>
          <w:sz w:val="20"/>
          <w:szCs w:val="20"/>
        </w:rPr>
      </w:pPr>
      <w:r w:rsidRPr="00D338F5">
        <w:rPr>
          <w:iCs/>
          <w:sz w:val="20"/>
          <w:szCs w:val="20"/>
        </w:rPr>
        <w:t xml:space="preserve">El balance </w:t>
      </w:r>
      <w:proofErr w:type="spellStart"/>
      <w:r w:rsidRPr="00D338F5">
        <w:rPr>
          <w:iCs/>
          <w:sz w:val="20"/>
          <w:szCs w:val="20"/>
        </w:rPr>
        <w:t>esta</w:t>
      </w:r>
      <w:proofErr w:type="spellEnd"/>
      <w:r w:rsidRPr="00D338F5">
        <w:rPr>
          <w:iCs/>
          <w:sz w:val="20"/>
          <w:szCs w:val="20"/>
        </w:rPr>
        <w:t xml:space="preserve"> formado por tres grupos principales:</w:t>
      </w:r>
    </w:p>
    <w:p w:rsidR="00D338F5" w:rsidRPr="00D338F5" w:rsidRDefault="00D338F5" w:rsidP="00D338F5">
      <w:pPr>
        <w:numPr>
          <w:ilvl w:val="0"/>
          <w:numId w:val="3"/>
        </w:numPr>
        <w:spacing w:after="0" w:line="240" w:lineRule="auto"/>
        <w:jc w:val="both"/>
        <w:rPr>
          <w:iCs/>
          <w:sz w:val="20"/>
          <w:szCs w:val="20"/>
        </w:rPr>
      </w:pPr>
      <w:r w:rsidRPr="00D338F5">
        <w:rPr>
          <w:iCs/>
          <w:sz w:val="20"/>
          <w:szCs w:val="20"/>
        </w:rPr>
        <w:t>ACTIVO</w:t>
      </w:r>
    </w:p>
    <w:p w:rsidR="00D338F5" w:rsidRPr="00D338F5" w:rsidRDefault="00D338F5" w:rsidP="00D338F5">
      <w:pPr>
        <w:numPr>
          <w:ilvl w:val="0"/>
          <w:numId w:val="3"/>
        </w:numPr>
        <w:spacing w:after="0" w:line="240" w:lineRule="auto"/>
        <w:jc w:val="both"/>
        <w:rPr>
          <w:iCs/>
          <w:sz w:val="20"/>
          <w:szCs w:val="20"/>
        </w:rPr>
      </w:pPr>
      <w:r w:rsidRPr="00D338F5">
        <w:rPr>
          <w:iCs/>
          <w:sz w:val="20"/>
          <w:szCs w:val="20"/>
        </w:rPr>
        <w:t>PASIVO</w:t>
      </w:r>
    </w:p>
    <w:p w:rsidR="00D338F5" w:rsidRPr="00D338F5" w:rsidRDefault="00D338F5" w:rsidP="00D338F5">
      <w:pPr>
        <w:numPr>
          <w:ilvl w:val="0"/>
          <w:numId w:val="3"/>
        </w:numPr>
        <w:spacing w:after="0" w:line="240" w:lineRule="auto"/>
        <w:jc w:val="both"/>
        <w:rPr>
          <w:iCs/>
          <w:sz w:val="20"/>
          <w:szCs w:val="20"/>
        </w:rPr>
      </w:pPr>
      <w:r w:rsidRPr="00D338F5">
        <w:rPr>
          <w:iCs/>
          <w:sz w:val="20"/>
          <w:szCs w:val="20"/>
        </w:rPr>
        <w:t>CAPITAL</w:t>
      </w:r>
    </w:p>
    <w:p w:rsidR="00D338F5" w:rsidRDefault="00D338F5">
      <w:pPr>
        <w:rPr>
          <w:rFonts w:ascii="Algerian" w:hAnsi="Algerian"/>
          <w:color w:val="00B050"/>
          <w:sz w:val="32"/>
          <w:szCs w:val="32"/>
        </w:rPr>
      </w:pPr>
      <w:r w:rsidRPr="00E21142">
        <w:rPr>
          <w:rFonts w:ascii="Algerian" w:hAnsi="Algerian"/>
          <w:color w:val="00B050"/>
          <w:sz w:val="32"/>
          <w:szCs w:val="32"/>
        </w:rPr>
        <w:t xml:space="preserve"> #3 CONCEPTO </w:t>
      </w:r>
      <w:r w:rsidR="00E21142" w:rsidRPr="00E21142">
        <w:rPr>
          <w:rFonts w:ascii="Algerian" w:hAnsi="Algerian"/>
          <w:color w:val="00B050"/>
          <w:sz w:val="32"/>
          <w:szCs w:val="32"/>
        </w:rPr>
        <w:t xml:space="preserve">DE ESTADO SE RESULTADO DEUDOR Y ACREEDOR </w:t>
      </w:r>
    </w:p>
    <w:p w:rsidR="00E21142" w:rsidRPr="00E21142" w:rsidRDefault="00E21142">
      <w:pPr>
        <w:rPr>
          <w:color w:val="00B050"/>
          <w:sz w:val="24"/>
          <w:szCs w:val="20"/>
        </w:rPr>
      </w:pPr>
      <w:r w:rsidRPr="00E21142">
        <w:rPr>
          <w:color w:val="444748"/>
          <w:sz w:val="24"/>
          <w:szCs w:val="20"/>
          <w:shd w:val="clear" w:color="auto" w:fill="FFFFFF"/>
        </w:rPr>
        <w:t>El Estado de</w:t>
      </w:r>
      <w:r w:rsidRPr="00E21142">
        <w:rPr>
          <w:color w:val="444748"/>
          <w:sz w:val="24"/>
          <w:szCs w:val="20"/>
        </w:rPr>
        <w:t xml:space="preserve"> </w:t>
      </w:r>
      <w:r w:rsidRPr="00E21142">
        <w:rPr>
          <w:color w:val="444748"/>
          <w:sz w:val="24"/>
          <w:szCs w:val="20"/>
          <w:shd w:val="clear" w:color="auto" w:fill="FFFFFF"/>
        </w:rPr>
        <w:t>Resultados. También llamado Estado de Pérdidas y Ganancias, el cual se define de la siguiente manera:</w:t>
      </w:r>
      <w:r w:rsidRPr="00E21142">
        <w:rPr>
          <w:color w:val="444748"/>
          <w:sz w:val="24"/>
          <w:szCs w:val="20"/>
        </w:rPr>
        <w:br/>
      </w:r>
      <w:r w:rsidRPr="00E21142">
        <w:rPr>
          <w:color w:val="444748"/>
          <w:sz w:val="24"/>
          <w:szCs w:val="20"/>
        </w:rPr>
        <w:br/>
      </w:r>
      <w:r w:rsidRPr="00E21142">
        <w:rPr>
          <w:color w:val="444748"/>
          <w:sz w:val="24"/>
          <w:szCs w:val="20"/>
          <w:shd w:val="clear" w:color="auto" w:fill="FFFFFF"/>
        </w:rPr>
        <w:t>1. Concepto del Estado de Resultados</w:t>
      </w:r>
      <w:r w:rsidRPr="00E21142">
        <w:rPr>
          <w:color w:val="444748"/>
          <w:sz w:val="24"/>
          <w:szCs w:val="20"/>
        </w:rPr>
        <w:br/>
      </w:r>
      <w:r w:rsidRPr="00E21142">
        <w:rPr>
          <w:color w:val="444748"/>
          <w:sz w:val="24"/>
          <w:szCs w:val="20"/>
        </w:rPr>
        <w:br/>
      </w:r>
      <w:r w:rsidRPr="00E21142">
        <w:rPr>
          <w:color w:val="444748"/>
          <w:sz w:val="24"/>
          <w:szCs w:val="20"/>
          <w:shd w:val="clear" w:color="auto" w:fill="FFFFFF"/>
        </w:rPr>
        <w:t>Definición según la NIF-B3, es un “Estado Financiero básico para entidades lucrativas que muestra detallada y ordenadamente la forma en que se obtuvo el resultado de las operaciones de un periodo contable y, por ende, los ingresos, costos y gastos de dichas entidades, así como su utilidad o pérdida neta, permitiendo evaluar los logros alcanzados con los esfuerzos desarrollados durante el periodo consignado en el mismo estado”.</w:t>
      </w:r>
      <w:r w:rsidRPr="00E21142">
        <w:rPr>
          <w:color w:val="444748"/>
          <w:sz w:val="24"/>
          <w:szCs w:val="20"/>
        </w:rPr>
        <w:br/>
      </w:r>
      <w:r w:rsidRPr="00E21142">
        <w:rPr>
          <w:color w:val="444748"/>
          <w:sz w:val="24"/>
          <w:szCs w:val="20"/>
        </w:rPr>
        <w:br/>
      </w:r>
      <w:r w:rsidRPr="00E21142">
        <w:rPr>
          <w:color w:val="444748"/>
          <w:sz w:val="24"/>
          <w:szCs w:val="20"/>
          <w:shd w:val="clear" w:color="auto" w:fill="FFFFFF"/>
        </w:rPr>
        <w:t>Otra definición que se señala en la NIF 8-3 ("Necesidades de los usuarios y objetivos de los estados financieros") lo define de la siguiente manera:</w:t>
      </w:r>
      <w:r w:rsidRPr="00E21142">
        <w:rPr>
          <w:color w:val="444748"/>
          <w:sz w:val="24"/>
          <w:szCs w:val="20"/>
        </w:rPr>
        <w:br/>
      </w:r>
      <w:r w:rsidRPr="00E21142">
        <w:rPr>
          <w:color w:val="444748"/>
          <w:sz w:val="24"/>
          <w:szCs w:val="20"/>
        </w:rPr>
        <w:br/>
      </w:r>
      <w:r w:rsidRPr="00E21142">
        <w:rPr>
          <w:color w:val="444748"/>
          <w:sz w:val="24"/>
          <w:szCs w:val="20"/>
          <w:shd w:val="clear" w:color="auto" w:fill="FFFFFF"/>
        </w:rPr>
        <w:t>“Estado financiero que muestra los ingresos, identificados con sus costos y gastos correspondientes y, como resultado de tal enfrentamiento, la utilidad o pérdida neta del periodo contable”.</w:t>
      </w:r>
      <w:r w:rsidRPr="00E21142">
        <w:rPr>
          <w:color w:val="444748"/>
          <w:sz w:val="24"/>
          <w:szCs w:val="20"/>
        </w:rPr>
        <w:br/>
      </w:r>
      <w:r w:rsidRPr="00E21142">
        <w:rPr>
          <w:color w:val="444748"/>
          <w:sz w:val="24"/>
          <w:szCs w:val="20"/>
        </w:rPr>
        <w:br/>
      </w:r>
      <w:r w:rsidRPr="00E21142">
        <w:rPr>
          <w:color w:val="444748"/>
          <w:sz w:val="24"/>
          <w:szCs w:val="20"/>
          <w:shd w:val="clear" w:color="auto" w:fill="FFFFFF"/>
        </w:rPr>
        <w:t>Periodicidad del Estado de Resultados: El Estado de Resultados se prepara para un periodo, a diferencia del Balance que se prepara a una fecha determinada. Por esto el Balance es considerado como un estado financiero Estático, mientras que el de Resultados es considerado como Dinámico. Se explica esto porque el estado de Resultados muestra los ingresos generados de una fecha a otra, disminuidos esos ingresos por los gastos generales (Gastos de Venta y de Administración) necesarios para lograrlos durante el mismo periodo, mientras que el balance presenta las existencias en bienes, derechos, obligaciones y patrimonio a una fecha determinada.</w:t>
      </w:r>
      <w:r w:rsidRPr="00E21142">
        <w:rPr>
          <w:color w:val="444748"/>
          <w:sz w:val="24"/>
          <w:szCs w:val="20"/>
        </w:rPr>
        <w:br/>
      </w:r>
      <w:r w:rsidRPr="00E21142">
        <w:rPr>
          <w:color w:val="444748"/>
          <w:sz w:val="24"/>
          <w:szCs w:val="20"/>
        </w:rPr>
        <w:br/>
      </w:r>
      <w:r w:rsidRPr="00E21142">
        <w:rPr>
          <w:color w:val="444748"/>
          <w:sz w:val="24"/>
          <w:szCs w:val="20"/>
          <w:shd w:val="clear" w:color="auto" w:fill="FFFFFF"/>
        </w:rPr>
        <w:lastRenderedPageBreak/>
        <w:t>La elaboración del estado de Resultados, por disposiciones legales (Art. 172 de la Ley General del Sociedades Mercantiles), debe prepararse anualmente, sin embargo este se puede elaborar en periodos más cortos, bien sea mensual, bimestral, trimestral, etc., según los requerimientos y necesidades de información interna que requiera la empresa.</w:t>
      </w:r>
      <w:r w:rsidRPr="00E21142">
        <w:rPr>
          <w:color w:val="444748"/>
          <w:sz w:val="24"/>
          <w:szCs w:val="20"/>
        </w:rPr>
        <w:br/>
      </w:r>
      <w:r w:rsidRPr="00E21142">
        <w:rPr>
          <w:color w:val="444748"/>
          <w:sz w:val="24"/>
          <w:szCs w:val="20"/>
        </w:rPr>
        <w:br/>
      </w:r>
      <w:r w:rsidRPr="00E21142">
        <w:rPr>
          <w:color w:val="444748"/>
          <w:sz w:val="24"/>
          <w:szCs w:val="20"/>
        </w:rPr>
        <w:br/>
      </w:r>
      <w:r w:rsidRPr="00E21142">
        <w:rPr>
          <w:color w:val="444748"/>
          <w:sz w:val="24"/>
          <w:szCs w:val="20"/>
        </w:rPr>
        <w:br/>
      </w:r>
      <w:r w:rsidRPr="00E21142">
        <w:rPr>
          <w:color w:val="444748"/>
          <w:sz w:val="24"/>
          <w:szCs w:val="20"/>
          <w:shd w:val="clear" w:color="auto" w:fill="FFFFFF"/>
        </w:rPr>
        <w:t>2. Elementos que lo integran</w:t>
      </w:r>
      <w:r w:rsidRPr="00E21142">
        <w:rPr>
          <w:color w:val="444748"/>
          <w:sz w:val="24"/>
          <w:szCs w:val="20"/>
        </w:rPr>
        <w:br/>
      </w:r>
      <w:r w:rsidRPr="00E21142">
        <w:rPr>
          <w:color w:val="444748"/>
          <w:sz w:val="24"/>
          <w:szCs w:val="20"/>
        </w:rPr>
        <w:br/>
      </w:r>
      <w:r w:rsidRPr="00E21142">
        <w:rPr>
          <w:color w:val="444748"/>
          <w:sz w:val="24"/>
          <w:szCs w:val="20"/>
          <w:shd w:val="clear" w:color="auto" w:fill="FFFFFF"/>
        </w:rPr>
        <w:t>Dentro de la estructura del Estado de Resultados podemos considerar dos tipos de cuentas que lo integran y son: Con base a la NIF-B3 vigente desde el 1 de Enero de 2007.</w:t>
      </w:r>
      <w:r w:rsidRPr="00E21142">
        <w:rPr>
          <w:color w:val="444748"/>
          <w:sz w:val="24"/>
          <w:szCs w:val="20"/>
        </w:rPr>
        <w:br/>
      </w:r>
      <w:r w:rsidRPr="00E21142">
        <w:rPr>
          <w:color w:val="444748"/>
          <w:sz w:val="24"/>
          <w:szCs w:val="20"/>
        </w:rPr>
        <w:br/>
      </w:r>
      <w:r w:rsidRPr="00E21142">
        <w:rPr>
          <w:color w:val="444748"/>
          <w:sz w:val="24"/>
          <w:szCs w:val="20"/>
          <w:shd w:val="clear" w:color="auto" w:fill="FFFFFF"/>
        </w:rPr>
        <w:sym w:font="Symbol" w:char="F0D8"/>
      </w:r>
      <w:r w:rsidRPr="00E21142">
        <w:rPr>
          <w:color w:val="444748"/>
          <w:sz w:val="24"/>
          <w:szCs w:val="20"/>
          <w:shd w:val="clear" w:color="auto" w:fill="FFFFFF"/>
        </w:rPr>
        <w:t xml:space="preserve"> Cuentas de Ingresos</w:t>
      </w:r>
      <w:r w:rsidRPr="00E21142">
        <w:rPr>
          <w:color w:val="444748"/>
          <w:sz w:val="24"/>
          <w:szCs w:val="20"/>
        </w:rPr>
        <w:br/>
      </w:r>
      <w:r w:rsidRPr="00E21142">
        <w:rPr>
          <w:color w:val="444748"/>
          <w:sz w:val="24"/>
          <w:szCs w:val="20"/>
          <w:shd w:val="clear" w:color="auto" w:fill="FFFFFF"/>
        </w:rPr>
        <w:sym w:font="Symbol" w:char="F0D8"/>
      </w:r>
      <w:r w:rsidRPr="00E21142">
        <w:rPr>
          <w:color w:val="444748"/>
          <w:sz w:val="24"/>
          <w:szCs w:val="20"/>
          <w:shd w:val="clear" w:color="auto" w:fill="FFFFFF"/>
        </w:rPr>
        <w:t xml:space="preserve"> Cuentas de Egresos</w:t>
      </w:r>
      <w:r w:rsidRPr="00E21142">
        <w:rPr>
          <w:color w:val="444748"/>
          <w:sz w:val="24"/>
          <w:szCs w:val="20"/>
        </w:rPr>
        <w:br/>
      </w:r>
      <w:r w:rsidRPr="00E21142">
        <w:rPr>
          <w:color w:val="444748"/>
          <w:sz w:val="24"/>
          <w:szCs w:val="20"/>
        </w:rPr>
        <w:br/>
      </w:r>
      <w:r w:rsidRPr="00E21142">
        <w:rPr>
          <w:color w:val="444748"/>
          <w:sz w:val="24"/>
          <w:szCs w:val="20"/>
        </w:rPr>
        <w:br/>
      </w:r>
      <w:r w:rsidRPr="00E21142">
        <w:rPr>
          <w:color w:val="444748"/>
          <w:sz w:val="24"/>
          <w:szCs w:val="20"/>
          <w:shd w:val="clear" w:color="auto" w:fill="FFFFFF"/>
        </w:rPr>
        <w:t>A) Cuentas de Ingresos</w:t>
      </w:r>
      <w:r w:rsidRPr="00E21142">
        <w:rPr>
          <w:color w:val="444748"/>
          <w:sz w:val="24"/>
          <w:szCs w:val="20"/>
        </w:rPr>
        <w:br/>
      </w:r>
      <w:r w:rsidRPr="00E21142">
        <w:rPr>
          <w:color w:val="444748"/>
          <w:sz w:val="24"/>
          <w:szCs w:val="20"/>
        </w:rPr>
        <w:br/>
      </w:r>
      <w:r w:rsidRPr="00E21142">
        <w:rPr>
          <w:color w:val="444748"/>
          <w:sz w:val="24"/>
          <w:szCs w:val="20"/>
          <w:shd w:val="clear" w:color="auto" w:fill="FFFFFF"/>
        </w:rPr>
        <w:t>Son aquellas operaciones que provocan un incremento al patrimonio de la entidad, conocidas también como de "Resultados Acreedoras", las de mayor uso son:</w:t>
      </w:r>
      <w:r w:rsidRPr="00E21142">
        <w:rPr>
          <w:color w:val="444748"/>
          <w:sz w:val="24"/>
          <w:szCs w:val="20"/>
        </w:rPr>
        <w:br/>
      </w:r>
      <w:r w:rsidRPr="00E21142">
        <w:rPr>
          <w:color w:val="444748"/>
          <w:sz w:val="24"/>
          <w:szCs w:val="20"/>
        </w:rPr>
        <w:br/>
      </w:r>
      <w:r w:rsidRPr="00E21142">
        <w:rPr>
          <w:color w:val="444748"/>
          <w:sz w:val="24"/>
          <w:szCs w:val="20"/>
          <w:shd w:val="clear" w:color="auto" w:fill="FFFFFF"/>
        </w:rPr>
        <w:t>Ventas - Ingresos Ordinarios</w:t>
      </w:r>
      <w:r w:rsidRPr="00E21142">
        <w:rPr>
          <w:color w:val="444748"/>
          <w:sz w:val="24"/>
          <w:szCs w:val="20"/>
        </w:rPr>
        <w:br/>
      </w:r>
      <w:r w:rsidRPr="00E21142">
        <w:rPr>
          <w:color w:val="444748"/>
          <w:sz w:val="24"/>
          <w:szCs w:val="20"/>
          <w:shd w:val="clear" w:color="auto" w:fill="FFFFFF"/>
        </w:rPr>
        <w:t>Otros Ingresos - Ingresos no Ordinarios</w:t>
      </w:r>
      <w:r w:rsidRPr="00E21142">
        <w:rPr>
          <w:color w:val="444748"/>
          <w:sz w:val="24"/>
          <w:szCs w:val="20"/>
        </w:rPr>
        <w:br/>
      </w:r>
      <w:r w:rsidRPr="00E21142">
        <w:rPr>
          <w:color w:val="444748"/>
          <w:sz w:val="24"/>
          <w:szCs w:val="20"/>
        </w:rPr>
        <w:br/>
      </w:r>
      <w:r w:rsidRPr="00E21142">
        <w:rPr>
          <w:color w:val="444748"/>
          <w:sz w:val="24"/>
          <w:szCs w:val="20"/>
        </w:rPr>
        <w:br/>
      </w:r>
      <w:r w:rsidRPr="00E21142">
        <w:rPr>
          <w:color w:val="444748"/>
          <w:sz w:val="24"/>
          <w:szCs w:val="20"/>
          <w:shd w:val="clear" w:color="auto" w:fill="FFFFFF"/>
        </w:rPr>
        <w:t>B) Cuentas de Egresos</w:t>
      </w:r>
      <w:r w:rsidRPr="00E21142">
        <w:rPr>
          <w:color w:val="444748"/>
          <w:sz w:val="24"/>
          <w:szCs w:val="20"/>
        </w:rPr>
        <w:br/>
      </w:r>
      <w:r w:rsidRPr="00E21142">
        <w:rPr>
          <w:color w:val="444748"/>
          <w:sz w:val="24"/>
          <w:szCs w:val="20"/>
        </w:rPr>
        <w:br/>
      </w:r>
      <w:r w:rsidRPr="00E21142">
        <w:rPr>
          <w:color w:val="444748"/>
          <w:sz w:val="24"/>
          <w:szCs w:val="20"/>
          <w:shd w:val="clear" w:color="auto" w:fill="FFFFFF"/>
        </w:rPr>
        <w:t>Los costos y gastos son el uso o consumo de bienes y servicios en el proceso de obtener ingresos, son conocidas como cuentas de "Resultados deudoras", las más comunes son:</w:t>
      </w:r>
      <w:r w:rsidRPr="00E21142">
        <w:rPr>
          <w:color w:val="444748"/>
          <w:sz w:val="24"/>
          <w:szCs w:val="20"/>
        </w:rPr>
        <w:br/>
      </w:r>
      <w:r w:rsidRPr="00E21142">
        <w:rPr>
          <w:color w:val="444748"/>
          <w:sz w:val="24"/>
          <w:szCs w:val="20"/>
        </w:rPr>
        <w:br/>
      </w:r>
      <w:r w:rsidRPr="00E21142">
        <w:rPr>
          <w:color w:val="444748"/>
          <w:sz w:val="24"/>
          <w:szCs w:val="20"/>
          <w:shd w:val="clear" w:color="auto" w:fill="FFFFFF"/>
        </w:rPr>
        <w:t>Costo de Ventas</w:t>
      </w:r>
      <w:r w:rsidRPr="00E21142">
        <w:rPr>
          <w:color w:val="444748"/>
          <w:sz w:val="24"/>
          <w:szCs w:val="20"/>
        </w:rPr>
        <w:br/>
      </w:r>
      <w:r w:rsidRPr="00E21142">
        <w:rPr>
          <w:color w:val="444748"/>
          <w:sz w:val="24"/>
          <w:szCs w:val="20"/>
          <w:shd w:val="clear" w:color="auto" w:fill="FFFFFF"/>
        </w:rPr>
        <w:t>Gastos de Venta Egresos Ordinarios</w:t>
      </w:r>
      <w:r w:rsidRPr="00E21142">
        <w:rPr>
          <w:color w:val="444748"/>
          <w:sz w:val="24"/>
          <w:szCs w:val="20"/>
        </w:rPr>
        <w:br/>
      </w:r>
      <w:r w:rsidRPr="00E21142">
        <w:rPr>
          <w:color w:val="444748"/>
          <w:sz w:val="24"/>
          <w:szCs w:val="20"/>
          <w:shd w:val="clear" w:color="auto" w:fill="FFFFFF"/>
        </w:rPr>
        <w:t>Gastos de Administración</w:t>
      </w:r>
      <w:r w:rsidRPr="00E21142">
        <w:rPr>
          <w:color w:val="444748"/>
          <w:sz w:val="24"/>
          <w:szCs w:val="20"/>
        </w:rPr>
        <w:br/>
      </w:r>
      <w:r w:rsidRPr="00E21142">
        <w:rPr>
          <w:color w:val="444748"/>
          <w:sz w:val="24"/>
          <w:szCs w:val="20"/>
        </w:rPr>
        <w:br/>
      </w:r>
      <w:r w:rsidRPr="00E21142">
        <w:rPr>
          <w:color w:val="444748"/>
          <w:sz w:val="24"/>
          <w:szCs w:val="20"/>
          <w:shd w:val="clear" w:color="auto" w:fill="FFFFFF"/>
        </w:rPr>
        <w:t>Otros Gastos - Egresos no Ordinarios</w:t>
      </w:r>
      <w:r w:rsidRPr="00E21142">
        <w:rPr>
          <w:color w:val="444748"/>
          <w:sz w:val="24"/>
          <w:szCs w:val="20"/>
        </w:rPr>
        <w:br/>
      </w:r>
      <w:r w:rsidRPr="00E21142">
        <w:rPr>
          <w:color w:val="444748"/>
          <w:sz w:val="24"/>
          <w:szCs w:val="20"/>
        </w:rPr>
        <w:lastRenderedPageBreak/>
        <w:br/>
      </w:r>
      <w:r w:rsidRPr="00E21142">
        <w:rPr>
          <w:color w:val="444748"/>
          <w:sz w:val="24"/>
          <w:szCs w:val="20"/>
          <w:shd w:val="clear" w:color="auto" w:fill="FFFFFF"/>
        </w:rPr>
        <w:t>Con base a la NIF-A5 vigente desde el 1 de Enero de 2007, los Ingresos, Costos y Gastos pueden ser de dos tipos:</w:t>
      </w:r>
      <w:r w:rsidRPr="00E21142">
        <w:rPr>
          <w:color w:val="444748"/>
          <w:sz w:val="24"/>
          <w:szCs w:val="20"/>
        </w:rPr>
        <w:br/>
      </w:r>
      <w:r w:rsidRPr="00E21142">
        <w:rPr>
          <w:color w:val="444748"/>
          <w:sz w:val="24"/>
          <w:szCs w:val="20"/>
        </w:rPr>
        <w:br/>
      </w:r>
      <w:r w:rsidRPr="00E21142">
        <w:rPr>
          <w:color w:val="444748"/>
          <w:sz w:val="24"/>
          <w:szCs w:val="20"/>
          <w:shd w:val="clear" w:color="auto" w:fill="FFFFFF"/>
        </w:rPr>
        <w:t>Ordinarios.- Son los relacionados con el giro de la entidad, es decir los que se derivan de las actividades primarias que representan la principal fuente de ingresos para la entidad; y</w:t>
      </w:r>
      <w:r w:rsidRPr="00E21142">
        <w:rPr>
          <w:color w:val="444748"/>
          <w:sz w:val="24"/>
          <w:szCs w:val="20"/>
        </w:rPr>
        <w:br/>
      </w:r>
      <w:r w:rsidRPr="00E21142">
        <w:rPr>
          <w:color w:val="444748"/>
          <w:sz w:val="24"/>
          <w:szCs w:val="20"/>
        </w:rPr>
        <w:br/>
      </w:r>
      <w:r w:rsidRPr="00E21142">
        <w:rPr>
          <w:color w:val="444748"/>
          <w:sz w:val="24"/>
          <w:szCs w:val="20"/>
          <w:shd w:val="clear" w:color="auto" w:fill="FFFFFF"/>
        </w:rPr>
        <w:t>No ordinarios.- Son los que se derivan de las actividades que no representan la principal fuente de ingresos para la actividad.</w:t>
      </w:r>
      <w:r w:rsidRPr="00E21142">
        <w:rPr>
          <w:color w:val="444748"/>
          <w:sz w:val="24"/>
          <w:szCs w:val="20"/>
        </w:rPr>
        <w:br/>
      </w:r>
      <w:r w:rsidRPr="00E21142">
        <w:rPr>
          <w:color w:val="444748"/>
          <w:sz w:val="24"/>
          <w:szCs w:val="20"/>
        </w:rPr>
        <w:br/>
      </w:r>
      <w:r w:rsidRPr="00E21142">
        <w:rPr>
          <w:color w:val="444748"/>
          <w:sz w:val="24"/>
          <w:szCs w:val="20"/>
          <w:shd w:val="clear" w:color="auto" w:fill="FFFFFF"/>
        </w:rPr>
        <w:t>Partes que Integran el Estado de Resultados</w:t>
      </w:r>
      <w:r w:rsidRPr="00E21142">
        <w:rPr>
          <w:color w:val="444748"/>
          <w:sz w:val="24"/>
          <w:szCs w:val="20"/>
        </w:rPr>
        <w:br/>
      </w:r>
      <w:r w:rsidRPr="00E21142">
        <w:rPr>
          <w:color w:val="444748"/>
          <w:sz w:val="24"/>
          <w:szCs w:val="20"/>
        </w:rPr>
        <w:br/>
      </w:r>
      <w:r w:rsidRPr="00E21142">
        <w:rPr>
          <w:color w:val="444748"/>
          <w:sz w:val="24"/>
          <w:szCs w:val="20"/>
          <w:shd w:val="clear" w:color="auto" w:fill="FFFFFF"/>
        </w:rPr>
        <w:t>El estado de resultados, como cualquier otro estado financiero se integra de tres partes que son:</w:t>
      </w:r>
      <w:r w:rsidRPr="00E21142">
        <w:rPr>
          <w:color w:val="444748"/>
          <w:sz w:val="24"/>
          <w:szCs w:val="20"/>
        </w:rPr>
        <w:br/>
      </w:r>
      <w:r w:rsidRPr="00E21142">
        <w:rPr>
          <w:color w:val="444748"/>
          <w:sz w:val="24"/>
          <w:szCs w:val="20"/>
        </w:rPr>
        <w:br/>
      </w:r>
      <w:r w:rsidRPr="00E21142">
        <w:rPr>
          <w:color w:val="444748"/>
          <w:sz w:val="24"/>
          <w:szCs w:val="20"/>
          <w:shd w:val="clear" w:color="auto" w:fill="FFFFFF"/>
        </w:rPr>
        <w:t>ENCABEZADO</w:t>
      </w:r>
      <w:r w:rsidRPr="00E21142">
        <w:rPr>
          <w:color w:val="444748"/>
          <w:sz w:val="24"/>
          <w:szCs w:val="20"/>
        </w:rPr>
        <w:br/>
      </w:r>
      <w:r w:rsidRPr="00E21142">
        <w:rPr>
          <w:color w:val="444748"/>
          <w:sz w:val="24"/>
          <w:szCs w:val="20"/>
        </w:rPr>
        <w:br/>
      </w:r>
      <w:r w:rsidRPr="00E21142">
        <w:rPr>
          <w:color w:val="444748"/>
          <w:sz w:val="24"/>
          <w:szCs w:val="20"/>
          <w:shd w:val="clear" w:color="auto" w:fill="FFFFFF"/>
        </w:rPr>
        <w:t>NOMBRE DE LA EMPRESA.</w:t>
      </w:r>
      <w:r w:rsidRPr="00E21142">
        <w:rPr>
          <w:color w:val="444748"/>
          <w:sz w:val="24"/>
          <w:szCs w:val="20"/>
        </w:rPr>
        <w:br/>
      </w:r>
      <w:r w:rsidRPr="00E21142">
        <w:rPr>
          <w:color w:val="444748"/>
          <w:sz w:val="24"/>
          <w:szCs w:val="20"/>
          <w:shd w:val="clear" w:color="auto" w:fill="FFFFFF"/>
        </w:rPr>
        <w:t>MENCION QUE SE TRATA DE UN ESTADO DE RESULTADOS.</w:t>
      </w:r>
      <w:r w:rsidRPr="00E21142">
        <w:rPr>
          <w:color w:val="444748"/>
          <w:sz w:val="24"/>
          <w:szCs w:val="20"/>
        </w:rPr>
        <w:br/>
      </w:r>
      <w:r w:rsidRPr="00E21142">
        <w:rPr>
          <w:color w:val="444748"/>
          <w:sz w:val="24"/>
          <w:szCs w:val="20"/>
          <w:shd w:val="clear" w:color="auto" w:fill="FFFFFF"/>
        </w:rPr>
        <w:t>EL PERIODO QUE COMPRENDE.</w:t>
      </w:r>
      <w:r w:rsidRPr="00E21142">
        <w:rPr>
          <w:color w:val="444748"/>
          <w:sz w:val="24"/>
          <w:szCs w:val="20"/>
        </w:rPr>
        <w:br/>
      </w:r>
      <w:r w:rsidRPr="00E21142">
        <w:rPr>
          <w:color w:val="444748"/>
          <w:sz w:val="24"/>
          <w:szCs w:val="20"/>
        </w:rPr>
        <w:br/>
      </w:r>
      <w:r w:rsidRPr="00E21142">
        <w:rPr>
          <w:color w:val="444748"/>
          <w:sz w:val="24"/>
          <w:szCs w:val="20"/>
          <w:shd w:val="clear" w:color="auto" w:fill="FFFFFF"/>
        </w:rPr>
        <w:t>ELEMENTOS</w:t>
      </w:r>
      <w:r w:rsidRPr="00E21142">
        <w:rPr>
          <w:color w:val="444748"/>
          <w:sz w:val="24"/>
          <w:szCs w:val="20"/>
        </w:rPr>
        <w:br/>
      </w:r>
      <w:r w:rsidRPr="00E21142">
        <w:rPr>
          <w:color w:val="444748"/>
          <w:sz w:val="24"/>
          <w:szCs w:val="20"/>
          <w:shd w:val="clear" w:color="auto" w:fill="FFFFFF"/>
        </w:rPr>
        <w:t>DEL ESTADO</w:t>
      </w:r>
      <w:r w:rsidRPr="00E21142">
        <w:rPr>
          <w:color w:val="444748"/>
          <w:sz w:val="24"/>
          <w:szCs w:val="20"/>
        </w:rPr>
        <w:br/>
      </w:r>
      <w:r w:rsidRPr="00E21142">
        <w:rPr>
          <w:color w:val="444748"/>
          <w:sz w:val="24"/>
          <w:szCs w:val="20"/>
          <w:shd w:val="clear" w:color="auto" w:fill="FFFFFF"/>
        </w:rPr>
        <w:t>DE RESULTADOS</w:t>
      </w:r>
      <w:r w:rsidRPr="00E21142">
        <w:rPr>
          <w:color w:val="444748"/>
          <w:sz w:val="24"/>
          <w:szCs w:val="20"/>
        </w:rPr>
        <w:br/>
      </w:r>
      <w:r w:rsidRPr="00E21142">
        <w:rPr>
          <w:color w:val="444748"/>
          <w:sz w:val="24"/>
          <w:szCs w:val="20"/>
        </w:rPr>
        <w:br/>
      </w:r>
      <w:r w:rsidRPr="00E21142">
        <w:rPr>
          <w:color w:val="444748"/>
          <w:sz w:val="24"/>
          <w:szCs w:val="20"/>
        </w:rPr>
        <w:br/>
      </w:r>
      <w:r w:rsidRPr="00E21142">
        <w:rPr>
          <w:color w:val="444748"/>
          <w:sz w:val="24"/>
          <w:szCs w:val="20"/>
          <w:shd w:val="clear" w:color="auto" w:fill="FFFFFF"/>
        </w:rPr>
        <w:t>CUERPO</w:t>
      </w:r>
      <w:r w:rsidRPr="00E21142">
        <w:rPr>
          <w:color w:val="444748"/>
          <w:sz w:val="24"/>
          <w:szCs w:val="20"/>
        </w:rPr>
        <w:br/>
      </w:r>
      <w:r w:rsidRPr="00E21142">
        <w:rPr>
          <w:color w:val="444748"/>
          <w:sz w:val="24"/>
          <w:szCs w:val="20"/>
        </w:rPr>
        <w:br/>
      </w:r>
      <w:r w:rsidRPr="00E21142">
        <w:rPr>
          <w:color w:val="444748"/>
          <w:sz w:val="24"/>
          <w:szCs w:val="20"/>
          <w:shd w:val="clear" w:color="auto" w:fill="FFFFFF"/>
        </w:rPr>
        <w:t>CONTIENE LAS CUENTAS DE RESULTADOS Y E VALOR DE CADA UNA DE ELLAS, LAS CUALE POR MEDIO DE FÓRMULAS DETERMINAN L</w:t>
      </w:r>
      <w:r w:rsidRPr="00E21142">
        <w:rPr>
          <w:color w:val="444748"/>
          <w:sz w:val="24"/>
          <w:szCs w:val="20"/>
        </w:rPr>
        <w:br/>
      </w:r>
      <w:r w:rsidRPr="00E21142">
        <w:rPr>
          <w:color w:val="444748"/>
          <w:sz w:val="24"/>
          <w:szCs w:val="20"/>
        </w:rPr>
        <w:br/>
      </w:r>
      <w:r w:rsidRPr="00E21142">
        <w:rPr>
          <w:color w:val="444748"/>
          <w:sz w:val="24"/>
          <w:szCs w:val="20"/>
        </w:rPr>
        <w:br/>
      </w:r>
      <w:r w:rsidRPr="00E21142">
        <w:rPr>
          <w:color w:val="444748"/>
          <w:sz w:val="24"/>
          <w:szCs w:val="20"/>
          <w:shd w:val="clear" w:color="auto" w:fill="FFFFFF"/>
        </w:rPr>
        <w:t>FIRMAS</w:t>
      </w:r>
      <w:r w:rsidRPr="00E21142">
        <w:rPr>
          <w:color w:val="444748"/>
          <w:sz w:val="24"/>
          <w:szCs w:val="20"/>
        </w:rPr>
        <w:br/>
      </w:r>
      <w:r w:rsidRPr="00E21142">
        <w:rPr>
          <w:color w:val="444748"/>
          <w:sz w:val="24"/>
          <w:szCs w:val="20"/>
        </w:rPr>
        <w:br/>
      </w:r>
      <w:r w:rsidRPr="00E21142">
        <w:rPr>
          <w:color w:val="444748"/>
          <w:sz w:val="24"/>
          <w:szCs w:val="20"/>
          <w:shd w:val="clear" w:color="auto" w:fill="FFFFFF"/>
        </w:rPr>
        <w:t>DEL CONTADOR PÚBLICO.</w:t>
      </w:r>
      <w:r w:rsidRPr="00E21142">
        <w:rPr>
          <w:color w:val="444748"/>
          <w:sz w:val="24"/>
          <w:szCs w:val="20"/>
        </w:rPr>
        <w:br/>
      </w:r>
      <w:r w:rsidRPr="00E21142">
        <w:rPr>
          <w:color w:val="444748"/>
          <w:sz w:val="24"/>
          <w:szCs w:val="20"/>
        </w:rPr>
        <w:br/>
      </w:r>
      <w:r w:rsidRPr="00E21142">
        <w:rPr>
          <w:color w:val="444748"/>
          <w:sz w:val="24"/>
          <w:szCs w:val="20"/>
          <w:shd w:val="clear" w:color="auto" w:fill="FFFFFF"/>
        </w:rPr>
        <w:t>DEL DUEÑO DE LA EMPRESA O DE SU REPRESENTANTE LEGAL.</w:t>
      </w:r>
      <w:r w:rsidRPr="00E21142">
        <w:rPr>
          <w:color w:val="444748"/>
          <w:sz w:val="24"/>
          <w:szCs w:val="20"/>
        </w:rPr>
        <w:br/>
      </w:r>
      <w:r w:rsidRPr="00E21142">
        <w:rPr>
          <w:color w:val="444748"/>
          <w:sz w:val="24"/>
          <w:szCs w:val="20"/>
        </w:rPr>
        <w:lastRenderedPageBreak/>
        <w:br/>
      </w:r>
      <w:r w:rsidRPr="00E21142">
        <w:rPr>
          <w:color w:val="444748"/>
          <w:sz w:val="24"/>
          <w:szCs w:val="20"/>
          <w:shd w:val="clear" w:color="auto" w:fill="FFFFFF"/>
        </w:rPr>
        <w:t>3. Presentación del Estado de Resultados</w:t>
      </w:r>
      <w:r w:rsidRPr="00E21142">
        <w:rPr>
          <w:color w:val="444748"/>
          <w:sz w:val="24"/>
          <w:szCs w:val="20"/>
        </w:rPr>
        <w:br/>
      </w:r>
      <w:r w:rsidRPr="00E21142">
        <w:rPr>
          <w:color w:val="444748"/>
          <w:sz w:val="24"/>
          <w:szCs w:val="20"/>
        </w:rPr>
        <w:br/>
      </w:r>
      <w:r w:rsidRPr="00E21142">
        <w:rPr>
          <w:color w:val="444748"/>
          <w:sz w:val="24"/>
          <w:szCs w:val="20"/>
          <w:shd w:val="clear" w:color="auto" w:fill="FFFFFF"/>
        </w:rPr>
        <w:t>Para un mejor entendimiento en la elaboración del estado de resultados, lo podemos dividir en dos partes:</w:t>
      </w:r>
      <w:r w:rsidRPr="00E21142">
        <w:rPr>
          <w:color w:val="444748"/>
          <w:sz w:val="24"/>
          <w:szCs w:val="20"/>
        </w:rPr>
        <w:br/>
      </w:r>
      <w:r w:rsidRPr="00E21142">
        <w:rPr>
          <w:color w:val="444748"/>
          <w:sz w:val="24"/>
          <w:szCs w:val="20"/>
        </w:rPr>
        <w:br/>
      </w:r>
      <w:r w:rsidRPr="00E21142">
        <w:rPr>
          <w:color w:val="444748"/>
          <w:sz w:val="24"/>
          <w:szCs w:val="20"/>
          <w:shd w:val="clear" w:color="auto" w:fill="FFFFFF"/>
        </w:rPr>
        <w:t>La primera que es donde se analizan todos los elementos que entran en la compraventa de mercancías hasta determinar la utilidad o pérdida en venta, o sea la diferencia entre el precio de venta de las mercancías y el de su costo. En el desarrollo de esta parte procederemos a determinar y conocer los resultados de los siguientes conceptos: Ventas Netas, Compras Totales, Compras Netas, Costo de Ventas y, finalmente conocer la Utilidad en Ventas.</w:t>
      </w:r>
      <w:r w:rsidRPr="00E21142">
        <w:rPr>
          <w:color w:val="444748"/>
          <w:sz w:val="24"/>
          <w:szCs w:val="20"/>
        </w:rPr>
        <w:br/>
      </w:r>
      <w:r w:rsidRPr="00E21142">
        <w:rPr>
          <w:color w:val="444748"/>
          <w:sz w:val="24"/>
          <w:szCs w:val="20"/>
        </w:rPr>
        <w:br/>
      </w:r>
      <w:r w:rsidRPr="00E21142">
        <w:rPr>
          <w:color w:val="444748"/>
          <w:sz w:val="24"/>
          <w:szCs w:val="20"/>
          <w:shd w:val="clear" w:color="auto" w:fill="FFFFFF"/>
        </w:rPr>
        <w:t>A) Procedimiento Analítico o Pormenorizado</w:t>
      </w:r>
      <w:r w:rsidRPr="00E21142">
        <w:rPr>
          <w:color w:val="444748"/>
          <w:sz w:val="24"/>
          <w:szCs w:val="20"/>
        </w:rPr>
        <w:br/>
      </w:r>
      <w:r w:rsidRPr="00E21142">
        <w:rPr>
          <w:color w:val="444748"/>
          <w:sz w:val="24"/>
          <w:szCs w:val="20"/>
        </w:rPr>
        <w:br/>
      </w:r>
      <w:r w:rsidRPr="00E21142">
        <w:rPr>
          <w:color w:val="444748"/>
          <w:sz w:val="24"/>
          <w:szCs w:val="20"/>
          <w:shd w:val="clear" w:color="auto" w:fill="FFFFFF"/>
        </w:rPr>
        <w:t>De acuerdo al registro de mercancías, mediante el procedimiento Analítico o Pormenorizado, se determinan unas fórmulas de que se rige la contabilidad para mostrar las operaciones que afectan al patrimonio de una empresa.</w:t>
      </w:r>
      <w:r w:rsidRPr="00E21142">
        <w:rPr>
          <w:color w:val="444748"/>
          <w:sz w:val="24"/>
          <w:szCs w:val="20"/>
        </w:rPr>
        <w:br/>
      </w:r>
      <w:r w:rsidRPr="00E21142">
        <w:rPr>
          <w:color w:val="444748"/>
          <w:sz w:val="24"/>
          <w:szCs w:val="20"/>
          <w:shd w:val="clear" w:color="auto" w:fill="FFFFFF"/>
        </w:rPr>
        <w:t>a) Para obtener las VENTAS NETAS: Ventas Totales</w:t>
      </w:r>
      <w:r w:rsidRPr="00E21142">
        <w:rPr>
          <w:color w:val="444748"/>
          <w:sz w:val="24"/>
          <w:szCs w:val="20"/>
        </w:rPr>
        <w:br/>
      </w:r>
      <w:proofErr w:type="gramStart"/>
      <w:r w:rsidRPr="00E21142">
        <w:rPr>
          <w:color w:val="444748"/>
          <w:sz w:val="24"/>
          <w:szCs w:val="20"/>
          <w:shd w:val="clear" w:color="auto" w:fill="FFFFFF"/>
        </w:rPr>
        <w:t>( -</w:t>
      </w:r>
      <w:proofErr w:type="gramEnd"/>
      <w:r w:rsidRPr="00E21142">
        <w:rPr>
          <w:color w:val="444748"/>
          <w:sz w:val="24"/>
          <w:szCs w:val="20"/>
          <w:shd w:val="clear" w:color="auto" w:fill="FFFFFF"/>
        </w:rPr>
        <w:t xml:space="preserve"> ) Devoluciones y/o Rebajas sobre Ventas</w:t>
      </w:r>
      <w:r w:rsidRPr="00E21142">
        <w:rPr>
          <w:color w:val="444748"/>
          <w:sz w:val="24"/>
          <w:szCs w:val="20"/>
        </w:rPr>
        <w:br/>
      </w:r>
      <w:r w:rsidRPr="00E21142">
        <w:rPr>
          <w:color w:val="444748"/>
          <w:sz w:val="24"/>
          <w:szCs w:val="20"/>
          <w:shd w:val="clear" w:color="auto" w:fill="FFFFFF"/>
        </w:rPr>
        <w:t>( = ) Ventas Netas</w:t>
      </w:r>
      <w:r w:rsidRPr="00E21142">
        <w:rPr>
          <w:color w:val="444748"/>
          <w:sz w:val="24"/>
          <w:szCs w:val="20"/>
        </w:rPr>
        <w:br/>
      </w:r>
      <w:r w:rsidRPr="00E21142">
        <w:rPr>
          <w:color w:val="444748"/>
          <w:sz w:val="24"/>
          <w:szCs w:val="20"/>
        </w:rPr>
        <w:br/>
      </w:r>
      <w:r w:rsidRPr="00E21142">
        <w:rPr>
          <w:color w:val="444748"/>
          <w:sz w:val="24"/>
          <w:szCs w:val="20"/>
          <w:shd w:val="clear" w:color="auto" w:fill="FFFFFF"/>
        </w:rPr>
        <w:t>Nota: De no haber Devoluciones y/o Rebajas sobre Ventas, las Ventas Totales pasan a ser las Ventas Netas.</w:t>
      </w:r>
      <w:r w:rsidRPr="00E21142">
        <w:rPr>
          <w:color w:val="444748"/>
          <w:sz w:val="24"/>
          <w:szCs w:val="20"/>
        </w:rPr>
        <w:br/>
      </w:r>
      <w:r w:rsidRPr="00E21142">
        <w:rPr>
          <w:color w:val="444748"/>
          <w:sz w:val="24"/>
          <w:szCs w:val="20"/>
          <w:shd w:val="clear" w:color="auto" w:fill="FFFFFF"/>
        </w:rPr>
        <w:t>b) Para obtener el COSTO DE VENTAS: Inventario Inicial</w:t>
      </w:r>
      <w:r w:rsidRPr="00E21142">
        <w:rPr>
          <w:color w:val="444748"/>
          <w:sz w:val="24"/>
          <w:szCs w:val="20"/>
        </w:rPr>
        <w:br/>
      </w:r>
      <w:proofErr w:type="gramStart"/>
      <w:r w:rsidRPr="00E21142">
        <w:rPr>
          <w:color w:val="444748"/>
          <w:sz w:val="24"/>
          <w:szCs w:val="20"/>
          <w:shd w:val="clear" w:color="auto" w:fill="FFFFFF"/>
        </w:rPr>
        <w:t>( +</w:t>
      </w:r>
      <w:proofErr w:type="gramEnd"/>
      <w:r w:rsidRPr="00E21142">
        <w:rPr>
          <w:color w:val="444748"/>
          <w:sz w:val="24"/>
          <w:szCs w:val="20"/>
          <w:shd w:val="clear" w:color="auto" w:fill="FFFFFF"/>
        </w:rPr>
        <w:t xml:space="preserve"> ) Compras Netas</w:t>
      </w:r>
      <w:r w:rsidRPr="00E21142">
        <w:rPr>
          <w:color w:val="444748"/>
          <w:sz w:val="24"/>
          <w:szCs w:val="20"/>
        </w:rPr>
        <w:br/>
      </w:r>
      <w:r w:rsidRPr="00E21142">
        <w:rPr>
          <w:color w:val="444748"/>
          <w:sz w:val="24"/>
          <w:szCs w:val="20"/>
          <w:shd w:val="clear" w:color="auto" w:fill="FFFFFF"/>
        </w:rPr>
        <w:t>( = ) Disponible en Almacén ( - ) Inventario Final</w:t>
      </w:r>
      <w:r w:rsidRPr="00E21142">
        <w:rPr>
          <w:color w:val="444748"/>
          <w:sz w:val="24"/>
          <w:szCs w:val="20"/>
        </w:rPr>
        <w:br/>
      </w:r>
      <w:r w:rsidRPr="00E21142">
        <w:rPr>
          <w:color w:val="444748"/>
          <w:sz w:val="24"/>
          <w:szCs w:val="20"/>
          <w:shd w:val="clear" w:color="auto" w:fill="FFFFFF"/>
        </w:rPr>
        <w:t>( = ) Costo de Ventas.</w:t>
      </w:r>
      <w:r w:rsidRPr="00E21142">
        <w:rPr>
          <w:color w:val="444748"/>
          <w:sz w:val="24"/>
          <w:szCs w:val="20"/>
        </w:rPr>
        <w:br/>
      </w:r>
      <w:r w:rsidRPr="00E21142">
        <w:rPr>
          <w:color w:val="444748"/>
          <w:sz w:val="24"/>
          <w:szCs w:val="20"/>
          <w:shd w:val="clear" w:color="auto" w:fill="FFFFFF"/>
        </w:rPr>
        <w:t>c) Para obtener las COMPRAS TOTALES: Compras</w:t>
      </w:r>
      <w:r w:rsidRPr="00E21142">
        <w:rPr>
          <w:color w:val="444748"/>
          <w:sz w:val="24"/>
          <w:szCs w:val="20"/>
        </w:rPr>
        <w:br/>
      </w:r>
      <w:r w:rsidRPr="00E21142">
        <w:rPr>
          <w:color w:val="444748"/>
          <w:sz w:val="24"/>
          <w:szCs w:val="20"/>
          <w:shd w:val="clear" w:color="auto" w:fill="FFFFFF"/>
        </w:rPr>
        <w:t>(</w:t>
      </w:r>
      <w:proofErr w:type="gramStart"/>
      <w:r w:rsidRPr="00E21142">
        <w:rPr>
          <w:color w:val="444748"/>
          <w:sz w:val="24"/>
          <w:szCs w:val="20"/>
          <w:shd w:val="clear" w:color="auto" w:fill="FFFFFF"/>
        </w:rPr>
        <w:t>+ )</w:t>
      </w:r>
      <w:proofErr w:type="gramEnd"/>
      <w:r w:rsidRPr="00E21142">
        <w:rPr>
          <w:color w:val="444748"/>
          <w:sz w:val="24"/>
          <w:szCs w:val="20"/>
          <w:shd w:val="clear" w:color="auto" w:fill="FFFFFF"/>
        </w:rPr>
        <w:t xml:space="preserve"> Gastos de Compras</w:t>
      </w:r>
      <w:r w:rsidRPr="00E21142">
        <w:rPr>
          <w:color w:val="444748"/>
          <w:sz w:val="24"/>
          <w:szCs w:val="20"/>
        </w:rPr>
        <w:br/>
      </w:r>
      <w:r w:rsidRPr="00E21142">
        <w:rPr>
          <w:color w:val="444748"/>
          <w:sz w:val="24"/>
          <w:szCs w:val="20"/>
          <w:shd w:val="clear" w:color="auto" w:fill="FFFFFF"/>
        </w:rPr>
        <w:t>( = ) Compras Totales</w:t>
      </w:r>
      <w:r w:rsidRPr="00E21142">
        <w:rPr>
          <w:color w:val="444748"/>
          <w:sz w:val="24"/>
          <w:szCs w:val="20"/>
        </w:rPr>
        <w:br/>
      </w:r>
      <w:r w:rsidRPr="00E21142">
        <w:rPr>
          <w:color w:val="444748"/>
          <w:sz w:val="24"/>
          <w:szCs w:val="20"/>
        </w:rPr>
        <w:br/>
      </w:r>
      <w:r w:rsidRPr="00E21142">
        <w:rPr>
          <w:color w:val="444748"/>
          <w:sz w:val="24"/>
          <w:szCs w:val="20"/>
          <w:shd w:val="clear" w:color="auto" w:fill="FFFFFF"/>
        </w:rPr>
        <w:t>Nota: Cuando no hay Gastos de Compra, el valor de las Compras pasan a ser Compras Totales.</w:t>
      </w:r>
      <w:r w:rsidRPr="00E21142">
        <w:rPr>
          <w:color w:val="444748"/>
          <w:sz w:val="24"/>
          <w:szCs w:val="20"/>
        </w:rPr>
        <w:br/>
      </w:r>
      <w:r w:rsidRPr="00E21142">
        <w:rPr>
          <w:color w:val="444748"/>
          <w:sz w:val="24"/>
          <w:szCs w:val="20"/>
          <w:shd w:val="clear" w:color="auto" w:fill="FFFFFF"/>
        </w:rPr>
        <w:t>d) Para obtener las COMPRAS NETAS: Compras Totales</w:t>
      </w:r>
      <w:r w:rsidRPr="00E21142">
        <w:rPr>
          <w:color w:val="444748"/>
          <w:sz w:val="24"/>
          <w:szCs w:val="20"/>
        </w:rPr>
        <w:br/>
      </w:r>
      <w:r w:rsidRPr="00E21142">
        <w:rPr>
          <w:color w:val="444748"/>
          <w:sz w:val="24"/>
          <w:szCs w:val="20"/>
          <w:shd w:val="clear" w:color="auto" w:fill="FFFFFF"/>
        </w:rPr>
        <w:t>(</w:t>
      </w:r>
      <w:proofErr w:type="gramStart"/>
      <w:r w:rsidRPr="00E21142">
        <w:rPr>
          <w:color w:val="444748"/>
          <w:sz w:val="24"/>
          <w:szCs w:val="20"/>
          <w:shd w:val="clear" w:color="auto" w:fill="FFFFFF"/>
        </w:rPr>
        <w:t>- )</w:t>
      </w:r>
      <w:proofErr w:type="gramEnd"/>
      <w:r w:rsidRPr="00E21142">
        <w:rPr>
          <w:color w:val="444748"/>
          <w:sz w:val="24"/>
          <w:szCs w:val="20"/>
          <w:shd w:val="clear" w:color="auto" w:fill="FFFFFF"/>
        </w:rPr>
        <w:t xml:space="preserve"> Devolución y/o Rebajas sobre compras</w:t>
      </w:r>
      <w:r w:rsidRPr="00E21142">
        <w:rPr>
          <w:color w:val="444748"/>
          <w:sz w:val="24"/>
          <w:szCs w:val="20"/>
        </w:rPr>
        <w:br/>
      </w:r>
      <w:r w:rsidRPr="00E21142">
        <w:rPr>
          <w:color w:val="444748"/>
          <w:sz w:val="24"/>
          <w:szCs w:val="20"/>
          <w:shd w:val="clear" w:color="auto" w:fill="FFFFFF"/>
        </w:rPr>
        <w:t>( = ) Compras Netas</w:t>
      </w:r>
      <w:r w:rsidRPr="00E21142">
        <w:rPr>
          <w:color w:val="444748"/>
          <w:sz w:val="24"/>
          <w:szCs w:val="20"/>
        </w:rPr>
        <w:br/>
      </w:r>
      <w:r w:rsidRPr="00E21142">
        <w:rPr>
          <w:color w:val="444748"/>
          <w:sz w:val="24"/>
          <w:szCs w:val="20"/>
        </w:rPr>
        <w:br/>
      </w:r>
      <w:r w:rsidRPr="00E21142">
        <w:rPr>
          <w:color w:val="444748"/>
          <w:sz w:val="24"/>
          <w:szCs w:val="20"/>
          <w:shd w:val="clear" w:color="auto" w:fill="FFFFFF"/>
        </w:rPr>
        <w:lastRenderedPageBreak/>
        <w:t>Nota: De no haber Devoluciones y/o Rebajas sobre Compras, las Compras Totales pasan a ser las Compras Netas.</w:t>
      </w:r>
      <w:r w:rsidRPr="00E21142">
        <w:rPr>
          <w:color w:val="444748"/>
          <w:sz w:val="24"/>
          <w:szCs w:val="20"/>
        </w:rPr>
        <w:br/>
      </w:r>
      <w:r w:rsidRPr="00E21142">
        <w:rPr>
          <w:color w:val="444748"/>
          <w:sz w:val="24"/>
          <w:szCs w:val="20"/>
        </w:rPr>
        <w:br/>
      </w:r>
      <w:r w:rsidRPr="00E21142">
        <w:rPr>
          <w:color w:val="444748"/>
          <w:sz w:val="24"/>
          <w:szCs w:val="20"/>
        </w:rPr>
        <w:br/>
      </w:r>
      <w:r w:rsidRPr="00E21142">
        <w:rPr>
          <w:color w:val="444748"/>
          <w:sz w:val="24"/>
          <w:szCs w:val="20"/>
          <w:shd w:val="clear" w:color="auto" w:fill="FFFFFF"/>
        </w:rPr>
        <w:t>e) Para obtener la UTILIDAD O PÉRDIDA BRUTA:</w:t>
      </w:r>
      <w:r w:rsidRPr="00E21142">
        <w:rPr>
          <w:color w:val="444748"/>
          <w:sz w:val="24"/>
          <w:szCs w:val="20"/>
        </w:rPr>
        <w:br/>
      </w:r>
      <w:r w:rsidRPr="00E21142">
        <w:rPr>
          <w:color w:val="444748"/>
          <w:sz w:val="24"/>
          <w:szCs w:val="20"/>
        </w:rPr>
        <w:br/>
      </w:r>
      <w:r w:rsidRPr="00E21142">
        <w:rPr>
          <w:color w:val="444748"/>
          <w:sz w:val="24"/>
          <w:szCs w:val="20"/>
        </w:rPr>
        <w:br/>
      </w:r>
      <w:r w:rsidRPr="00E21142">
        <w:rPr>
          <w:color w:val="444748"/>
          <w:sz w:val="24"/>
          <w:szCs w:val="20"/>
        </w:rPr>
        <w:br/>
      </w:r>
      <w:r w:rsidRPr="00E21142">
        <w:rPr>
          <w:color w:val="444748"/>
          <w:sz w:val="24"/>
          <w:szCs w:val="20"/>
        </w:rPr>
        <w:br/>
      </w:r>
      <w:r w:rsidRPr="00E21142">
        <w:rPr>
          <w:color w:val="444748"/>
          <w:sz w:val="24"/>
          <w:szCs w:val="20"/>
          <w:shd w:val="clear" w:color="auto" w:fill="FFFFFF"/>
        </w:rPr>
        <w:t>Ventas Netas</w:t>
      </w:r>
      <w:r w:rsidRPr="00E21142">
        <w:rPr>
          <w:color w:val="444748"/>
          <w:sz w:val="24"/>
          <w:szCs w:val="20"/>
        </w:rPr>
        <w:br/>
      </w:r>
      <w:proofErr w:type="gramStart"/>
      <w:r w:rsidRPr="00E21142">
        <w:rPr>
          <w:color w:val="444748"/>
          <w:sz w:val="24"/>
          <w:szCs w:val="20"/>
          <w:shd w:val="clear" w:color="auto" w:fill="FFFFFF"/>
        </w:rPr>
        <w:t>( -</w:t>
      </w:r>
      <w:proofErr w:type="gramEnd"/>
      <w:r w:rsidRPr="00E21142">
        <w:rPr>
          <w:color w:val="444748"/>
          <w:sz w:val="24"/>
          <w:szCs w:val="20"/>
          <w:shd w:val="clear" w:color="auto" w:fill="FFFFFF"/>
        </w:rPr>
        <w:t xml:space="preserve"> ) Costo de Ventas</w:t>
      </w:r>
      <w:r w:rsidRPr="00E21142">
        <w:rPr>
          <w:color w:val="444748"/>
          <w:sz w:val="24"/>
          <w:szCs w:val="20"/>
        </w:rPr>
        <w:br/>
      </w:r>
      <w:r w:rsidRPr="00E21142">
        <w:rPr>
          <w:color w:val="444748"/>
          <w:sz w:val="24"/>
          <w:szCs w:val="20"/>
          <w:shd w:val="clear" w:color="auto" w:fill="FFFFFF"/>
        </w:rPr>
        <w:t>( = ) Utilidad o Pérdida Bruta</w:t>
      </w:r>
      <w:r w:rsidRPr="00E21142">
        <w:rPr>
          <w:color w:val="444748"/>
          <w:sz w:val="24"/>
          <w:szCs w:val="20"/>
        </w:rPr>
        <w:br/>
      </w:r>
      <w:r w:rsidRPr="00E21142">
        <w:rPr>
          <w:color w:val="444748"/>
          <w:sz w:val="24"/>
          <w:szCs w:val="20"/>
        </w:rPr>
        <w:br/>
      </w:r>
      <w:r w:rsidRPr="00E21142">
        <w:rPr>
          <w:color w:val="444748"/>
          <w:sz w:val="24"/>
          <w:szCs w:val="20"/>
          <w:shd w:val="clear" w:color="auto" w:fill="FFFFFF"/>
        </w:rPr>
        <w:t>1. Será UTILIDAD BRUTA cuando las ventas netas sean mayores que el costo de ventas.</w:t>
      </w:r>
      <w:r w:rsidRPr="00E21142">
        <w:rPr>
          <w:color w:val="444748"/>
          <w:sz w:val="24"/>
          <w:szCs w:val="20"/>
        </w:rPr>
        <w:br/>
      </w:r>
      <w:r w:rsidRPr="00E21142">
        <w:rPr>
          <w:color w:val="444748"/>
          <w:sz w:val="24"/>
          <w:szCs w:val="20"/>
          <w:shd w:val="clear" w:color="auto" w:fill="FFFFFF"/>
        </w:rPr>
        <w:t>2. Será PÉRDIDA BRUTA cuando las ventas netas sean menores que el costo de ventas.</w:t>
      </w:r>
      <w:r w:rsidRPr="00E21142">
        <w:rPr>
          <w:color w:val="444748"/>
          <w:sz w:val="24"/>
          <w:szCs w:val="20"/>
        </w:rPr>
        <w:br/>
      </w:r>
      <w:r w:rsidRPr="00E21142">
        <w:rPr>
          <w:color w:val="444748"/>
          <w:sz w:val="24"/>
          <w:szCs w:val="20"/>
          <w:shd w:val="clear" w:color="auto" w:fill="FFFFFF"/>
        </w:rPr>
        <w:t>f) Para obtener la UTILIDAD o PÉRDIDA DE OPERACIÓN: Utilidad o Pérdida Bruta</w:t>
      </w:r>
      <w:r w:rsidRPr="00E21142">
        <w:rPr>
          <w:color w:val="444748"/>
          <w:sz w:val="24"/>
          <w:szCs w:val="20"/>
        </w:rPr>
        <w:br/>
      </w:r>
      <w:proofErr w:type="gramStart"/>
      <w:r w:rsidRPr="00E21142">
        <w:rPr>
          <w:color w:val="444748"/>
          <w:sz w:val="24"/>
          <w:szCs w:val="20"/>
          <w:shd w:val="clear" w:color="auto" w:fill="FFFFFF"/>
        </w:rPr>
        <w:t>( +</w:t>
      </w:r>
      <w:proofErr w:type="gramEnd"/>
      <w:r w:rsidRPr="00E21142">
        <w:rPr>
          <w:color w:val="444748"/>
          <w:sz w:val="24"/>
          <w:szCs w:val="20"/>
          <w:shd w:val="clear" w:color="auto" w:fill="FFFFFF"/>
        </w:rPr>
        <w:t xml:space="preserve"> </w:t>
      </w:r>
      <w:proofErr w:type="spellStart"/>
      <w:r w:rsidRPr="00E21142">
        <w:rPr>
          <w:color w:val="444748"/>
          <w:sz w:val="24"/>
          <w:szCs w:val="20"/>
          <w:shd w:val="clear" w:color="auto" w:fill="FFFFFF"/>
        </w:rPr>
        <w:t>ó</w:t>
      </w:r>
      <w:proofErr w:type="spellEnd"/>
      <w:r w:rsidRPr="00E21142">
        <w:rPr>
          <w:color w:val="444748"/>
          <w:sz w:val="24"/>
          <w:szCs w:val="20"/>
          <w:shd w:val="clear" w:color="auto" w:fill="FFFFFF"/>
        </w:rPr>
        <w:t xml:space="preserve"> - ) Gastos de Operación (venta y administración)</w:t>
      </w:r>
      <w:r w:rsidRPr="00E21142">
        <w:rPr>
          <w:color w:val="444748"/>
          <w:sz w:val="24"/>
          <w:szCs w:val="20"/>
        </w:rPr>
        <w:br/>
      </w:r>
      <w:r w:rsidRPr="00E21142">
        <w:rPr>
          <w:color w:val="444748"/>
          <w:sz w:val="24"/>
          <w:szCs w:val="20"/>
          <w:shd w:val="clear" w:color="auto" w:fill="FFFFFF"/>
        </w:rPr>
        <w:t>( = ) Utilidad o Pérdida de Operación</w:t>
      </w:r>
      <w:r w:rsidRPr="00E21142">
        <w:rPr>
          <w:color w:val="444748"/>
          <w:sz w:val="24"/>
          <w:szCs w:val="20"/>
        </w:rPr>
        <w:br/>
      </w:r>
      <w:r w:rsidRPr="00E21142">
        <w:rPr>
          <w:color w:val="444748"/>
          <w:sz w:val="24"/>
          <w:szCs w:val="20"/>
        </w:rPr>
        <w:br/>
      </w:r>
      <w:r w:rsidRPr="00E21142">
        <w:rPr>
          <w:color w:val="444748"/>
          <w:sz w:val="24"/>
          <w:szCs w:val="20"/>
          <w:shd w:val="clear" w:color="auto" w:fill="FFFFFF"/>
        </w:rPr>
        <w:t>1. Los gastos siempre se restan a la utilidad</w:t>
      </w:r>
      <w:r w:rsidRPr="00E21142">
        <w:rPr>
          <w:color w:val="444748"/>
          <w:sz w:val="24"/>
          <w:szCs w:val="20"/>
        </w:rPr>
        <w:br/>
      </w:r>
      <w:r w:rsidRPr="00E21142">
        <w:rPr>
          <w:color w:val="444748"/>
          <w:sz w:val="24"/>
          <w:szCs w:val="20"/>
          <w:shd w:val="clear" w:color="auto" w:fill="FFFFFF"/>
        </w:rPr>
        <w:t>2. Los gastos siempre se suman a la pérdida</w:t>
      </w:r>
      <w:r w:rsidRPr="00E21142">
        <w:rPr>
          <w:color w:val="444748"/>
          <w:sz w:val="24"/>
          <w:szCs w:val="20"/>
        </w:rPr>
        <w:br/>
      </w:r>
      <w:r w:rsidRPr="00E21142">
        <w:rPr>
          <w:color w:val="444748"/>
          <w:sz w:val="24"/>
          <w:szCs w:val="20"/>
          <w:shd w:val="clear" w:color="auto" w:fill="FFFFFF"/>
        </w:rPr>
        <w:t xml:space="preserve">g) Para obtener la UTILIDAD </w:t>
      </w:r>
      <w:proofErr w:type="spellStart"/>
      <w:r w:rsidRPr="00E21142">
        <w:rPr>
          <w:color w:val="444748"/>
          <w:sz w:val="24"/>
          <w:szCs w:val="20"/>
          <w:shd w:val="clear" w:color="auto" w:fill="FFFFFF"/>
        </w:rPr>
        <w:t>ó</w:t>
      </w:r>
      <w:proofErr w:type="spellEnd"/>
      <w:r w:rsidRPr="00E21142">
        <w:rPr>
          <w:color w:val="444748"/>
          <w:sz w:val="24"/>
          <w:szCs w:val="20"/>
          <w:shd w:val="clear" w:color="auto" w:fill="FFFFFF"/>
        </w:rPr>
        <w:t xml:space="preserve"> PÉRDIDA FINANCIERA: Utilidad o Pérdida de Operación</w:t>
      </w:r>
      <w:r w:rsidRPr="00E21142">
        <w:rPr>
          <w:color w:val="444748"/>
          <w:sz w:val="24"/>
          <w:szCs w:val="20"/>
        </w:rPr>
        <w:br/>
      </w:r>
      <w:r w:rsidRPr="00E21142">
        <w:rPr>
          <w:color w:val="444748"/>
          <w:sz w:val="24"/>
          <w:szCs w:val="20"/>
          <w:shd w:val="clear" w:color="auto" w:fill="FFFFFF"/>
        </w:rPr>
        <w:t xml:space="preserve">(+ </w:t>
      </w:r>
      <w:proofErr w:type="spellStart"/>
      <w:r w:rsidRPr="00E21142">
        <w:rPr>
          <w:color w:val="444748"/>
          <w:sz w:val="24"/>
          <w:szCs w:val="20"/>
          <w:shd w:val="clear" w:color="auto" w:fill="FFFFFF"/>
        </w:rPr>
        <w:t>ó</w:t>
      </w:r>
      <w:proofErr w:type="spellEnd"/>
      <w:r w:rsidRPr="00E21142">
        <w:rPr>
          <w:color w:val="444748"/>
          <w:sz w:val="24"/>
          <w:szCs w:val="20"/>
          <w:shd w:val="clear" w:color="auto" w:fill="FFFFFF"/>
        </w:rPr>
        <w:t xml:space="preserve"> </w:t>
      </w:r>
      <w:proofErr w:type="gramStart"/>
      <w:r w:rsidRPr="00E21142">
        <w:rPr>
          <w:color w:val="444748"/>
          <w:sz w:val="24"/>
          <w:szCs w:val="20"/>
          <w:shd w:val="clear" w:color="auto" w:fill="FFFFFF"/>
        </w:rPr>
        <w:t>- )</w:t>
      </w:r>
      <w:proofErr w:type="gramEnd"/>
      <w:r w:rsidRPr="00E21142">
        <w:rPr>
          <w:color w:val="444748"/>
          <w:sz w:val="24"/>
          <w:szCs w:val="20"/>
          <w:shd w:val="clear" w:color="auto" w:fill="FFFFFF"/>
        </w:rPr>
        <w:t xml:space="preserve"> Gastos y Productos Financieros</w:t>
      </w:r>
      <w:r w:rsidRPr="00E21142">
        <w:rPr>
          <w:color w:val="444748"/>
          <w:sz w:val="24"/>
          <w:szCs w:val="20"/>
        </w:rPr>
        <w:br/>
      </w:r>
      <w:r w:rsidRPr="00E21142">
        <w:rPr>
          <w:color w:val="444748"/>
          <w:sz w:val="24"/>
          <w:szCs w:val="20"/>
          <w:shd w:val="clear" w:color="auto" w:fill="FFFFFF"/>
        </w:rPr>
        <w:t xml:space="preserve">( = ) Utilidad </w:t>
      </w:r>
      <w:proofErr w:type="spellStart"/>
      <w:r w:rsidRPr="00E21142">
        <w:rPr>
          <w:color w:val="444748"/>
          <w:sz w:val="24"/>
          <w:szCs w:val="20"/>
          <w:shd w:val="clear" w:color="auto" w:fill="FFFFFF"/>
        </w:rPr>
        <w:t>ó</w:t>
      </w:r>
      <w:proofErr w:type="spellEnd"/>
      <w:r w:rsidRPr="00E21142">
        <w:rPr>
          <w:color w:val="444748"/>
          <w:sz w:val="24"/>
          <w:szCs w:val="20"/>
          <w:shd w:val="clear" w:color="auto" w:fill="FFFFFF"/>
        </w:rPr>
        <w:t xml:space="preserve"> Pérdida Financiera</w:t>
      </w:r>
      <w:r w:rsidRPr="00E21142">
        <w:rPr>
          <w:color w:val="444748"/>
          <w:sz w:val="24"/>
          <w:szCs w:val="20"/>
        </w:rPr>
        <w:br/>
      </w:r>
      <w:r w:rsidRPr="00E21142">
        <w:rPr>
          <w:color w:val="444748"/>
          <w:sz w:val="24"/>
          <w:szCs w:val="20"/>
        </w:rPr>
        <w:br/>
      </w:r>
      <w:r w:rsidRPr="00E21142">
        <w:rPr>
          <w:color w:val="444748"/>
          <w:sz w:val="24"/>
          <w:szCs w:val="20"/>
        </w:rPr>
        <w:br/>
      </w:r>
      <w:r w:rsidRPr="00E21142">
        <w:rPr>
          <w:color w:val="444748"/>
          <w:sz w:val="24"/>
          <w:szCs w:val="20"/>
          <w:shd w:val="clear" w:color="auto" w:fill="FFFFFF"/>
        </w:rPr>
        <w:t>1. Como los gastos y productos financieros son cuentas de naturaleza contraria deben restarse entre sí, si los gastos son mayores a los productos la diferencia se resta a la utilidad de operación o se suma a la pérdida de operación.</w:t>
      </w:r>
      <w:r w:rsidRPr="00E21142">
        <w:rPr>
          <w:color w:val="444748"/>
          <w:sz w:val="24"/>
          <w:szCs w:val="20"/>
        </w:rPr>
        <w:br/>
      </w:r>
      <w:r w:rsidRPr="00E21142">
        <w:rPr>
          <w:color w:val="444748"/>
          <w:sz w:val="24"/>
          <w:szCs w:val="20"/>
        </w:rPr>
        <w:br/>
      </w:r>
      <w:r w:rsidRPr="00E21142">
        <w:rPr>
          <w:color w:val="444748"/>
          <w:sz w:val="24"/>
          <w:szCs w:val="20"/>
          <w:shd w:val="clear" w:color="auto" w:fill="FFFFFF"/>
        </w:rPr>
        <w:t xml:space="preserve">2. Si los productos son mayores que los gastos la diferencia se suma a la utilidad de operación </w:t>
      </w:r>
      <w:proofErr w:type="spellStart"/>
      <w:r w:rsidRPr="00E21142">
        <w:rPr>
          <w:color w:val="444748"/>
          <w:sz w:val="24"/>
          <w:szCs w:val="20"/>
          <w:shd w:val="clear" w:color="auto" w:fill="FFFFFF"/>
        </w:rPr>
        <w:t>ó</w:t>
      </w:r>
      <w:proofErr w:type="spellEnd"/>
      <w:r w:rsidRPr="00E21142">
        <w:rPr>
          <w:color w:val="444748"/>
          <w:sz w:val="24"/>
          <w:szCs w:val="20"/>
          <w:shd w:val="clear" w:color="auto" w:fill="FFFFFF"/>
        </w:rPr>
        <w:t xml:space="preserve"> se resta a la pérdida de operación.</w:t>
      </w:r>
      <w:r w:rsidRPr="00E21142">
        <w:rPr>
          <w:color w:val="444748"/>
          <w:sz w:val="24"/>
          <w:szCs w:val="20"/>
        </w:rPr>
        <w:br/>
      </w:r>
      <w:r w:rsidRPr="00E21142">
        <w:rPr>
          <w:color w:val="444748"/>
          <w:sz w:val="24"/>
          <w:szCs w:val="20"/>
          <w:shd w:val="clear" w:color="auto" w:fill="FFFFFF"/>
        </w:rPr>
        <w:t xml:space="preserve">h) Para obtener la UTILIDAD </w:t>
      </w:r>
      <w:proofErr w:type="spellStart"/>
      <w:r w:rsidRPr="00E21142">
        <w:rPr>
          <w:color w:val="444748"/>
          <w:sz w:val="24"/>
          <w:szCs w:val="20"/>
          <w:shd w:val="clear" w:color="auto" w:fill="FFFFFF"/>
        </w:rPr>
        <w:t>ó</w:t>
      </w:r>
      <w:proofErr w:type="spellEnd"/>
      <w:r w:rsidRPr="00E21142">
        <w:rPr>
          <w:color w:val="444748"/>
          <w:sz w:val="24"/>
          <w:szCs w:val="20"/>
          <w:shd w:val="clear" w:color="auto" w:fill="FFFFFF"/>
        </w:rPr>
        <w:t xml:space="preserve"> PÉRDIDA NETA DEL EJERCICIO: Utilidad o Pérdida Financiera</w:t>
      </w:r>
      <w:r w:rsidRPr="00E21142">
        <w:rPr>
          <w:color w:val="444748"/>
          <w:sz w:val="24"/>
          <w:szCs w:val="20"/>
        </w:rPr>
        <w:br/>
      </w:r>
      <w:proofErr w:type="gramStart"/>
      <w:r w:rsidRPr="00E21142">
        <w:rPr>
          <w:color w:val="444748"/>
          <w:sz w:val="24"/>
          <w:szCs w:val="20"/>
          <w:shd w:val="clear" w:color="auto" w:fill="FFFFFF"/>
        </w:rPr>
        <w:t>( +</w:t>
      </w:r>
      <w:proofErr w:type="gramEnd"/>
      <w:r w:rsidRPr="00E21142">
        <w:rPr>
          <w:color w:val="444748"/>
          <w:sz w:val="24"/>
          <w:szCs w:val="20"/>
          <w:shd w:val="clear" w:color="auto" w:fill="FFFFFF"/>
        </w:rPr>
        <w:t xml:space="preserve"> </w:t>
      </w:r>
      <w:proofErr w:type="spellStart"/>
      <w:r w:rsidRPr="00E21142">
        <w:rPr>
          <w:color w:val="444748"/>
          <w:sz w:val="24"/>
          <w:szCs w:val="20"/>
          <w:shd w:val="clear" w:color="auto" w:fill="FFFFFF"/>
        </w:rPr>
        <w:t>ó</w:t>
      </w:r>
      <w:proofErr w:type="spellEnd"/>
      <w:r w:rsidRPr="00E21142">
        <w:rPr>
          <w:color w:val="444748"/>
          <w:sz w:val="24"/>
          <w:szCs w:val="20"/>
          <w:shd w:val="clear" w:color="auto" w:fill="FFFFFF"/>
        </w:rPr>
        <w:t xml:space="preserve"> - ) Otros Gastos y Otros Productos</w:t>
      </w:r>
      <w:r w:rsidRPr="00E21142">
        <w:rPr>
          <w:color w:val="444748"/>
          <w:sz w:val="24"/>
          <w:szCs w:val="20"/>
        </w:rPr>
        <w:br/>
      </w:r>
      <w:r w:rsidRPr="00E21142">
        <w:rPr>
          <w:color w:val="444748"/>
          <w:sz w:val="24"/>
          <w:szCs w:val="20"/>
          <w:shd w:val="clear" w:color="auto" w:fill="FFFFFF"/>
        </w:rPr>
        <w:t>( = ) Utilidad o Pérdida Neta del Ejercicio</w:t>
      </w:r>
    </w:p>
    <w:sectPr w:rsidR="00E21142" w:rsidRPr="00E211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6C6912"/>
    <w:multiLevelType w:val="hybridMultilevel"/>
    <w:tmpl w:val="97CCF248"/>
    <w:lvl w:ilvl="0" w:tplc="255C9772">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nsid w:val="54A167E2"/>
    <w:multiLevelType w:val="hybridMultilevel"/>
    <w:tmpl w:val="505096B8"/>
    <w:lvl w:ilvl="0" w:tplc="7640170A">
      <w:start w:val="1"/>
      <w:numFmt w:val="lowerLetter"/>
      <w:lvlText w:val="%1)"/>
      <w:lvlJc w:val="left"/>
      <w:pPr>
        <w:tabs>
          <w:tab w:val="num" w:pos="720"/>
        </w:tabs>
        <w:ind w:left="720" w:hanging="360"/>
      </w:pPr>
      <w:rPr>
        <w:b/>
      </w:rPr>
    </w:lvl>
    <w:lvl w:ilvl="1" w:tplc="52A2AAFA">
      <w:start w:val="1"/>
      <w:numFmt w:val="decimal"/>
      <w:lvlText w:val="%2-"/>
      <w:lvlJc w:val="left"/>
      <w:pPr>
        <w:tabs>
          <w:tab w:val="num" w:pos="1440"/>
        </w:tabs>
        <w:ind w:left="1440" w:hanging="360"/>
      </w:pPr>
    </w:lvl>
    <w:lvl w:ilvl="2" w:tplc="080A001B">
      <w:start w:val="1"/>
      <w:numFmt w:val="lowerRoman"/>
      <w:lvlText w:val="%3."/>
      <w:lvlJc w:val="right"/>
      <w:pPr>
        <w:tabs>
          <w:tab w:val="num" w:pos="2160"/>
        </w:tabs>
        <w:ind w:left="2160" w:hanging="180"/>
      </w:pPr>
    </w:lvl>
    <w:lvl w:ilvl="3" w:tplc="080A000F">
      <w:start w:val="1"/>
      <w:numFmt w:val="decimal"/>
      <w:lvlText w:val="%4."/>
      <w:lvlJc w:val="left"/>
      <w:pPr>
        <w:tabs>
          <w:tab w:val="num" w:pos="2880"/>
        </w:tabs>
        <w:ind w:left="2880" w:hanging="360"/>
      </w:pPr>
    </w:lvl>
    <w:lvl w:ilvl="4" w:tplc="080A0019">
      <w:start w:val="1"/>
      <w:numFmt w:val="lowerLetter"/>
      <w:lvlText w:val="%5."/>
      <w:lvlJc w:val="left"/>
      <w:pPr>
        <w:tabs>
          <w:tab w:val="num" w:pos="3600"/>
        </w:tabs>
        <w:ind w:left="3600" w:hanging="360"/>
      </w:pPr>
    </w:lvl>
    <w:lvl w:ilvl="5" w:tplc="080A001B">
      <w:start w:val="1"/>
      <w:numFmt w:val="lowerRoman"/>
      <w:lvlText w:val="%6."/>
      <w:lvlJc w:val="right"/>
      <w:pPr>
        <w:tabs>
          <w:tab w:val="num" w:pos="4320"/>
        </w:tabs>
        <w:ind w:left="4320" w:hanging="180"/>
      </w:pPr>
    </w:lvl>
    <w:lvl w:ilvl="6" w:tplc="080A000F">
      <w:start w:val="1"/>
      <w:numFmt w:val="decimal"/>
      <w:lvlText w:val="%7."/>
      <w:lvlJc w:val="left"/>
      <w:pPr>
        <w:tabs>
          <w:tab w:val="num" w:pos="5040"/>
        </w:tabs>
        <w:ind w:left="5040" w:hanging="360"/>
      </w:pPr>
    </w:lvl>
    <w:lvl w:ilvl="7" w:tplc="080A0019">
      <w:start w:val="1"/>
      <w:numFmt w:val="lowerLetter"/>
      <w:lvlText w:val="%8."/>
      <w:lvlJc w:val="left"/>
      <w:pPr>
        <w:tabs>
          <w:tab w:val="num" w:pos="5760"/>
        </w:tabs>
        <w:ind w:left="5760" w:hanging="360"/>
      </w:pPr>
    </w:lvl>
    <w:lvl w:ilvl="8" w:tplc="080A001B">
      <w:start w:val="1"/>
      <w:numFmt w:val="lowerRoman"/>
      <w:lvlText w:val="%9."/>
      <w:lvlJc w:val="right"/>
      <w:pPr>
        <w:tabs>
          <w:tab w:val="num" w:pos="6480"/>
        </w:tabs>
        <w:ind w:left="6480" w:hanging="180"/>
      </w:pPr>
    </w:lvl>
  </w:abstractNum>
  <w:abstractNum w:abstractNumId="2">
    <w:nsid w:val="787A2A62"/>
    <w:multiLevelType w:val="hybridMultilevel"/>
    <w:tmpl w:val="79FEAA78"/>
    <w:lvl w:ilvl="0" w:tplc="080A0017">
      <w:start w:val="1"/>
      <w:numFmt w:val="lowerLetter"/>
      <w:lvlText w:val="%1)"/>
      <w:lvlJc w:val="left"/>
      <w:pPr>
        <w:tabs>
          <w:tab w:val="num" w:pos="720"/>
        </w:tabs>
        <w:ind w:left="720" w:hanging="360"/>
      </w:pPr>
    </w:lvl>
    <w:lvl w:ilvl="1" w:tplc="080A0019">
      <w:start w:val="1"/>
      <w:numFmt w:val="lowerLetter"/>
      <w:lvlText w:val="%2."/>
      <w:lvlJc w:val="left"/>
      <w:pPr>
        <w:tabs>
          <w:tab w:val="num" w:pos="1440"/>
        </w:tabs>
        <w:ind w:left="1440" w:hanging="360"/>
      </w:pPr>
    </w:lvl>
    <w:lvl w:ilvl="2" w:tplc="080A001B">
      <w:start w:val="1"/>
      <w:numFmt w:val="lowerRoman"/>
      <w:lvlText w:val="%3."/>
      <w:lvlJc w:val="right"/>
      <w:pPr>
        <w:tabs>
          <w:tab w:val="num" w:pos="2160"/>
        </w:tabs>
        <w:ind w:left="2160" w:hanging="180"/>
      </w:pPr>
    </w:lvl>
    <w:lvl w:ilvl="3" w:tplc="080A000F">
      <w:start w:val="1"/>
      <w:numFmt w:val="decimal"/>
      <w:lvlText w:val="%4."/>
      <w:lvlJc w:val="left"/>
      <w:pPr>
        <w:tabs>
          <w:tab w:val="num" w:pos="2880"/>
        </w:tabs>
        <w:ind w:left="2880" w:hanging="360"/>
      </w:pPr>
    </w:lvl>
    <w:lvl w:ilvl="4" w:tplc="080A0019">
      <w:start w:val="1"/>
      <w:numFmt w:val="lowerLetter"/>
      <w:lvlText w:val="%5."/>
      <w:lvlJc w:val="left"/>
      <w:pPr>
        <w:tabs>
          <w:tab w:val="num" w:pos="3600"/>
        </w:tabs>
        <w:ind w:left="3600" w:hanging="360"/>
      </w:pPr>
    </w:lvl>
    <w:lvl w:ilvl="5" w:tplc="080A001B">
      <w:start w:val="1"/>
      <w:numFmt w:val="lowerRoman"/>
      <w:lvlText w:val="%6."/>
      <w:lvlJc w:val="right"/>
      <w:pPr>
        <w:tabs>
          <w:tab w:val="num" w:pos="4320"/>
        </w:tabs>
        <w:ind w:left="4320" w:hanging="180"/>
      </w:pPr>
    </w:lvl>
    <w:lvl w:ilvl="6" w:tplc="080A000F">
      <w:start w:val="1"/>
      <w:numFmt w:val="decimal"/>
      <w:lvlText w:val="%7."/>
      <w:lvlJc w:val="left"/>
      <w:pPr>
        <w:tabs>
          <w:tab w:val="num" w:pos="5040"/>
        </w:tabs>
        <w:ind w:left="5040" w:hanging="360"/>
      </w:pPr>
    </w:lvl>
    <w:lvl w:ilvl="7" w:tplc="080A0019">
      <w:start w:val="1"/>
      <w:numFmt w:val="lowerLetter"/>
      <w:lvlText w:val="%8."/>
      <w:lvlJc w:val="left"/>
      <w:pPr>
        <w:tabs>
          <w:tab w:val="num" w:pos="5760"/>
        </w:tabs>
        <w:ind w:left="5760" w:hanging="360"/>
      </w:pPr>
    </w:lvl>
    <w:lvl w:ilvl="8" w:tplc="080A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82E"/>
    <w:rsid w:val="000F5A37"/>
    <w:rsid w:val="001A7572"/>
    <w:rsid w:val="003C3D13"/>
    <w:rsid w:val="00401404"/>
    <w:rsid w:val="00461E96"/>
    <w:rsid w:val="008A2069"/>
    <w:rsid w:val="00AC7610"/>
    <w:rsid w:val="00BB082E"/>
    <w:rsid w:val="00D338F5"/>
    <w:rsid w:val="00D54DDF"/>
    <w:rsid w:val="00E207CF"/>
    <w:rsid w:val="00E211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300A6-D04E-4762-B518-9EC2E3AE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069"/>
  </w:style>
  <w:style w:type="paragraph" w:styleId="Ttulo1">
    <w:name w:val="heading 1"/>
    <w:basedOn w:val="Normal"/>
    <w:next w:val="Normal"/>
    <w:link w:val="Ttulo1Car"/>
    <w:uiPriority w:val="9"/>
    <w:qFormat/>
    <w:rsid w:val="008A206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8A206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8A2069"/>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8A206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8A206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8A206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8A206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8A2069"/>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8A2069"/>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2069"/>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8A2069"/>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8A2069"/>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8A2069"/>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8A2069"/>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8A2069"/>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8A2069"/>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8A2069"/>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8A2069"/>
    <w:rPr>
      <w:b/>
      <w:bCs/>
      <w:i/>
      <w:iCs/>
    </w:rPr>
  </w:style>
  <w:style w:type="paragraph" w:styleId="Descripcin">
    <w:name w:val="caption"/>
    <w:basedOn w:val="Normal"/>
    <w:next w:val="Normal"/>
    <w:uiPriority w:val="35"/>
    <w:semiHidden/>
    <w:unhideWhenUsed/>
    <w:qFormat/>
    <w:rsid w:val="008A2069"/>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8A206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PuestoCar">
    <w:name w:val="Puesto Car"/>
    <w:basedOn w:val="Fuentedeprrafopredeter"/>
    <w:link w:val="Puesto"/>
    <w:uiPriority w:val="10"/>
    <w:rsid w:val="008A2069"/>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8A2069"/>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8A2069"/>
    <w:rPr>
      <w:color w:val="44546A" w:themeColor="text2"/>
      <w:sz w:val="28"/>
      <w:szCs w:val="28"/>
    </w:rPr>
  </w:style>
  <w:style w:type="character" w:styleId="Textoennegrita">
    <w:name w:val="Strong"/>
    <w:basedOn w:val="Fuentedeprrafopredeter"/>
    <w:uiPriority w:val="22"/>
    <w:qFormat/>
    <w:rsid w:val="008A2069"/>
    <w:rPr>
      <w:b/>
      <w:bCs/>
    </w:rPr>
  </w:style>
  <w:style w:type="character" w:styleId="nfasis">
    <w:name w:val="Emphasis"/>
    <w:basedOn w:val="Fuentedeprrafopredeter"/>
    <w:uiPriority w:val="20"/>
    <w:qFormat/>
    <w:rsid w:val="008A2069"/>
    <w:rPr>
      <w:i/>
      <w:iCs/>
      <w:color w:val="000000" w:themeColor="text1"/>
    </w:rPr>
  </w:style>
  <w:style w:type="paragraph" w:styleId="Sinespaciado">
    <w:name w:val="No Spacing"/>
    <w:uiPriority w:val="1"/>
    <w:qFormat/>
    <w:rsid w:val="008A2069"/>
    <w:pPr>
      <w:spacing w:after="0" w:line="240" w:lineRule="auto"/>
    </w:pPr>
  </w:style>
  <w:style w:type="paragraph" w:styleId="Cita">
    <w:name w:val="Quote"/>
    <w:basedOn w:val="Normal"/>
    <w:next w:val="Normal"/>
    <w:link w:val="CitaCar"/>
    <w:uiPriority w:val="29"/>
    <w:qFormat/>
    <w:rsid w:val="008A2069"/>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8A2069"/>
    <w:rPr>
      <w:i/>
      <w:iCs/>
      <w:color w:val="7B7B7B" w:themeColor="accent3" w:themeShade="BF"/>
      <w:sz w:val="24"/>
      <w:szCs w:val="24"/>
    </w:rPr>
  </w:style>
  <w:style w:type="paragraph" w:styleId="Citadestacada">
    <w:name w:val="Intense Quote"/>
    <w:basedOn w:val="Normal"/>
    <w:next w:val="Normal"/>
    <w:link w:val="CitadestacadaCar"/>
    <w:uiPriority w:val="30"/>
    <w:qFormat/>
    <w:rsid w:val="008A206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8A2069"/>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8A2069"/>
    <w:rPr>
      <w:i/>
      <w:iCs/>
      <w:color w:val="595959" w:themeColor="text1" w:themeTint="A6"/>
    </w:rPr>
  </w:style>
  <w:style w:type="character" w:styleId="nfasisintenso">
    <w:name w:val="Intense Emphasis"/>
    <w:basedOn w:val="Fuentedeprrafopredeter"/>
    <w:uiPriority w:val="21"/>
    <w:qFormat/>
    <w:rsid w:val="008A2069"/>
    <w:rPr>
      <w:b/>
      <w:bCs/>
      <w:i/>
      <w:iCs/>
      <w:color w:val="auto"/>
    </w:rPr>
  </w:style>
  <w:style w:type="character" w:styleId="Referenciasutil">
    <w:name w:val="Subtle Reference"/>
    <w:basedOn w:val="Fuentedeprrafopredeter"/>
    <w:uiPriority w:val="31"/>
    <w:qFormat/>
    <w:rsid w:val="008A2069"/>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A2069"/>
    <w:rPr>
      <w:b/>
      <w:bCs/>
      <w:caps w:val="0"/>
      <w:smallCaps/>
      <w:color w:val="auto"/>
      <w:spacing w:val="0"/>
      <w:u w:val="single"/>
    </w:rPr>
  </w:style>
  <w:style w:type="character" w:styleId="Ttulodellibro">
    <w:name w:val="Book Title"/>
    <w:basedOn w:val="Fuentedeprrafopredeter"/>
    <w:uiPriority w:val="33"/>
    <w:qFormat/>
    <w:rsid w:val="008A2069"/>
    <w:rPr>
      <w:b/>
      <w:bCs/>
      <w:caps w:val="0"/>
      <w:smallCaps/>
      <w:spacing w:val="0"/>
    </w:rPr>
  </w:style>
  <w:style w:type="paragraph" w:styleId="TtulodeTDC">
    <w:name w:val="TOC Heading"/>
    <w:basedOn w:val="Ttulo1"/>
    <w:next w:val="Normal"/>
    <w:uiPriority w:val="39"/>
    <w:semiHidden/>
    <w:unhideWhenUsed/>
    <w:qFormat/>
    <w:rsid w:val="008A206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64370">
      <w:bodyDiv w:val="1"/>
      <w:marLeft w:val="0"/>
      <w:marRight w:val="0"/>
      <w:marTop w:val="0"/>
      <w:marBottom w:val="0"/>
      <w:divBdr>
        <w:top w:val="none" w:sz="0" w:space="0" w:color="auto"/>
        <w:left w:val="none" w:sz="0" w:space="0" w:color="auto"/>
        <w:bottom w:val="none" w:sz="0" w:space="0" w:color="auto"/>
        <w:right w:val="none" w:sz="0" w:space="0" w:color="auto"/>
      </w:divBdr>
      <w:divsChild>
        <w:div w:id="809786471">
          <w:marLeft w:val="0"/>
          <w:marRight w:val="0"/>
          <w:marTop w:val="0"/>
          <w:marBottom w:val="0"/>
          <w:divBdr>
            <w:top w:val="none" w:sz="0" w:space="0" w:color="auto"/>
            <w:left w:val="none" w:sz="0" w:space="0" w:color="auto"/>
            <w:bottom w:val="none" w:sz="0" w:space="0" w:color="auto"/>
            <w:right w:val="none" w:sz="0" w:space="0" w:color="auto"/>
          </w:divBdr>
        </w:div>
      </w:divsChild>
    </w:div>
    <w:div w:id="165026461">
      <w:bodyDiv w:val="1"/>
      <w:marLeft w:val="0"/>
      <w:marRight w:val="0"/>
      <w:marTop w:val="0"/>
      <w:marBottom w:val="0"/>
      <w:divBdr>
        <w:top w:val="none" w:sz="0" w:space="0" w:color="auto"/>
        <w:left w:val="none" w:sz="0" w:space="0" w:color="auto"/>
        <w:bottom w:val="none" w:sz="0" w:space="0" w:color="auto"/>
        <w:right w:val="none" w:sz="0" w:space="0" w:color="auto"/>
      </w:divBdr>
    </w:div>
    <w:div w:id="249773114">
      <w:bodyDiv w:val="1"/>
      <w:marLeft w:val="0"/>
      <w:marRight w:val="0"/>
      <w:marTop w:val="0"/>
      <w:marBottom w:val="0"/>
      <w:divBdr>
        <w:top w:val="none" w:sz="0" w:space="0" w:color="auto"/>
        <w:left w:val="none" w:sz="0" w:space="0" w:color="auto"/>
        <w:bottom w:val="none" w:sz="0" w:space="0" w:color="auto"/>
        <w:right w:val="none" w:sz="0" w:space="0" w:color="auto"/>
      </w:divBdr>
    </w:div>
    <w:div w:id="312948154">
      <w:bodyDiv w:val="1"/>
      <w:marLeft w:val="0"/>
      <w:marRight w:val="0"/>
      <w:marTop w:val="0"/>
      <w:marBottom w:val="0"/>
      <w:divBdr>
        <w:top w:val="none" w:sz="0" w:space="0" w:color="auto"/>
        <w:left w:val="none" w:sz="0" w:space="0" w:color="auto"/>
        <w:bottom w:val="none" w:sz="0" w:space="0" w:color="auto"/>
        <w:right w:val="none" w:sz="0" w:space="0" w:color="auto"/>
      </w:divBdr>
    </w:div>
    <w:div w:id="502167317">
      <w:bodyDiv w:val="1"/>
      <w:marLeft w:val="0"/>
      <w:marRight w:val="0"/>
      <w:marTop w:val="0"/>
      <w:marBottom w:val="0"/>
      <w:divBdr>
        <w:top w:val="none" w:sz="0" w:space="0" w:color="auto"/>
        <w:left w:val="none" w:sz="0" w:space="0" w:color="auto"/>
        <w:bottom w:val="none" w:sz="0" w:space="0" w:color="auto"/>
        <w:right w:val="none" w:sz="0" w:space="0" w:color="auto"/>
      </w:divBdr>
    </w:div>
    <w:div w:id="542253413">
      <w:bodyDiv w:val="1"/>
      <w:marLeft w:val="0"/>
      <w:marRight w:val="0"/>
      <w:marTop w:val="0"/>
      <w:marBottom w:val="0"/>
      <w:divBdr>
        <w:top w:val="none" w:sz="0" w:space="0" w:color="auto"/>
        <w:left w:val="none" w:sz="0" w:space="0" w:color="auto"/>
        <w:bottom w:val="none" w:sz="0" w:space="0" w:color="auto"/>
        <w:right w:val="none" w:sz="0" w:space="0" w:color="auto"/>
      </w:divBdr>
    </w:div>
    <w:div w:id="644819209">
      <w:bodyDiv w:val="1"/>
      <w:marLeft w:val="0"/>
      <w:marRight w:val="0"/>
      <w:marTop w:val="0"/>
      <w:marBottom w:val="0"/>
      <w:divBdr>
        <w:top w:val="none" w:sz="0" w:space="0" w:color="auto"/>
        <w:left w:val="none" w:sz="0" w:space="0" w:color="auto"/>
        <w:bottom w:val="none" w:sz="0" w:space="0" w:color="auto"/>
        <w:right w:val="none" w:sz="0" w:space="0" w:color="auto"/>
      </w:divBdr>
    </w:div>
    <w:div w:id="658272094">
      <w:bodyDiv w:val="1"/>
      <w:marLeft w:val="0"/>
      <w:marRight w:val="0"/>
      <w:marTop w:val="0"/>
      <w:marBottom w:val="0"/>
      <w:divBdr>
        <w:top w:val="none" w:sz="0" w:space="0" w:color="auto"/>
        <w:left w:val="none" w:sz="0" w:space="0" w:color="auto"/>
        <w:bottom w:val="none" w:sz="0" w:space="0" w:color="auto"/>
        <w:right w:val="none" w:sz="0" w:space="0" w:color="auto"/>
      </w:divBdr>
    </w:div>
    <w:div w:id="674840666">
      <w:bodyDiv w:val="1"/>
      <w:marLeft w:val="0"/>
      <w:marRight w:val="0"/>
      <w:marTop w:val="0"/>
      <w:marBottom w:val="0"/>
      <w:divBdr>
        <w:top w:val="none" w:sz="0" w:space="0" w:color="auto"/>
        <w:left w:val="none" w:sz="0" w:space="0" w:color="auto"/>
        <w:bottom w:val="none" w:sz="0" w:space="0" w:color="auto"/>
        <w:right w:val="none" w:sz="0" w:space="0" w:color="auto"/>
      </w:divBdr>
    </w:div>
    <w:div w:id="724914068">
      <w:bodyDiv w:val="1"/>
      <w:marLeft w:val="0"/>
      <w:marRight w:val="0"/>
      <w:marTop w:val="0"/>
      <w:marBottom w:val="0"/>
      <w:divBdr>
        <w:top w:val="none" w:sz="0" w:space="0" w:color="auto"/>
        <w:left w:val="none" w:sz="0" w:space="0" w:color="auto"/>
        <w:bottom w:val="none" w:sz="0" w:space="0" w:color="auto"/>
        <w:right w:val="none" w:sz="0" w:space="0" w:color="auto"/>
      </w:divBdr>
    </w:div>
    <w:div w:id="754322868">
      <w:bodyDiv w:val="1"/>
      <w:marLeft w:val="0"/>
      <w:marRight w:val="0"/>
      <w:marTop w:val="0"/>
      <w:marBottom w:val="0"/>
      <w:divBdr>
        <w:top w:val="none" w:sz="0" w:space="0" w:color="auto"/>
        <w:left w:val="none" w:sz="0" w:space="0" w:color="auto"/>
        <w:bottom w:val="none" w:sz="0" w:space="0" w:color="auto"/>
        <w:right w:val="none" w:sz="0" w:space="0" w:color="auto"/>
      </w:divBdr>
      <w:divsChild>
        <w:div w:id="1847203766">
          <w:marLeft w:val="0"/>
          <w:marRight w:val="0"/>
          <w:marTop w:val="0"/>
          <w:marBottom w:val="0"/>
          <w:divBdr>
            <w:top w:val="none" w:sz="0" w:space="0" w:color="auto"/>
            <w:left w:val="none" w:sz="0" w:space="0" w:color="auto"/>
            <w:bottom w:val="none" w:sz="0" w:space="0" w:color="auto"/>
            <w:right w:val="none" w:sz="0" w:space="0" w:color="auto"/>
          </w:divBdr>
        </w:div>
      </w:divsChild>
    </w:div>
    <w:div w:id="759453411">
      <w:bodyDiv w:val="1"/>
      <w:marLeft w:val="0"/>
      <w:marRight w:val="0"/>
      <w:marTop w:val="0"/>
      <w:marBottom w:val="0"/>
      <w:divBdr>
        <w:top w:val="none" w:sz="0" w:space="0" w:color="auto"/>
        <w:left w:val="none" w:sz="0" w:space="0" w:color="auto"/>
        <w:bottom w:val="none" w:sz="0" w:space="0" w:color="auto"/>
        <w:right w:val="none" w:sz="0" w:space="0" w:color="auto"/>
      </w:divBdr>
    </w:div>
    <w:div w:id="849106289">
      <w:bodyDiv w:val="1"/>
      <w:marLeft w:val="0"/>
      <w:marRight w:val="0"/>
      <w:marTop w:val="0"/>
      <w:marBottom w:val="0"/>
      <w:divBdr>
        <w:top w:val="none" w:sz="0" w:space="0" w:color="auto"/>
        <w:left w:val="none" w:sz="0" w:space="0" w:color="auto"/>
        <w:bottom w:val="none" w:sz="0" w:space="0" w:color="auto"/>
        <w:right w:val="none" w:sz="0" w:space="0" w:color="auto"/>
      </w:divBdr>
    </w:div>
    <w:div w:id="868029587">
      <w:bodyDiv w:val="1"/>
      <w:marLeft w:val="0"/>
      <w:marRight w:val="0"/>
      <w:marTop w:val="0"/>
      <w:marBottom w:val="0"/>
      <w:divBdr>
        <w:top w:val="none" w:sz="0" w:space="0" w:color="auto"/>
        <w:left w:val="none" w:sz="0" w:space="0" w:color="auto"/>
        <w:bottom w:val="none" w:sz="0" w:space="0" w:color="auto"/>
        <w:right w:val="none" w:sz="0" w:space="0" w:color="auto"/>
      </w:divBdr>
    </w:div>
    <w:div w:id="904923329">
      <w:bodyDiv w:val="1"/>
      <w:marLeft w:val="0"/>
      <w:marRight w:val="0"/>
      <w:marTop w:val="0"/>
      <w:marBottom w:val="0"/>
      <w:divBdr>
        <w:top w:val="none" w:sz="0" w:space="0" w:color="auto"/>
        <w:left w:val="none" w:sz="0" w:space="0" w:color="auto"/>
        <w:bottom w:val="none" w:sz="0" w:space="0" w:color="auto"/>
        <w:right w:val="none" w:sz="0" w:space="0" w:color="auto"/>
      </w:divBdr>
    </w:div>
    <w:div w:id="964119038">
      <w:bodyDiv w:val="1"/>
      <w:marLeft w:val="0"/>
      <w:marRight w:val="0"/>
      <w:marTop w:val="0"/>
      <w:marBottom w:val="0"/>
      <w:divBdr>
        <w:top w:val="none" w:sz="0" w:space="0" w:color="auto"/>
        <w:left w:val="none" w:sz="0" w:space="0" w:color="auto"/>
        <w:bottom w:val="none" w:sz="0" w:space="0" w:color="auto"/>
        <w:right w:val="none" w:sz="0" w:space="0" w:color="auto"/>
      </w:divBdr>
    </w:div>
    <w:div w:id="1319069423">
      <w:bodyDiv w:val="1"/>
      <w:marLeft w:val="0"/>
      <w:marRight w:val="0"/>
      <w:marTop w:val="0"/>
      <w:marBottom w:val="0"/>
      <w:divBdr>
        <w:top w:val="none" w:sz="0" w:space="0" w:color="auto"/>
        <w:left w:val="none" w:sz="0" w:space="0" w:color="auto"/>
        <w:bottom w:val="none" w:sz="0" w:space="0" w:color="auto"/>
        <w:right w:val="none" w:sz="0" w:space="0" w:color="auto"/>
      </w:divBdr>
    </w:div>
    <w:div w:id="1564832167">
      <w:bodyDiv w:val="1"/>
      <w:marLeft w:val="0"/>
      <w:marRight w:val="0"/>
      <w:marTop w:val="0"/>
      <w:marBottom w:val="0"/>
      <w:divBdr>
        <w:top w:val="none" w:sz="0" w:space="0" w:color="auto"/>
        <w:left w:val="none" w:sz="0" w:space="0" w:color="auto"/>
        <w:bottom w:val="none" w:sz="0" w:space="0" w:color="auto"/>
        <w:right w:val="none" w:sz="0" w:space="0" w:color="auto"/>
      </w:divBdr>
    </w:div>
    <w:div w:id="1585990363">
      <w:bodyDiv w:val="1"/>
      <w:marLeft w:val="0"/>
      <w:marRight w:val="0"/>
      <w:marTop w:val="0"/>
      <w:marBottom w:val="0"/>
      <w:divBdr>
        <w:top w:val="none" w:sz="0" w:space="0" w:color="auto"/>
        <w:left w:val="none" w:sz="0" w:space="0" w:color="auto"/>
        <w:bottom w:val="none" w:sz="0" w:space="0" w:color="auto"/>
        <w:right w:val="none" w:sz="0" w:space="0" w:color="auto"/>
      </w:divBdr>
    </w:div>
    <w:div w:id="1593779356">
      <w:bodyDiv w:val="1"/>
      <w:marLeft w:val="0"/>
      <w:marRight w:val="0"/>
      <w:marTop w:val="0"/>
      <w:marBottom w:val="0"/>
      <w:divBdr>
        <w:top w:val="none" w:sz="0" w:space="0" w:color="auto"/>
        <w:left w:val="none" w:sz="0" w:space="0" w:color="auto"/>
        <w:bottom w:val="none" w:sz="0" w:space="0" w:color="auto"/>
        <w:right w:val="none" w:sz="0" w:space="0" w:color="auto"/>
      </w:divBdr>
    </w:div>
    <w:div w:id="1988970453">
      <w:bodyDiv w:val="1"/>
      <w:marLeft w:val="0"/>
      <w:marRight w:val="0"/>
      <w:marTop w:val="0"/>
      <w:marBottom w:val="0"/>
      <w:divBdr>
        <w:top w:val="none" w:sz="0" w:space="0" w:color="auto"/>
        <w:left w:val="none" w:sz="0" w:space="0" w:color="auto"/>
        <w:bottom w:val="none" w:sz="0" w:space="0" w:color="auto"/>
        <w:right w:val="none" w:sz="0" w:space="0" w:color="auto"/>
      </w:divBdr>
      <w:divsChild>
        <w:div w:id="1789004273">
          <w:marLeft w:val="0"/>
          <w:marRight w:val="0"/>
          <w:marTop w:val="0"/>
          <w:marBottom w:val="0"/>
          <w:divBdr>
            <w:top w:val="none" w:sz="0" w:space="0" w:color="auto"/>
            <w:left w:val="none" w:sz="0" w:space="0" w:color="auto"/>
            <w:bottom w:val="none" w:sz="0" w:space="0" w:color="auto"/>
            <w:right w:val="none" w:sz="0" w:space="0" w:color="auto"/>
          </w:divBdr>
        </w:div>
      </w:divsChild>
    </w:div>
    <w:div w:id="1995989634">
      <w:bodyDiv w:val="1"/>
      <w:marLeft w:val="0"/>
      <w:marRight w:val="0"/>
      <w:marTop w:val="0"/>
      <w:marBottom w:val="0"/>
      <w:divBdr>
        <w:top w:val="none" w:sz="0" w:space="0" w:color="auto"/>
        <w:left w:val="none" w:sz="0" w:space="0" w:color="auto"/>
        <w:bottom w:val="none" w:sz="0" w:space="0" w:color="auto"/>
        <w:right w:val="none" w:sz="0" w:space="0" w:color="auto"/>
      </w:divBdr>
    </w:div>
    <w:div w:id="2020768761">
      <w:bodyDiv w:val="1"/>
      <w:marLeft w:val="0"/>
      <w:marRight w:val="0"/>
      <w:marTop w:val="0"/>
      <w:marBottom w:val="0"/>
      <w:divBdr>
        <w:top w:val="none" w:sz="0" w:space="0" w:color="auto"/>
        <w:left w:val="none" w:sz="0" w:space="0" w:color="auto"/>
        <w:bottom w:val="none" w:sz="0" w:space="0" w:color="auto"/>
        <w:right w:val="none" w:sz="0" w:space="0" w:color="auto"/>
      </w:divBdr>
    </w:div>
    <w:div w:id="212673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7C442-9B51-4194-956B-35116600D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1958</Words>
  <Characters>10771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Wildnay</dc:creator>
  <cp:keywords/>
  <dc:description/>
  <cp:lastModifiedBy>Wildnay</cp:lastModifiedBy>
  <cp:revision>4</cp:revision>
  <dcterms:created xsi:type="dcterms:W3CDTF">2014-08-10T13:00:00Z</dcterms:created>
  <dcterms:modified xsi:type="dcterms:W3CDTF">2014-08-10T21:59:00Z</dcterms:modified>
</cp:coreProperties>
</file>