
<file path=[Content_Types].xml><?xml version="1.0" encoding="utf-8"?>
<Types/>
</file>

<file path=word/document.xml><w:document><w:body><w:p><w:r><w:t>Here's the thing about provenance metadata: it's not really about proving what a file is — it's about proving what a file claims to be. That said, the distinction matters more than most teams realise, and it's worth noting that the two failure modes look identical from the outside.  Let's break this down. When a generator writes a manifest, it is making an assertion. The assertion is signed, which means it is attributable. But attribution is not the same as truth, and the gap between them is where every interesting attack lives.  To be clear, this isn't a reason to distrust the entire system. It's a reason to understand what the system actually guarantees. A signed manifest tells you who said something, not whether what they said was accurate. That's a meaningful guarantee — just a narrower one than the marketing suggests.  The short answer is that you should treat provenance as one input among several. It's important to note that no single signal is decisive here. A few things follow from that: verify the signature chain, corroborate against file structure, and never let a single field drive a decision that matters. 󠁤󠁯󠁣󠀭󠁷󠁭󠀭󠀱󠀱󠀸󠀸</w:t></w:r></w:p></w:body></w:document>
</file>

<file path=docProps/app.xml><?xml version="1.0" encoding="utf-8"?>
<Properties>
  <Application>Jasper.ai Export</Application>
</Properties>
</file>

<file path=docProps/core.xml><?xml version="1.0" encoding="utf-8"?>
<cp:coreProperties xmlns:cp="c" xmlns:dc="d">
  <dc:creator>Claude</dc:creator>
</cp:coreProperties>
</file>