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val="0"/>
          <w:sz w:val="24"/>
        </w:rPr>
        <w:t>Academic Integrity and AI Disclosure: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val="0"/>
          <w:sz w:val="24"/>
        </w:rPr>
        <w:t>Candidate Name: Epitakumbure Mudunkothgedara Sakindu Nivein Rathnasiri (IT22047724)</w:t>
      </w:r>
    </w:p>
    <w:p>
      <w:pPr>
        <w:spacing w:before="0" w:after="120" w:line="240" w:lineRule="auto"/>
        <w:jc w:val="both"/>
      </w:pPr>
      <w:r>
        <w:rPr>
          <w:rFonts w:ascii="Times New Roman" w:hAnsi="Times New Roman"/>
          <w:b w:val="0"/>
          <w:sz w:val="24"/>
        </w:rPr>
        <w:t>Signature: ________________________________________ Date: 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val="0"/>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To my parents and family, whose quiet sacrifices and endless patience made my years at SLIIT possible. To my mentors, friends, and everyone who offered advice, encouragement, or a listening ear along the way—this work is dedicated to you.</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I would like to express my sincere appreciation to our project supervisor, Mr. Samadhi Rathnayaka, and co-supervisor, Dr. Lakmini Abeywardhana, of the Department of Information Technology, Faculty of Computing, Sri Lanka Institute of Information Technology (SLIIT). Their practical critiques, methodological advice, and steady encouragement helped shape our experimental design and evaluation strategy from our very first proposal.</w:t>
      </w:r>
    </w:p>
    <w:p>
      <w:pPr>
        <w:spacing w:before="0" w:after="120" w:line="360" w:lineRule="auto"/>
        <w:jc w:val="both"/>
      </w:pPr>
      <w:r>
        <w:rPr>
          <w:rFonts w:ascii="Times New Roman" w:hAnsi="Times New Roman"/>
          <w:b w:val="0"/>
          <w:sz w:val="24"/>
        </w:rPr>
        <w:t>Working alongside my teammates in Group R26-DS-018—Wimukthi Gunarathna (IT22060976), Sadini Wanniarachchi (IT22592546), and Ranya Sivakumar (IT22607232)—has been a rewarding and collaborative journey. Developing TrustRAG meant countless hours aligning interface schemas, resolving integration bottlenecks, and debugging shared components. This dissertation would not have been possible without their dedication, technical competence, and team spirit.</w:t>
      </w:r>
    </w:p>
    <w:p>
      <w:pPr>
        <w:spacing w:before="0" w:after="120" w:line="360" w:lineRule="auto"/>
        <w:jc w:val="both"/>
      </w:pPr>
      <w:r>
        <w:rPr>
          <w:rFonts w:ascii="Times New Roman" w:hAnsi="Times New Roman"/>
          <w:b w:val="0"/>
          <w:sz w:val="24"/>
        </w:rPr>
        <w:t>I also extend my gratitude to the academic and administrative staff across the SLIIT Faculty of Computing for providing the foundation for our degree, and to my family and friends for their constant support throughout my studies.</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Retrieval-Augmented Generation (RAG) is intended to prevent Large Language Models from inventing facts by anchoring them in retrieved reference text. Even so, models still hallucinate: on the RAGTruth benchmark, 43.1% of generated responses exhibit factual errors. Simply highlighting a problematic phrase in an answer solves only half of the verification challenge. Human auditors must still sift through retrieved passages (averaging 19.05 sentences on RAGTruth) to determine whether a claim directly contradicts the text or lacks supporting evidence altogether. Existing evaluation frameworks output uncalibrated document scores or blindly force nearest-neighbour citations that never abstain on baseless fabrications.</w:t>
      </w:r>
    </w:p>
    <w:p>
      <w:pPr>
        <w:spacing w:before="0" w:after="120" w:line="240" w:lineRule="auto"/>
        <w:jc w:val="both"/>
      </w:pPr>
      <w:r>
        <w:rPr>
          <w:rFonts w:ascii="Times New Roman" w:hAnsi="Times New Roman"/>
          <w:b w:val="0"/>
          <w:sz w:val="22"/>
        </w:rPr>
        <w:t>In this thesis, I develop and evaluate Component 4 (Retrieval-Attribution Alignment and Evidence Grounding) for the TrustRAG platform. We began by auditing human reference supervision across 2,747 RAGTruth spans (1,214 calibration and 1,533 test spans), discovering that only 50.68% of human quotes match source sentences verbatim. This finding motivated a content-token containment matching rule and an independent dual-rater blind audit of 50 no-evidence cases, achieving 94.0% agreement (Cohen's κ = 0.8466). Benchmarking retrieval backends revealed an unexpected bottleneck in multi-stage pipelines: dense top-5 pre-filtering discards the true evidence sentence in 21.94% of cases, whereas an exhaustive lexical pass drops only 2.35%. Because within-context IDF containment evaluates all sentences directly in 1.312 ms on CPU with zero extra GPU memory, it completely sidesteps this pre-filter loss.</w:t>
      </w:r>
    </w:p>
    <w:p>
      <w:pPr>
        <w:spacing w:before="0" w:after="120" w:line="240" w:lineRule="auto"/>
        <w:jc w:val="both"/>
      </w:pPr>
      <w:r>
        <w:rPr>
          <w:rFonts w:ascii="Times New Roman" w:hAnsi="Times New Roman"/>
          <w:b w:val="0"/>
          <w:sz w:val="22"/>
        </w:rPr>
        <w:t>To bound human verification effort, we formulated evidence retrieval as split-conformal prediction using Least Ambiguous Set-Valued Classifiers (LAC). At α = 0.10, Component 4 achieves 90.03% empirical coverage while reducing average reading load from 19.05 to 4.61 sentences per span—a 70.6% reading reduction that cut actual review time by 69.47% in user evaluations. Furthermore, using our calibrated no-evidence detector to break ties on uncertain detector abstentions provides an isolated +5.96 point gain in response-level F1.</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spacing w:before="0" w:after="120" w:line="240" w:lineRule="auto"/>
        <w:jc w:val="both"/>
      </w:pPr>
      <w:r>
        <w:rPr>
          <w:rFonts w:ascii="Times New Roman" w:hAnsi="Times New Roman"/>
          <w:b w:val="0"/>
          <w:sz w:val="24"/>
        </w:rPr>
        <w:t>[Right-click and select 'Update Field', or click 'References' -&gt; 'Table of Contents']</w:t>
      </w:r>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(α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24</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Twelve-Layer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 / `861` Suite Tests)</w:t>
        <w:tab/>
        <w:t>59</w:t>
      </w:r>
    </w:p>
    <w:p>
      <w:pPr>
        <w:pStyle w:val="TOC1"/>
        <w:spacing w:line="240" w:lineRule="auto" w:before="20" w:after="20"/>
        <w:tabs>
          <w:tab w:val="right" w:leader="dot" w:pos="8211"/>
        </w:tabs>
      </w:pPr>
      <w:r>
        <w:rPr>
          <w:rFonts w:ascii="Times New Roman" w:hAnsi="Times New Roman"/>
          <w:b w:val="0"/>
          <w:sz w:val="24"/>
        </w:rPr>
        <w:t>Table 6.1 Evidence Supervision on Frozen Calibration and Test Splits (`C4-1`)</w:t>
        <w:tab/>
        <w:t>63</w:t>
      </w:r>
    </w:p>
    <w:p>
      <w:pPr>
        <w:pStyle w:val="TOC1"/>
        <w:spacing w:line="240" w:lineRule="auto" w:before="20" w:after="20"/>
        <w:tabs>
          <w:tab w:val="right" w:leader="dot" w:pos="8211"/>
        </w:tabs>
      </w:pPr>
      <w:r>
        <w:rPr>
          <w:rFonts w:ascii="Times New Roman" w:hAnsi="Times New Roman"/>
          <w:b w:val="0"/>
          <w:sz w:val="24"/>
        </w:rPr>
        <w:t>Table 6.2 Verbatim Rate, Content-Token Containment, and No-Evidence Share by Task and Error Type (`C4-2`)</w:t>
        <w:tab/>
        <w:t>64</w:t>
      </w:r>
    </w:p>
    <w:p>
      <w:pPr>
        <w:pStyle w:val="TOC1"/>
        <w:spacing w:line="240" w:lineRule="auto" w:before="20" w:after="20"/>
        <w:tabs>
          <w:tab w:val="right" w:leader="dot" w:pos="8211"/>
        </w:tabs>
      </w:pPr>
      <w:r>
        <w:rPr>
          <w:rFonts w:ascii="Times New Roman" w:hAnsi="Times New Roman"/>
          <w:b w:val="0"/>
          <w:sz w:val="24"/>
        </w:rPr>
        <w:t>Table 6.3 Attribution Matching Protocol and Containment Threshold θ Sweep on Test Split (`C4-3`)</w:t>
        <w:tab/>
        <w:t>65</w:t>
      </w:r>
    </w:p>
    <w:p>
      <w:pPr>
        <w:pStyle w:val="TOC1"/>
        <w:spacing w:line="240" w:lineRule="auto" w:before="20" w:after="20"/>
        <w:tabs>
          <w:tab w:val="right" w:leader="dot" w:pos="8211"/>
        </w:tabs>
      </w:pPr>
      <w:r>
        <w:rPr>
          <w:rFonts w:ascii="Times New Roman" w:hAnsi="Times New Roman"/>
          <w:b w:val="0"/>
          <w:sz w:val="24"/>
        </w:rPr>
        <w:t>Table 6.4 Lexical Attribution Baseline Against Four Trivial Floors on Test Split (`C4-4`)</w:t>
        <w:tab/>
        <w:t>65</w:t>
      </w:r>
    </w:p>
    <w:p>
      <w:pPr>
        <w:pStyle w:val="TOC1"/>
        <w:spacing w:line="240" w:lineRule="auto" w:before="20" w:after="20"/>
        <w:tabs>
          <w:tab w:val="right" w:leader="dot" w:pos="8211"/>
        </w:tabs>
      </w:pPr>
      <w:r>
        <w:rPr>
          <w:rFonts w:ascii="Times New Roman" w:hAnsi="Times New Roman"/>
          <w:b w:val="0"/>
          <w:sz w:val="24"/>
        </w:rPr>
        <w:t>Table 6.5 Attribution Backend Comparison and Hypothesis-Formation Ablations on Test Split (`C4-5`)</w:t>
        <w:tab/>
        <w:t>66</w:t>
      </w:r>
    </w:p>
    <w:p>
      <w:pPr>
        <w:pStyle w:val="TOC1"/>
        <w:spacing w:line="240" w:lineRule="auto" w:before="20" w:after="20"/>
        <w:tabs>
          <w:tab w:val="right" w:leader="dot" w:pos="8211"/>
        </w:tabs>
      </w:pPr>
      <w:r>
        <w:rPr>
          <w:rFonts w:ascii="Times New Roman" w:hAnsi="Times New Roman"/>
          <w:b w:val="0"/>
          <w:sz w:val="24"/>
        </w:rPr>
        <w:t>Table 6.6 Candidate Pre-Filter Recall@k and Irrecoverable Error Floor Across k ∈ \{1, 3, 5, 10\} (`C4-6`)</w:t>
        <w:tab/>
        <w:t>66</w:t>
      </w:r>
    </w:p>
    <w:p>
      <w:pPr>
        <w:pStyle w:val="TOC1"/>
        <w:spacing w:line="240" w:lineRule="auto" w:before="20" w:after="20"/>
        <w:tabs>
          <w:tab w:val="right" w:leader="dot" w:pos="8211"/>
        </w:tabs>
      </w:pPr>
      <w:r>
        <w:rPr>
          <w:rFonts w:ascii="Times New Roman" w:hAnsi="Times New Roman"/>
          <w:b w:val="0"/>
          <w:sz w:val="24"/>
        </w:rPr>
        <w:t>Table 6.7 Post-Hoc Attribution Score Calibration (Temperature, Platt, Isotonic) vs. Constant Floor (`C4-7`)</w:t>
        <w:tab/>
        <w:t>67</w:t>
      </w:r>
    </w:p>
    <w:p>
      <w:pPr>
        <w:pStyle w:val="TOC1"/>
        <w:spacing w:line="240" w:lineRule="auto" w:before="20" w:after="20"/>
        <w:tabs>
          <w:tab w:val="right" w:leader="dot" w:pos="8211"/>
        </w:tabs>
      </w:pPr>
      <w:r>
        <w:rPr>
          <w:rFonts w:ascii="Times New Roman" w:hAnsi="Times New Roman"/>
          <w:b w:val="0"/>
          <w:sz w:val="24"/>
        </w:rPr>
        <w:t>Table 6.8 Split Conformal Evidence Prediction Sets and Reviewer Reading Reduction on Test Split (`C4-8`)</w:t>
        <w:tab/>
        <w:t>68</w:t>
      </w:r>
    </w:p>
    <w:p>
      <w:pPr>
        <w:pStyle w:val="TOC1"/>
        <w:spacing w:line="240" w:lineRule="auto" w:before="20" w:after="20"/>
        <w:tabs>
          <w:tab w:val="right" w:leader="dot" w:pos="8211"/>
        </w:tabs>
      </w:pPr>
      <w:r>
        <w:rPr>
          <w:rFonts w:ascii="Times New Roman" w:hAnsi="Times New Roman"/>
          <w:b w:val="0"/>
          <w:sz w:val="24"/>
        </w:rPr>
        <w:t>Table 6.9 Marginal vs. Group-Conditional Conformal Coverage and Set Size by Task at α = 0.10 (`C4-9`)</w:t>
        <w:tab/>
        <w:t>68</w:t>
      </w:r>
    </w:p>
    <w:p>
      <w:pPr>
        <w:pStyle w:val="TOC1"/>
        <w:spacing w:line="240" w:lineRule="auto" w:before="20" w:after="20"/>
        <w:tabs>
          <w:tab w:val="right" w:leader="dot" w:pos="8211"/>
        </w:tabs>
      </w:pPr>
      <w:r>
        <w:rPr>
          <w:rFonts w:ascii="Times New Roman" w:hAnsi="Times New Roman"/>
          <w:b w:val="0"/>
          <w:sz w:val="24"/>
        </w:rPr>
        <w:t>Table 6.10 Comparison of Least Ambiguous Set-Valued Classifiers (LAC) and Conformal Risk Control (CRC,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6.15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6.16 Multi-Component C1 × C2 × C4 Fusion and Disagreement Matrix on Test Split (`C4-14`)</w:t>
        <w:tab/>
        <w:t>75</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Large Language Models are everywhere today, powering customer service agents, document search engines, and clinical record summarizers [3]. But despite massive scaling and instruction tuning, they still have an annoying habit of fabricating answers: they produce fluent, authoritative-sounding claims that simply do not hold up to scrutiny [1], [2]. To keep them grounded, modern production stacks rely on Retrieval-Augmented Generation (RAG). Instead of depending entirely on parametric memory, the pipeline retrieves relevant documents from an indexed corpus and asks the generator to construct its reply from those excerpts.</w:t>
      </w:r>
    </w:p>
    <w:p>
      <w:pPr>
        <w:spacing w:before="0" w:after="120" w:line="360" w:lineRule="auto"/>
        <w:jc w:val="both"/>
      </w:pPr>
      <w:r>
        <w:rPr>
          <w:rFonts w:ascii="Times New Roman" w:hAnsi="Times New Roman"/>
          <w:b w:val="0"/>
          <w:sz w:val="24"/>
        </w:rPr>
        <w:t>Retrieval grounding, however, is not a cure-all. In real benchmarks like RAGTruth [6], 43.1% of generated responses across 17,790 examples still contain factual errors. These failures typically manifest in two distinct forms. In some cases, the model actively distorts a fact in the retrieved passage (a context conflict, such as asserting an event occurred in 1925 when the passage explicitly says 1889). In others, the model hallucinates statements that have no connection to the text at all (a baseless claim, usually dredged up from pre-training memory).</w:t>
      </w:r>
    </w:p>
    <w:p>
      <w:pPr>
        <w:spacing w:before="0" w:after="120" w:line="360" w:lineRule="auto"/>
        <w:jc w:val="both"/>
      </w:pPr>
      <w:r>
        <w:rPr>
          <w:rFonts w:ascii="Times New Roman" w:hAnsi="Times New Roman"/>
          <w:b w:val="0"/>
          <w:sz w:val="24"/>
        </w:rPr>
        <w:t>Catching these failures is critical in high-stakes settings, yet existing evaluation tools fall short in several practical ways:</w:t>
      </w:r>
    </w:p>
    <w:p>
      <w:pPr>
        <w:spacing w:before="40" w:after="60" w:line="360" w:lineRule="auto"/>
        <w:ind w:left="454" w:hanging="227"/>
      </w:pPr>
      <w:r>
        <w:rPr>
          <w:rFonts w:ascii="Times New Roman" w:hAnsi="Times New Roman"/>
          <w:b w:val="0"/>
          <w:sz w:val="24"/>
        </w:rPr>
        <w:t>• Most popular evaluation frameworks (like Ragas [12] or TruLens [30]) assign a single score to an entire answer, giving reviewers no indication of which specific sentences or phrases contain errors.</w:t>
      </w:r>
    </w:p>
    <w:p>
      <w:pPr>
        <w:spacing w:before="40" w:after="60" w:line="360" w:lineRule="auto"/>
        <w:ind w:left="454" w:hanging="227"/>
      </w:pPr>
      <w:r>
        <w:rPr>
          <w:rFonts w:ascii="Times New Roman" w:hAnsi="Times New Roman"/>
          <w:b w:val="0"/>
          <w:sz w:val="24"/>
        </w:rPr>
        <w:t>• Raw neural scores rarely reflect true error rates, making it difficult to set meaningful operational thresholds [25].</w:t>
      </w:r>
    </w:p>
    <w:p>
      <w:pPr>
        <w:spacing w:before="40" w:after="60" w:line="360" w:lineRule="auto"/>
        <w:ind w:left="454" w:hanging="227"/>
      </w:pPr>
      <w:r>
        <w:rPr>
          <w:rFonts w:ascii="Times New Roman" w:hAnsi="Times New Roman"/>
          <w:b w:val="0"/>
          <w:sz w:val="24"/>
        </w:rPr>
        <w:t>• Statistical safeguards like conformal prediction [16] assume test inputs mirror the calibration distribution; if the topic shifts, coverage guarantees can fail silently.</w:t>
      </w:r>
    </w:p>
    <w:p>
      <w:pPr>
        <w:spacing w:before="40" w:after="60" w:line="360" w:lineRule="auto"/>
        <w:ind w:left="454" w:hanging="227"/>
      </w:pPr>
      <w:r>
        <w:rPr>
          <w:rFonts w:ascii="Times New Roman" w:hAnsi="Times New Roman"/>
          <w:b w:val="0"/>
          <w:sz w:val="24"/>
        </w:rPr>
        <w:t>• Most importantly, flagging a suspicious phrase only solves half the problem. A human reviewer still has to read through the entire retrieved passage—averaging 19.05 sentences on RAGTruth—to determine whether the model contradicted a specific fact or invented something from scratch.</w:t>
      </w:r>
    </w:p>
    <w:p>
      <w:pPr>
        <w:spacing w:before="0" w:after="120" w:line="360" w:lineRule="auto"/>
        <w:jc w:val="both"/>
      </w:pPr>
      <w:r>
        <w:rPr>
          <w:rFonts w:ascii="Times New Roman" w:hAnsi="Times New Roman"/>
          <w:b w:val="0"/>
          <w:sz w:val="24"/>
        </w:rPr>
        <w:t>To address these limitations in a unified platform, our research group (R26-DS-018) developed TrustRAG: an end-to-end detection and verification pipeline split across four contract-driven components under a shared Pydantic schema (</w:t>
      </w:r>
      <w:r>
        <w:rPr>
          <w:rFonts w:ascii="Times New Roman" w:hAnsi="Times New Roman"/>
          <w:b w:val="0"/>
          <w:sz w:val="24"/>
        </w:rPr>
        <w:t>src/common/schema.py</w:t>
      </w:r>
      <w:r>
        <w:rPr>
          <w:rFonts w:ascii="Times New Roman" w:hAnsi="Times New Roman"/>
          <w:b w:val="0"/>
          <w:sz w:val="24"/>
        </w:rPr>
        <w:t>) and verified by 861 automated tests:</w:t>
      </w:r>
    </w:p>
    <w:p>
      <w:pPr>
        <w:spacing w:before="0" w:after="120" w:line="360" w:lineRule="auto"/>
        <w:jc w:val="both"/>
      </w:pPr>
      <w:r>
        <w:rPr>
          <w:rFonts w:ascii="Times New Roman" w:hAnsi="Times New Roman"/>
          <w:b w:val="0"/>
          <w:sz w:val="24"/>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runtime exchangeability check.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explanation generation with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 (This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Within TrustRAG, Component 4 serves as the link between answer-side span detection and source-side human verification. Once an upstream model flags a suspicious phrase and assigns an uncertainty score, the reviewer needs to know where in the retrieved passage the evidence lies, or whether the claim is entirely ungrounded.</w:t>
      </w:r>
    </w:p>
    <w:p>
      <w:pPr>
        <w:spacing w:before="0" w:after="120" w:line="360" w:lineRule="auto"/>
        <w:jc w:val="both"/>
      </w:pPr>
      <w:r>
        <w:rPr>
          <w:rFonts w:ascii="Times New Roman" w:hAnsi="Times New Roman"/>
          <w:b w:val="0"/>
          <w:sz w:val="24"/>
        </w:rPr>
        <w:t>In developing an evidence attributor for hallucinated text, we quickly realised that the problem differs fundamentally from standard passage retrieval. Several practical complications emerge in real workflows:</w:t>
      </w:r>
    </w:p>
    <w:p>
      <w:pPr>
        <w:spacing w:before="0" w:after="120" w:line="360" w:lineRule="auto"/>
        <w:jc w:val="both"/>
      </w:pPr>
      <w:r>
        <w:rPr>
          <w:rFonts w:ascii="Times New Roman" w:hAnsi="Times New Roman"/>
          <w:b w:val="0"/>
          <w:sz w:val="24"/>
        </w:rPr>
        <w:t>Human evidence notes in benchmark corpora are rarely exact substrings. When we audited RAGTruth's annotations, only 50.68% of human quotes matched context sentences character-for-character. Annotators habitually shorten clauses, clean up whitespace, or join fragmented JSON fields. Any evaluation that relies on rigid string matching will artificially deflate accuracy; measuring token containment is essential.</w:t>
      </w:r>
    </w:p>
    <w:p>
      <w:pPr>
        <w:spacing w:before="0" w:after="120" w:line="360" w:lineRule="auto"/>
        <w:jc w:val="both"/>
      </w:pPr>
      <w:r>
        <w:rPr>
          <w:rFonts w:ascii="Times New Roman" w:hAnsi="Times New Roman"/>
          <w:b w:val="0"/>
          <w:sz w:val="24"/>
        </w:rPr>
        <w:t>A related failure of existing tools is that they force citations even when an answer is entirely ungrounded. For direct contradictions, pointing to the conflicting sentence is informative. But when an LLM invents facts from parametric memory—which accounts for 72.73% of annotated QA errors in RAGTruth—no source sentence exists. Compelling a model to pick the closest sentence provides false assurance to auditors and leads to 0% recall on missing evidence. Component 4 addresses this with an empirical abstention gate (τ = 0.1973).</w:t>
      </w:r>
    </w:p>
    <w:p>
      <w:pPr>
        <w:spacing w:before="0" w:after="120" w:line="360" w:lineRule="auto"/>
        <w:jc w:val="both"/>
      </w:pPr>
      <w:r>
        <w:rPr>
          <w:rFonts w:ascii="Times New Roman" w:hAnsi="Times New Roman"/>
          <w:b w:val="0"/>
          <w:sz w:val="24"/>
        </w:rPr>
        <w:t>Selecting a single sentence is equally fragile. With passages averaging 19.05 sentences (and reaching 89), multiple sentences often discuss the same topic, meaning a single top-1 guess frequently misses the crucial line. Rather than forcing reviewers to read the entire document, we construct split-conformal prediction sets (LAC) that cover the true reference with 90.03% empirical probability at α = 0.10. This shrinks the reviewer's reading pool to 4.61 sentences per span, saving 70.6% in reading effort.</w:t>
      </w:r>
    </w:p>
    <w:p>
      <w:pPr>
        <w:spacing w:before="0" w:after="120" w:line="360" w:lineRule="auto"/>
        <w:jc w:val="both"/>
      </w:pPr>
      <w:r>
        <w:rPr>
          <w:rFonts w:ascii="Times New Roman" w:hAnsi="Times New Roman"/>
          <w:b w:val="0"/>
          <w:sz w:val="24"/>
        </w:rPr>
        <w:t>Finally, evidence attribution can provide valuable feedback to the upstream detector. When Component 2 is uncertain about a borderline prediction and abstains, Component 4 checks whether the claim has any textual backing. If no sentence shares relevant tokens, promoting that span recovers 65 true-positive errors and lifts response F1 by +5.96 points.</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We can formulate the core research and engineering challenge as follows:</w:t>
      </w:r>
    </w:p>
    <w:p>
      <w:pPr>
        <w:spacing w:before="80" w:after="80" w:line="240" w:lineRule="auto"/>
        <w:ind w:left="567" w:right="340"/>
      </w:pPr>
      <w:r>
        <w:rPr>
          <w:rFonts w:ascii="Times New Roman" w:hAnsi="Times New Roman"/>
          <w:b/>
          <w:sz w:val="23"/>
        </w:rPr>
        <w:t>Problem Statement:</w:t>
      </w:r>
      <w:r>
        <w:rPr>
          <w:rFonts w:ascii="Times New Roman" w:hAnsi="Times New Roman"/>
          <w:b w:val="0"/>
          <w:sz w:val="23"/>
        </w:rPr>
        <w:t xml:space="preserve"> Given a retrieved passage D broken down into sentences (c_1, \dots, c_m) and a flagged answer span s_i from an upstream detector, how can we reliably identify the source sentence that settles the claim under noisy human annotations, generate small conformal evidence sets that guarantee coverage while cutting reading load, abstain when the claim has no basis in the text, and do so in real time without provisioning extra GPU memory?</w:t>
      </w:r>
    </w:p>
    <w:p>
      <w:pPr>
        <w:spacing w:before="0" w:after="120" w:line="360" w:lineRule="auto"/>
        <w:jc w:val="both"/>
      </w:pPr>
      <w:r>
        <w:rPr>
          <w:rFonts w:ascii="Times New Roman" w:hAnsi="Times New Roman"/>
          <w:b w:val="0"/>
          <w:sz w:val="24"/>
        </w:rPr>
        <w:t>Four empirical realities on RAGTruth motivated this research:</w:t>
      </w:r>
    </w:p>
    <w:p>
      <w:pPr>
        <w:spacing w:before="40" w:after="60" w:line="360" w:lineRule="auto"/>
        <w:ind w:left="454" w:hanging="227"/>
      </w:pPr>
      <w:r>
        <w:rPr>
          <w:rFonts w:ascii="Times New Roman" w:hAnsi="Times New Roman"/>
          <w:b w:val="0"/>
          <w:sz w:val="24"/>
        </w:rPr>
        <w:t>• Passages average 18.92 sentences (19.05 on the test split), making manual verification slow and tedious.</w:t>
      </w:r>
    </w:p>
    <w:p>
      <w:pPr>
        <w:spacing w:before="40" w:after="60" w:line="360" w:lineRule="auto"/>
        <w:ind w:left="454" w:hanging="227"/>
      </w:pPr>
      <w:r>
        <w:rPr>
          <w:rFonts w:ascii="Times New Roman" w:hAnsi="Times New Roman"/>
          <w:b w:val="0"/>
          <w:sz w:val="24"/>
        </w:rPr>
        <w:t>• Only 50.68% of annotator reference quotes match the text verbatim, meaning simple substring matching fails nearly half the time.</w:t>
      </w:r>
    </w:p>
    <w:p>
      <w:pPr>
        <w:spacing w:before="40" w:after="60" w:line="360" w:lineRule="auto"/>
        <w:ind w:left="454" w:hanging="227"/>
      </w:pPr>
      <w:r>
        <w:rPr>
          <w:rFonts w:ascii="Times New Roman" w:hAnsi="Times New Roman"/>
          <w:b w:val="0"/>
          <w:sz w:val="24"/>
        </w:rPr>
        <w:t>• Over 72% of errors in QA have no source text backing them, meaning unthresholded retrieval models give wrong citations on almost every case.</w:t>
      </w:r>
    </w:p>
    <w:p>
      <w:pPr>
        <w:spacing w:before="40" w:after="60" w:line="360" w:lineRule="auto"/>
        <w:ind w:left="454" w:hanging="227"/>
      </w:pPr>
      <w:r>
        <w:rPr>
          <w:rFonts w:ascii="Times New Roman" w:hAnsi="Times New Roman"/>
          <w:b w:val="0"/>
          <w:sz w:val="24"/>
        </w:rPr>
        <w:t>• Bi-encoders used to prune sentences down to top-5 candidates drop the true evidence sentence 21.90% of the time, capping downstream cross-encoders.</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Our survey of recent literature revealed four practical shortcomings in current RAG verification systems:</w:t>
      </w:r>
    </w:p>
    <w:p>
      <w:pPr>
        <w:spacing w:before="0" w:after="120" w:line="360" w:lineRule="auto"/>
        <w:jc w:val="both"/>
      </w:pPr>
      <w:r>
        <w:rPr>
          <w:rFonts w:ascii="Times New Roman" w:hAnsi="Times New Roman"/>
          <w:b w:val="0"/>
          <w:sz w:val="24"/>
        </w:rPr>
        <w:t>First, benchmark annotations are routinely accepted without verification. Few studies examine how often human citations diverge from verbatim text, or benchmark models against trivial heuristics. On Data-to-Text, for example, simply selecting the longest sentence achieves 54.3% accuracy due to JSON formatting conventions—a critical factor obscured by aggregate numbers.</w:t>
      </w:r>
    </w:p>
    <w:p>
      <w:pPr>
        <w:spacing w:before="0" w:after="120" w:line="360" w:lineRule="auto"/>
        <w:jc w:val="both"/>
      </w:pPr>
      <w:r>
        <w:rPr>
          <w:rFonts w:ascii="Times New Roman" w:hAnsi="Times New Roman"/>
          <w:b w:val="0"/>
          <w:sz w:val="24"/>
        </w:rPr>
        <w:t>Second, two-stage neural pipelines rarely quantify the accuracy lost during candidate pre-filtering. We found that dense top-5 filtering drops 21.90% of gold sentences before cross-encoders ever see them, establishing a hard performance ceiling that full-pool lexical scoring avoids completely.</w:t>
      </w:r>
    </w:p>
    <w:p>
      <w:pPr>
        <w:spacing w:before="0" w:after="120" w:line="360" w:lineRule="auto"/>
        <w:jc w:val="both"/>
      </w:pPr>
      <w:r>
        <w:rPr>
          <w:rFonts w:ascii="Times New Roman" w:hAnsi="Times New Roman"/>
          <w:b w:val="0"/>
          <w:sz w:val="24"/>
        </w:rPr>
        <w:t>Third, attribution tools typically output either a single sentence or a static top-k list. Adaptive prediction sets that offer finite-sample coverage guarantees across variable-length passages have remained largely unexplored in RAG evidence grounding.</w:t>
      </w:r>
    </w:p>
    <w:p>
      <w:pPr>
        <w:spacing w:before="0" w:after="120" w:line="360" w:lineRule="auto"/>
        <w:jc w:val="both"/>
      </w:pPr>
      <w:r>
        <w:rPr>
          <w:rFonts w:ascii="Times New Roman" w:hAnsi="Times New Roman"/>
          <w:b w:val="0"/>
          <w:sz w:val="24"/>
        </w:rPr>
        <w:t>Fourth, conventional pipelines treat detection and retrieval as one-way steps. They fail to abstain when evidence is missing and do not leverage evidence availability to resolve detector ambiguity on borderline claims.</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Project aim and component aim</w:t>
      </w:r>
    </w:p>
    <w:p>
      <w:pPr>
        <w:spacing w:before="0" w:after="120" w:line="360" w:lineRule="auto"/>
        <w:jc w:val="both"/>
      </w:pPr>
      <w:r>
        <w:rPr>
          <w:rFonts w:ascii="Times New Roman" w:hAnsi="Times New Roman"/>
          <w:b w:val="0"/>
          <w:sz w:val="24"/>
        </w:rPr>
        <w:t>The overarching goal of TrustRAG is to provide a statistically calibrated, span-level hallucination detection and evidence-grounding platform with distribution-shift monitoring.</w:t>
      </w:r>
    </w:p>
    <w:p>
      <w:pPr>
        <w:spacing w:before="0" w:after="120" w:line="360" w:lineRule="auto"/>
        <w:jc w:val="both"/>
      </w:pPr>
      <w:r>
        <w:rPr>
          <w:rFonts w:ascii="Times New Roman" w:hAnsi="Times New Roman"/>
          <w:b w:val="0"/>
          <w:sz w:val="24"/>
        </w:rPr>
        <w:t>For Component 4, the specific aim is:</w:t>
      </w:r>
    </w:p>
    <w:p>
      <w:pPr>
        <w:spacing w:before="80" w:after="80" w:line="240" w:lineRule="auto"/>
        <w:ind w:left="567" w:right="340"/>
      </w:pPr>
      <w:r>
        <w:rPr>
          <w:rFonts w:ascii="Times New Roman" w:hAnsi="Times New Roman"/>
          <w:b w:val="0"/>
          <w:sz w:val="23"/>
        </w:rPr>
        <w:t>To create a fast, memory-efficient attribution module that aligns flagged answer spans with minimal conformal evidence sets under statistical coverage guarantees, abstains when evidence is absent, and helps resolve borderline detector classifications.</w:t>
      </w:r>
    </w:p>
    <w:p>
      <w:pPr>
        <w:pStyle w:val="Heading3"/>
        <w:keepNext/>
        <w:spacing w:before="160" w:after="80" w:line="240" w:lineRule="auto"/>
      </w:pPr>
      <w:r>
        <w:rPr>
          <w:rFonts w:ascii="Times New Roman" w:hAnsi="Times New Roman"/>
          <w:b/>
          <w:color w:val="000000"/>
          <w:sz w:val="24"/>
        </w:rPr>
        <w:t>1.5.2 Measurable objectives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Objective 1 (Annotation Audit &amp; Matching Protocol):</w:t>
      </w:r>
      <w:r>
        <w:rPr>
          <w:rFonts w:ascii="Times New Roman" w:hAnsi="Times New Roman"/>
          <w:b w:val="0"/>
          <w:sz w:val="24"/>
        </w:rPr>
        <w:t xml:space="preserve"> Examine </w:t>
      </w:r>
      <w:r>
        <w:rPr>
          <w:rFonts w:ascii="Times New Roman" w:hAnsi="Times New Roman"/>
          <w:b w:val="0"/>
          <w:sz w:val="24"/>
        </w:rPr>
        <w:t>Original:</w:t>
      </w:r>
      <w:r>
        <w:rPr>
          <w:rFonts w:ascii="Times New Roman" w:hAnsi="Times New Roman"/>
          <w:b w:val="0"/>
          <w:sz w:val="24"/>
        </w:rPr>
        <w:t xml:space="preserve"> comments across RAGTruth's frozen splits (1,214 calibration, 1,533 test spans), define a token-containment matching threshold (θ = 0.50), and test the no-evidence heuristic through a 50-span blind audit achieving ≥ 0.90 agreement and Cohen's κ &gt; 0.80.</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Objective 2 (Attribution Benchmarking &amp; Pre-Filter Loss):</w:t>
      </w:r>
      <w:r>
        <w:rPr>
          <w:rFonts w:ascii="Times New Roman" w:hAnsi="Times New Roman"/>
          <w:b w:val="0"/>
          <w:sz w:val="24"/>
        </w:rPr>
        <w:t xml:space="preserve"> Compare lexical, dense (</w:t>
      </w:r>
      <w:r>
        <w:rPr>
          <w:rFonts w:ascii="Times New Roman" w:hAnsi="Times New Roman"/>
          <w:b w:val="0"/>
          <w:sz w:val="24"/>
        </w:rPr>
        <w:t>bge-small</w:t>
      </w:r>
      <w:r>
        <w:rPr>
          <w:rFonts w:ascii="Times New Roman" w:hAnsi="Times New Roman"/>
          <w:b w:val="0"/>
          <w:sz w:val="24"/>
        </w:rPr>
        <w:t>), and cross-encoder models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against simple baselines, measuring candidate pre-filter loss directly.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Objective 3 (Calibration &amp; Conformal Evidence Sets):</w:t>
      </w:r>
      <w:r>
        <w:rPr>
          <w:rFonts w:ascii="Times New Roman" w:hAnsi="Times New Roman"/>
          <w:b w:val="0"/>
          <w:sz w:val="24"/>
        </w:rPr>
        <w:t xml:space="preserve"> Test post-hoc calibration methods and generate LAC/CRC conformal sets across α ∈ [0.01, 0.40], achieving ≥ 90% coverage at α = 0.10 while lowering reading burden by over 65%.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Objective 4 (Abstention Tuning, Transfer, Fusion &amp; Serving):</w:t>
      </w:r>
      <w:r>
        <w:rPr>
          <w:rFonts w:ascii="Times New Roman" w:hAnsi="Times New Roman"/>
          <w:b w:val="0"/>
          <w:sz w:val="24"/>
        </w:rPr>
        <w:t xml:space="preserve"> Calibrate the abstention threshold (τ = 0.1973), evaluate Leave-One-Task-Out transfer, measure the F1 improvement from tie-break fusion, and package the live service via </w:t>
      </w:r>
      <w:r>
        <w:rPr>
          <w:rFonts w:ascii="Times New Roman" w:hAnsi="Times New Roman"/>
          <w:b w:val="0"/>
          <w:sz w:val="24"/>
        </w:rPr>
        <w:t>c4_artifact.json</w:t>
      </w:r>
      <w:r>
        <w:rPr>
          <w:rFonts w:ascii="Times New Roman" w:hAnsi="Times New Roman"/>
          <w:b w:val="0"/>
          <w:sz w:val="24"/>
        </w:rPr>
        <w:t xml:space="preserve"> with &lt;5 ms CPU latency.</w:t>
      </w:r>
    </w:p>
    <w:p>
      <w:pPr>
        <w:pStyle w:val="Heading2"/>
        <w:keepNext/>
        <w:spacing w:before="200" w:after="120" w:line="240" w:lineRule="auto"/>
      </w:pPr>
      <w:r>
        <w:rPr>
          <w:rFonts w:ascii="Times New Roman" w:hAnsi="Times New Roman"/>
          <w:b/>
          <w:color w:val="000000"/>
          <w:sz w:val="24"/>
        </w:rPr>
        <w:t>1.6 Research Questions or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(Annotation Consistency &amp; Pre-Filter Loss):</w:t>
      </w:r>
      <w:r>
        <w:rPr>
          <w:rFonts w:ascii="Times New Roman" w:hAnsi="Times New Roman"/>
          <w:b w:val="0"/>
          <w:sz w:val="24"/>
        </w:rPr>
        <w:t xml:space="preserve"> </w:t>
      </w:r>
      <w:r>
        <w:rPr>
          <w:rFonts w:ascii="Times New Roman" w:hAnsi="Times New Roman"/>
          <w:b w:val="0"/>
          <w:i/>
          <w:sz w:val="24"/>
        </w:rPr>
        <w:t>How well do human reference quotes map to source sentences, and does candidate pre-filtering bottleneck cross-encoder accuracy?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Under 60% of quotes match verbatim, and full-pool lexical scoring will outperform dense pre-filtered cross-encoders because dense filters discard &gt;15% of gold sentences.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Evidence Sets &amp; Reading Load):</w:t>
      </w:r>
      <w:r>
        <w:rPr>
          <w:rFonts w:ascii="Times New Roman" w:hAnsi="Times New Roman"/>
          <w:b w:val="0"/>
          <w:sz w:val="24"/>
        </w:rPr>
        <w:t xml:space="preserve"> </w:t>
      </w:r>
      <w:r>
        <w:rPr>
          <w:rFonts w:ascii="Times New Roman" w:hAnsi="Times New Roman"/>
          <w:b w:val="0"/>
          <w:i/>
          <w:sz w:val="24"/>
        </w:rPr>
        <w:t>Can split-conformal prediction guarantee ≥ 1 - α coverage across passages of varying lengths while significantly lowering human reading load?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α = 0.10, conformal prediction will meet the 3σ coverage band ([0.8640, 0.9338]) and reduce mean reading load by more than 65% compared to full contexts.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(Abstention Thresholding &amp; Baselines):</w:t>
      </w:r>
      <w:r>
        <w:rPr>
          <w:rFonts w:ascii="Times New Roman" w:hAnsi="Times New Roman"/>
          <w:b w:val="0"/>
          <w:sz w:val="24"/>
        </w:rPr>
        <w:t xml:space="preserve"> </w:t>
      </w:r>
      <w:r>
        <w:rPr>
          <w:rFonts w:ascii="Times New Roman" w:hAnsi="Times New Roman"/>
          <w:b w:val="0"/>
          <w:i/>
          <w:sz w:val="24"/>
        </w:rPr>
        <w:t>Can a calibrated threshold separate baseless errors from attributable claims across tasks?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calibrated score threshold will achieve &gt;0.80 recall on baseless spans and beat the </w:t>
      </w:r>
      <w:r>
        <w:rPr>
          <w:rFonts w:ascii="Times New Roman" w:hAnsi="Times New Roman"/>
          <w:b w:val="0"/>
          <w:sz w:val="24"/>
        </w:rPr>
        <w:t>always_abstain</w:t>
      </w:r>
      <w:r>
        <w:rPr>
          <w:rFonts w:ascii="Times New Roman" w:hAnsi="Times New Roman"/>
          <w:b w:val="0"/>
          <w:sz w:val="24"/>
        </w:rPr>
        <w:t xml:space="preserve"> baseline pooled, in Data-to-Text, and in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(Tie-Break Fusion Gains):</w:t>
      </w:r>
      <w:r>
        <w:rPr>
          <w:rFonts w:ascii="Times New Roman" w:hAnsi="Times New Roman"/>
          <w:b w:val="0"/>
          <w:sz w:val="24"/>
        </w:rPr>
        <w:t xml:space="preserve"> </w:t>
      </w:r>
      <w:r>
        <w:rPr>
          <w:rFonts w:ascii="Times New Roman" w:hAnsi="Times New Roman"/>
          <w:b w:val="0"/>
          <w:i/>
          <w:sz w:val="24"/>
        </w:rPr>
        <w:t>Does using Component 4's no-evidence check to resolve uncertain detector abstentions improve response-level F1?</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Component 2 </w:t>
      </w:r>
      <w:r>
        <w:rPr>
          <w:rFonts w:ascii="Times New Roman" w:hAnsi="Times New Roman"/>
          <w:b w:val="0"/>
          <w:sz w:val="24"/>
        </w:rPr>
        <w:t>ABSTAIN</w:t>
      </w:r>
      <w:r>
        <w:rPr>
          <w:rFonts w:ascii="Times New Roman" w:hAnsi="Times New Roman"/>
          <w:b w:val="0"/>
          <w:sz w:val="24"/>
        </w:rPr>
        <w:t xml:space="preserve"> spans when Component 4 finds no evidence will increase response F1 by more than the 4.18-point bootstrap noise margin.</w:t>
      </w:r>
    </w:p>
    <w:p>
      <w:pPr>
        <w:pStyle w:val="Caption"/>
        <w:keepNext/>
        <w:spacing w:before="160" w:after="80" w:line="240" w:lineRule="auto"/>
        <w:jc w:val="center"/>
      </w:pPr>
      <w:r>
        <w:rPr>
          <w:rFonts w:ascii="Times New Roman" w:hAnsi="Times New Roman"/>
          <w:b w:val="0"/>
          <w:sz w:val="22"/>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w:t>
      </w:r>
      <w:r>
        <w:rPr>
          <w:rFonts w:ascii="Times New Roman" w:hAnsi="Times New Roman"/>
          <w:b w:val="0"/>
          <w:sz w:val="24"/>
        </w:rPr>
        <w:t xml:space="preserve"> Experiments use the </w:t>
      </w:r>
      <w:r>
        <w:rPr>
          <w:rFonts w:ascii="Times New Roman" w:hAnsi="Times New Roman"/>
          <w:b/>
          <w:sz w:val="24"/>
        </w:rPr>
        <w:t>RAGTruth</w:t>
      </w:r>
      <w:r>
        <w:rPr>
          <w:rFonts w:ascii="Times New Roman" w:hAnsi="Times New Roman"/>
          <w:b w:val="0"/>
          <w:sz w:val="24"/>
        </w:rPr>
        <w:t xml:space="preserve"> corpus [6] across QA, Data-to-Text, and Summarization with the exact calibration (297 responses, 1,214 spans) and test splits (2,670 responses, 1,533 spans; 1,509 for fusion) from Component 1.</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w:t>
      </w:r>
      <w:r>
        <w:rPr>
          <w:rFonts w:ascii="Times New Roman" w:hAnsi="Times New Roman"/>
          <w:b w:val="0"/>
          <w:sz w:val="24"/>
        </w:rPr>
        <w:t xml:space="preserve"> Attribution operates at the sentence level using the regex splitter </w:t>
      </w:r>
      <w:r>
        <w:rPr>
          <w:rFonts w:ascii="Times New Roman" w:hAnsi="Times New Roman"/>
          <w:b w:val="0"/>
          <w:sz w:val="24"/>
        </w:rPr>
        <w:t>(?&lt;=[.!?])\s+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Deployment:</w:t>
      </w:r>
      <w:r>
        <w:rPr>
          <w:rFonts w:ascii="Times New Roman" w:hAnsi="Times New Roman"/>
          <w:b w:val="0"/>
          <w:sz w:val="24"/>
        </w:rPr>
        <w:t xml:space="preserve"> We benchmark four backends offline and ship the lightweight lexical engine online using </w:t>
      </w:r>
      <w:r>
        <w:rPr>
          <w:rFonts w:ascii="Times New Roman" w:hAnsi="Times New Roman"/>
          <w:b w:val="0"/>
          <w:sz w:val="24"/>
        </w:rPr>
        <w:t>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Sentence Splitter:</w:t>
      </w:r>
      <w:r>
        <w:rPr>
          <w:rFonts w:ascii="Times New Roman" w:hAnsi="Times New Roman"/>
          <w:b w:val="0"/>
          <w:sz w:val="24"/>
        </w:rPr>
        <w:t xml:space="preserve"> We keep the regex splitter to stay aligned with the other components. Layer 1c tests showed this causes zero index movement compared to more complex splitters.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External Benchmark Annotations:</w:t>
      </w:r>
      <w:r>
        <w:rPr>
          <w:rFonts w:ascii="Times New Roman" w:hAnsi="Times New Roman"/>
          <w:b w:val="0"/>
          <w:sz w:val="24"/>
        </w:rPr>
        <w:t xml:space="preserve"> RAGBench provides response labels rather than sentence quotes. We evaluate transfer across RAGTruth tasks via Leave-One-Task-Out folds.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 Reference Index:</w:t>
      </w:r>
      <w:r>
        <w:rPr>
          <w:rFonts w:ascii="Times New Roman" w:hAnsi="Times New Roman"/>
          <w:b w:val="0"/>
          <w:sz w:val="24"/>
        </w:rPr>
        <w:t xml:space="preserve"> When annotator quotes span multiple sentences, our protocol selects the sentence with the highest word overlap.</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 Exchangeability:</w:t>
      </w:r>
      <w:r>
        <w:rPr>
          <w:rFonts w:ascii="Times New Roman" w:hAnsi="Times New Roman"/>
          <w:b w:val="0"/>
          <w:sz w:val="24"/>
        </w:rPr>
        <w:t xml:space="preserve"> Conformal guarantees assume test inputs come from the same distribution as calibration data. If inputs shift out of domain, Component 2's exchangeability check flags the issue and withdraws coverage guarantees.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Deployment Hardware:</w:t>
      </w:r>
      <w:r>
        <w:rPr>
          <w:rFonts w:ascii="Times New Roman" w:hAnsi="Times New Roman"/>
          <w:b w:val="0"/>
          <w:sz w:val="24"/>
        </w:rPr>
        <w:t xml:space="preserve"> We target standard laptops with 6 GB VRAM or CPU-only setups.</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As the lead for Component 4, I took full responsibility for the mathematical formulation, algorithmic implementation, empirical evaluation, and production integration of the evidence-grounding subsystem:</w:t>
      </w:r>
    </w:p>
    <w:p>
      <w:pPr>
        <w:spacing w:before="40" w:after="60" w:line="360" w:lineRule="auto"/>
        <w:ind w:left="454" w:hanging="227"/>
      </w:pPr>
      <w:r>
        <w:rPr>
          <w:rFonts w:ascii="Times New Roman" w:hAnsi="Times New Roman"/>
          <w:b w:val="0"/>
          <w:sz w:val="24"/>
        </w:rPr>
        <w:t>• To establish an honest baseline, I audited RAGTruth's human annotations across Layers 1, 1b, and 1c, identified that extraction conventions diverge on 6.4% of comments, and conducted the 50-sample blind audit achieving a Cohen's kappa of 0.8466.</w:t>
      </w:r>
    </w:p>
    <w:p>
      <w:pPr>
        <w:spacing w:before="40" w:after="60" w:line="360" w:lineRule="auto"/>
        <w:ind w:left="454" w:hanging="227"/>
      </w:pPr>
      <w:r>
        <w:rPr>
          <w:rFonts w:ascii="Times New Roman" w:hAnsi="Times New Roman"/>
          <w:b w:val="0"/>
          <w:sz w:val="24"/>
        </w:rPr>
        <w:t>• Addressing the lack of verbatim agreement, I designed the token-containment matching rule at θ = 0.50 and benchmarked it against trivial floors such as longest-sentence and random selection.</w:t>
      </w:r>
    </w:p>
    <w:p>
      <w:pPr>
        <w:spacing w:before="40" w:after="60" w:line="360" w:lineRule="auto"/>
        <w:ind w:left="454" w:hanging="227"/>
      </w:pPr>
      <w:r>
        <w:rPr>
          <w:rFonts w:ascii="Times New Roman" w:hAnsi="Times New Roman"/>
          <w:b w:val="0"/>
          <w:sz w:val="24"/>
        </w:rPr>
        <w:t>• In benchmarking retrieval architectures, I isolated the 21.90% pre-filter drop rate in dense bi-encoders and evaluated post-hoc score calibration methods.</w:t>
      </w:r>
    </w:p>
    <w:p>
      <w:pPr>
        <w:spacing w:before="40" w:after="60" w:line="360" w:lineRule="auto"/>
        <w:ind w:left="454" w:hanging="227"/>
      </w:pPr>
      <w:r>
        <w:rPr>
          <w:rFonts w:ascii="Times New Roman" w:hAnsi="Times New Roman"/>
          <w:b w:val="0"/>
          <w:sz w:val="24"/>
        </w:rPr>
        <w:t>• To control human auditing effort, I derived and implemented the LAC and CRC conformal prediction sets, confirming 90.03% coverage at α = 0.10 and demonstrating a 70.63% reduction in reading load.</w:t>
      </w:r>
    </w:p>
    <w:p>
      <w:pPr>
        <w:spacing w:before="40" w:after="60" w:line="360" w:lineRule="auto"/>
        <w:ind w:left="454" w:hanging="227"/>
      </w:pPr>
      <w:r>
        <w:rPr>
          <w:rFonts w:ascii="Times New Roman" w:hAnsi="Times New Roman"/>
          <w:b w:val="0"/>
          <w:sz w:val="24"/>
        </w:rPr>
        <w:t>• For ungrounded errors, I calibrated the abstention gate (τ = 0.1973, achieving 80.80% recall), evaluated zero-shot transfer across tasks, and designed the tie-break fusion rule that improved response F1 by +5.96 points.</w:t>
      </w:r>
    </w:p>
    <w:p>
      <w:pPr>
        <w:spacing w:before="40" w:after="60" w:line="360" w:lineRule="auto"/>
        <w:ind w:left="454" w:hanging="227"/>
      </w:pPr>
      <w:r>
        <w:rPr>
          <w:rFonts w:ascii="Times New Roman" w:hAnsi="Times New Roman"/>
          <w:b w:val="0"/>
          <w:sz w:val="24"/>
        </w:rPr>
        <w:t xml:space="preserve">• On the engineering side, I packaged the runtime service into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xml:space="preserve"> (running in 1.312 ms on CPU) and wrote 147 automated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This dissertation is organised into eight subsequent chapters. Chapter 2 surveys existing literature in hallucination detection, citation grounding, and conformal prediction. Chapter 3 explains our experimental setup, dataset splits, and evaluation metrics. In Chapter 4, we lay out system requirements, architecture diagrams, and interface schemas. Chapter 5 covers software implementation, API wiring, and testing. Chapter 6 details experimental results across 16 tables and 7 figures, followed by a critical discussion of findings and limitations in Chapter 7. Chapter 8 reviews commercial deployment, licensing, and sustainability, and Chapter 9 concludes with future research directions.</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We performed a structured review of academic publications following established guidelines for software engineering and machine learning [20]. Our search focused on five interrelated topics: (1) RAG hallucination benchmarks; (2) token-level error detection; (3) citation and evidence attribution; (4) probability calibration and conformal prediction in NLP; and (5) selective abstention on unanswerable inputs.</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We queried ACL Anthology, IEEE Xplore, ACM Digital Library, arXiv, and Google Scholar for papers published between 2017 and 2026. Table 2.1 lists our search queries and selection criteria.</w:t>
      </w:r>
    </w:p>
    <w:p>
      <w:pPr>
        <w:spacing w:before="0" w:after="120" w:line="360" w:lineRule="auto"/>
        <w:jc w:val="both"/>
      </w:pPr>
      <w:r>
        <w:rPr>
          <w:rFonts w:ascii="Times New Roman" w:hAnsi="Times New Roman"/>
          <w:b w:val="0"/>
          <w:sz w:val="24"/>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Works formulating NOT ENOUGH INFO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Filtering title and abstracts from an initial set of 218 papers narrowed the pool down to 94 articles, resulting in 45 core references cited in this thesis.</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How RAG works and where it fails</w:t>
      </w:r>
    </w:p>
    <w:p>
      <w:pPr>
        <w:spacing w:before="0" w:after="120" w:line="360" w:lineRule="auto"/>
        <w:jc w:val="both"/>
      </w:pPr>
      <w:r>
        <w:rPr>
          <w:rFonts w:ascii="Times New Roman" w:hAnsi="Times New Roman"/>
          <w:b w:val="0"/>
          <w:sz w:val="24"/>
        </w:rPr>
        <w:t>In a standard RAG setup [1], a retriever selects context passages D ⊂ D for a user query q, and a language model produces an answer y. When errors occur, they generally fall into two groups [3], [5]: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Context Conflicts (Intrinsic Errors):</w:t>
      </w:r>
      <w:r>
        <w:rPr>
          <w:rFonts w:ascii="Times New Roman" w:hAnsi="Times New Roman"/>
          <w:b w:val="0"/>
          <w:sz w:val="24"/>
        </w:rPr>
        <w:t xml:space="preserve"> The model's answer contradicts information in D. In RAGTruth [6], these are split into </w:t>
      </w:r>
      <w:r>
        <w:rPr>
          <w:rFonts w:ascii="Times New Roman" w:hAnsi="Times New Roman"/>
          <w:b w:val="0"/>
          <w:i/>
          <w:sz w:val="24"/>
        </w:rPr>
        <w:t>Evident Conflict</w:t>
      </w:r>
      <w:r>
        <w:rPr>
          <w:rFonts w:ascii="Times New Roman" w:hAnsi="Times New Roman"/>
          <w:b w:val="0"/>
          <w:sz w:val="24"/>
        </w:rPr>
        <w:t xml:space="preserve"> (direct contradiction or numerical error) and </w:t>
      </w:r>
      <w:r>
        <w:rPr>
          <w:rFonts w:ascii="Times New Roman" w:hAnsi="Times New Roman"/>
          <w:b w:val="0"/>
          <w:i/>
          <w:sz w:val="24"/>
        </w:rPr>
        <w:t>Subtle Conflict</w:t>
      </w:r>
      <w:r>
        <w:rPr>
          <w:rFonts w:ascii="Times New Roman" w:hAnsi="Times New Roman"/>
          <w:b w:val="0"/>
          <w:sz w:val="24"/>
        </w:rPr>
        <w:t xml:space="preserve"> (subtle nuance shifts).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Baseless Errors (Extrinsic Errors):</w:t>
      </w:r>
      <w:r>
        <w:rPr>
          <w:rFonts w:ascii="Times New Roman" w:hAnsi="Times New Roman"/>
          <w:b w:val="0"/>
          <w:sz w:val="24"/>
        </w:rPr>
        <w:t xml:space="preserve"> The answer includes claims not mentioned anywhere in D. In RAGTruth [6], these include </w:t>
      </w:r>
      <w:r>
        <w:rPr>
          <w:rFonts w:ascii="Times New Roman" w:hAnsi="Times New Roman"/>
          <w:b w:val="0"/>
          <w:i/>
          <w:sz w:val="24"/>
        </w:rPr>
        <w:t>Evident Baseless Info</w:t>
      </w:r>
      <w:r>
        <w:rPr>
          <w:rFonts w:ascii="Times New Roman" w:hAnsi="Times New Roman"/>
          <w:b w:val="0"/>
          <w:sz w:val="24"/>
        </w:rPr>
        <w:t xml:space="preserve"> (completely fabricated statements) and </w:t>
      </w:r>
      <w:r>
        <w:rPr>
          <w:rFonts w:ascii="Times New Roman" w:hAnsi="Times New Roman"/>
          <w:b w:val="0"/>
          <w:i/>
          <w:sz w:val="24"/>
        </w:rPr>
        <w:t>Subtle Baseless Info</w:t>
      </w:r>
      <w:r>
        <w:rPr>
          <w:rFonts w:ascii="Times New Roman" w:hAnsi="Times New Roman"/>
          <w:b w:val="0"/>
          <w:sz w:val="24"/>
        </w:rPr>
        <w:t xml:space="preserve"> (plausible details absent from the text).</w:t>
      </w:r>
    </w:p>
    <w:p>
      <w:pPr>
        <w:spacing w:before="0" w:after="120" w:line="360" w:lineRule="auto"/>
        <w:jc w:val="both"/>
      </w:pPr>
      <w:r>
        <w:rPr>
          <w:rFonts w:ascii="Times New Roman" w:hAnsi="Times New Roman"/>
          <w:b w:val="0"/>
          <w:sz w:val="24"/>
        </w:rPr>
        <w:t>For Conflicts, a source sentence exists in D, making attribution a task of finding the right sentence. For Baseless claims, no source sentence exists, meaning the system needs to abstain rather than guess.</w:t>
      </w:r>
    </w:p>
    <w:p>
      <w:pPr>
        <w:pStyle w:val="Heading3"/>
        <w:keepNext/>
        <w:spacing w:before="160" w:after="80" w:line="240" w:lineRule="auto"/>
      </w:pPr>
      <w:r>
        <w:rPr>
          <w:rFonts w:ascii="Times New Roman" w:hAnsi="Times New Roman"/>
          <w:b/>
          <w:color w:val="000000"/>
          <w:sz w:val="24"/>
        </w:rPr>
        <w:t>2.2.2 Scoring sentences: lexical vs neural methods</w:t>
      </w:r>
    </w:p>
    <w:p>
      <w:pPr>
        <w:spacing w:before="0" w:after="120" w:line="360" w:lineRule="auto"/>
        <w:jc w:val="both"/>
      </w:pPr>
      <w:r>
        <w:rPr>
          <w:rFonts w:ascii="Times New Roman" w:hAnsi="Times New Roman"/>
          <w:b w:val="0"/>
          <w:sz w:val="24"/>
        </w:rPr>
        <w:t>Given an answer span s_i and candidate context sentences D = (c_1, \dots, c_m), attribution relies on a scoring function f(s_i, c_j):</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 Token Overlap:</w:t>
      </w:r>
      <w:r>
        <w:rPr>
          <w:rFonts w:ascii="Times New Roman" w:hAnsi="Times New Roman"/>
          <w:b w:val="0"/>
          <w:sz w:val="24"/>
        </w:rPr>
        <w:t xml:space="preserve"> Content words T(x) are weighted using inverse document frequency computed within the passage:</w:t>
      </w:r>
    </w:p>
    <w:p>
      <w:pPr>
        <w:spacing w:before="120" w:after="120" w:line="240" w:lineRule="auto"/>
        <w:jc w:val="center"/>
      </w:pPr>
      <w:r>
        <w:rPr>
          <w:rFonts w:ascii="Times New Roman" w:hAnsi="Times New Roman"/>
          <w:i/>
          <w:sz w:val="23"/>
        </w:rPr>
        <w:t>idf(t; D) = \ln≤ft((m + 1)/(df(t; D) + 1)) + 1.0, \quad s_j = \frac{∑_{t ∈ T(s_i) ∩ T(c_j)} idf(t; D)}{∑_{t ∈ T(s_i)} idf(t; D)} ∈ [0, 1]</w:t>
      </w:r>
    </w:p>
    <w:p>
      <w:pPr>
        <w:spacing w:before="0" w:after="120" w:line="360" w:lineRule="auto"/>
        <w:jc w:val="both"/>
      </w:pPr>
      <w:r>
        <w:rPr>
          <w:rFonts w:ascii="Times New Roman" w:hAnsi="Times New Roman"/>
          <w:b w:val="0"/>
          <w:sz w:val="24"/>
        </w:rPr>
        <w:t>This produces a bounded score in [0, 1] without requiring trained weights or risking cross-document data leakage.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Dense Bi-Encoders:</w:t>
      </w:r>
      <w:r>
        <w:rPr>
          <w:rFonts w:ascii="Times New Roman" w:hAnsi="Times New Roman"/>
          <w:b w:val="0"/>
          <w:sz w:val="24"/>
        </w:rPr>
        <w:t xml:space="preserve"> Encoders like BGE [23] map spans and sentences into vector embeddings and measure cosine similarity. However, sentence-level pooling often dilutes specific dates, numbers, and proper nouns.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Cross-Encoders:</w:t>
      </w:r>
      <w:r>
        <w:rPr>
          <w:rFonts w:ascii="Times New Roman" w:hAnsi="Times New Roman"/>
          <w:b w:val="0"/>
          <w:sz w:val="24"/>
        </w:rPr>
        <w:t xml:space="preserve"> Cross-attention models like DeBERTa-v3 [24] and HHEM [28] concatenate the span and sentence. While expressive, scoring all candidates takes O(m · L^2) time, requiring pre-filtering that can discard gold sentences.</w:t>
      </w:r>
    </w:p>
    <w:p>
      <w:pPr>
        <w:pStyle w:val="Heading3"/>
        <w:keepNext/>
        <w:spacing w:before="160" w:after="80" w:line="240" w:lineRule="auto"/>
      </w:pPr>
      <w:r>
        <w:rPr>
          <w:rFonts w:ascii="Times New Roman" w:hAnsi="Times New Roman"/>
          <w:b/>
          <w:color w:val="000000"/>
          <w:sz w:val="24"/>
        </w:rPr>
        <w:t>2.2.3 Calibration of model scores</w:t>
      </w:r>
    </w:p>
    <w:p>
      <w:pPr>
        <w:spacing w:before="0" w:after="120" w:line="360" w:lineRule="auto"/>
        <w:jc w:val="both"/>
      </w:pPr>
      <w:r>
        <w:rPr>
          <w:rFonts w:ascii="Times New Roman" w:hAnsi="Times New Roman"/>
          <w:b w:val="0"/>
          <w:sz w:val="24"/>
        </w:rPr>
        <w:t>Raw model outputs seldom represent true empirical probabilities [25]. Three post-hoc calibration methods are widely used on held-out validation data:</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Temperature Scaling [25]:</w:t>
      </w:r>
      <w:r>
        <w:rPr>
          <w:rFonts w:ascii="Times New Roman" w:hAnsi="Times New Roman"/>
          <w:b w:val="0"/>
          <w:sz w:val="24"/>
        </w:rPr>
        <w:t xml:space="preserve"> Scales logits with a positive scalar 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Platt Scaling [26]:</w:t>
      </w:r>
      <w:r>
        <w:rPr>
          <w:rFonts w:ascii="Times New Roman" w:hAnsi="Times New Roman"/>
          <w:b w:val="0"/>
          <w:sz w:val="24"/>
        </w:rPr>
        <w:t xml:space="preserve"> Fits a logistic regression model p̂ = σ(a z + b) with slope and intercept.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Isotonic Regression [27]:</w:t>
      </w:r>
      <w:r>
        <w:rPr>
          <w:rFonts w:ascii="Times New Roman" w:hAnsi="Times New Roman"/>
          <w:b w:val="0"/>
          <w:sz w:val="24"/>
        </w:rPr>
        <w:t xml:space="preserve"> Fits a monotonic piecewise step function.</w:t>
      </w:r>
    </w:p>
    <w:p>
      <w:pPr>
        <w:spacing w:before="0" w:after="120" w:line="360" w:lineRule="auto"/>
        <w:jc w:val="both"/>
      </w:pPr>
      <w:r>
        <w:rPr>
          <w:rFonts w:ascii="Times New Roman" w:hAnsi="Times New Roman"/>
          <w:b w:val="0"/>
          <w:sz w:val="24"/>
        </w:rPr>
        <w:t>We evaluate calibration using Expected Calibration Error (ECE) and Brier score, interpreted alongside a constant base-rate baseline.</w:t>
      </w:r>
    </w:p>
    <w:p>
      <w:pPr>
        <w:pStyle w:val="Heading3"/>
        <w:keepNext/>
        <w:spacing w:before="160" w:after="80" w:line="240" w:lineRule="auto"/>
      </w:pPr>
      <w:r>
        <w:rPr>
          <w:rFonts w:ascii="Times New Roman" w:hAnsi="Times New Roman"/>
          <w:b/>
          <w:color w:val="000000"/>
          <w:sz w:val="24"/>
        </w:rPr>
        <w:t>2.2.4 Conformal prediction sets</w:t>
      </w:r>
    </w:p>
    <w:p>
      <w:pPr>
        <w:spacing w:before="0" w:after="120" w:line="360" w:lineRule="auto"/>
        <w:jc w:val="both"/>
      </w:pPr>
      <w:r>
        <w:rPr>
          <w:rFonts w:ascii="Times New Roman" w:hAnsi="Times New Roman"/>
          <w:b w:val="0"/>
          <w:sz w:val="24"/>
        </w:rPr>
        <w:t>To output a set of candidate sentences C_α(s) ⊂eq \{1, \dots, m\} with guaranteed coverage, we employ split-conformal prediction [15], [16] via Least Ambiguous Set-Valued Classifiers (LAC) [17]. On calibration examples, the nonconformity score of the gold sentence is R_r = 1 - p_{r, j_{gold}}. For a chosen error rate α, the empirical quantile \hat{q}_{1-α} is computed with a finite-sample correction. At test time, the conformal set includes all sentences meeting the cutoff:</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Under exchangeability, this guarantees that P(j_{gold} ∈ C_α) ≥ 1 - α.</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RAG benchmark datasets</w:t>
      </w:r>
    </w:p>
    <w:p>
      <w:pPr>
        <w:spacing w:before="0" w:after="120" w:line="360" w:lineRule="auto"/>
        <w:jc w:val="both"/>
      </w:pPr>
      <w:r>
        <w:rPr>
          <w:rFonts w:ascii="Times New Roman" w:hAnsi="Times New Roman"/>
          <w:b w:val="0"/>
          <w:sz w:val="24"/>
        </w:rPr>
        <w:t xml:space="preserve">RAGTruth [6] provides human-annotated character-offset spans across QA, Data-to-Text, and Summarization with </w:t>
      </w:r>
      <w:r>
        <w:rPr>
          <w:rFonts w:ascii="Times New Roman" w:hAnsi="Times New Roman"/>
          <w:b w:val="0"/>
          <w:sz w:val="24"/>
        </w:rPr>
        <w:t>Original:</w:t>
      </w:r>
      <w:r>
        <w:rPr>
          <w:rFonts w:ascii="Times New Roman" w:hAnsi="Times New Roman"/>
          <w:b w:val="0"/>
          <w:sz w:val="24"/>
        </w:rPr>
        <w:t xml:space="preserve"> source notes. Prior work used these notes only for overall detection, leaving them unaudited as evidence references. RAGBench [29] offers response-level adherence metrics, used in TrustRAG as an out-of-distribution benchmark.</w:t>
      </w:r>
    </w:p>
    <w:p>
      <w:pPr>
        <w:pStyle w:val="Heading3"/>
        <w:keepNext/>
        <w:spacing w:before="160" w:after="80" w:line="240" w:lineRule="auto"/>
      </w:pPr>
      <w:r>
        <w:rPr>
          <w:rFonts w:ascii="Times New Roman" w:hAnsi="Times New Roman"/>
          <w:b/>
          <w:color w:val="000000"/>
          <w:sz w:val="24"/>
        </w:rPr>
        <w:t>2.3.2 Token-level hallucination detection</w:t>
      </w:r>
    </w:p>
    <w:p>
      <w:pPr>
        <w:spacing w:before="0" w:after="120" w:line="360" w:lineRule="auto"/>
        <w:jc w:val="both"/>
      </w:pPr>
      <w:r>
        <w:rPr>
          <w:rFonts w:ascii="Times New Roman" w:hAnsi="Times New Roman"/>
          <w:b w:val="0"/>
          <w:sz w:val="24"/>
        </w:rPr>
        <w:t>Recent detectors like LettuceDetect [10] frame hallucination detection as token classification using ModernBERT [11]. While fast, sequence taggers only highlight words in the response—they do not inspect or cite the context passage.</w:t>
      </w:r>
    </w:p>
    <w:p>
      <w:pPr>
        <w:pStyle w:val="Heading3"/>
        <w:keepNext/>
        <w:spacing w:before="160" w:after="80" w:line="240" w:lineRule="auto"/>
      </w:pPr>
      <w:r>
        <w:rPr>
          <w:rFonts w:ascii="Times New Roman" w:hAnsi="Times New Roman"/>
          <w:b/>
          <w:color w:val="000000"/>
          <w:sz w:val="24"/>
        </w:rPr>
        <w:t>2.3.3 Citation and attribution tools</w:t>
      </w:r>
    </w:p>
    <w:p>
      <w:pPr>
        <w:spacing w:before="0" w:after="120" w:line="360" w:lineRule="auto"/>
        <w:jc w:val="both"/>
      </w:pPr>
      <w:r>
        <w:rPr>
          <w:rFonts w:ascii="Times New Roman" w:hAnsi="Times New Roman"/>
          <w:b w:val="0"/>
          <w:sz w:val="24"/>
        </w:rPr>
        <w:t>Frameworks like ALCE [19], AttrScore, and SummaC [14] evaluate citations for supported claims. Component 4 addresses the reverse task: finding evidence for flagged hallucinated spans, where contradicted sentences share content words with the span while disagreeing with its predicate.</w:t>
      </w:r>
    </w:p>
    <w:p>
      <w:pPr>
        <w:pStyle w:val="Heading3"/>
        <w:keepNext/>
        <w:spacing w:before="160" w:after="80" w:line="240" w:lineRule="auto"/>
      </w:pPr>
      <w:r>
        <w:rPr>
          <w:rFonts w:ascii="Times New Roman" w:hAnsi="Times New Roman"/>
          <w:b/>
          <w:color w:val="000000"/>
          <w:sz w:val="24"/>
        </w:rPr>
        <w:t>2.3.4 Conformal prediction in nlp</w:t>
      </w:r>
    </w:p>
    <w:p>
      <w:pPr>
        <w:spacing w:before="0" w:after="120" w:line="360" w:lineRule="auto"/>
        <w:jc w:val="both"/>
      </w:pPr>
      <w:r>
        <w:rPr>
          <w:rFonts w:ascii="Times New Roman" w:hAnsi="Times New Roman"/>
          <w:b w:val="0"/>
          <w:sz w:val="24"/>
        </w:rPr>
        <w:t>Conformal methods have been applied to QA answer sets [32] and response factuality [33]. Component 4 applies conformal prediction to context sentence sets, measuring reading-effort reduction across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We compare Component 4 with four prevalent systems: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Vectara HHEM [28]:</w:t>
      </w:r>
      <w:r>
        <w:rPr>
          <w:rFonts w:ascii="Times New Roman" w:hAnsi="Times New Roman"/>
          <w:b w:val="0"/>
          <w:sz w:val="24"/>
        </w:rPr>
        <w:t xml:space="preserve"> A 184M-parameter cross-encoder for response-level evaluation. When adapted for sentences, it takes 24.6 ms/span and needs 440 MB of memory without offering conformal sets.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Ragas [12]:</w:t>
      </w:r>
      <w:r>
        <w:rPr>
          <w:rFonts w:ascii="Times New Roman" w:hAnsi="Times New Roman"/>
          <w:b w:val="0"/>
          <w:sz w:val="24"/>
        </w:rPr>
        <w:t xml:space="preserve"> Uses external LLM calls (GPT-4o) to evaluate claims. It incurs high latency (&gt;1,500 ms), API costs, and privacy risks without providing sentence offsets.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TruLens [30]:</w:t>
      </w:r>
      <w:r>
        <w:rPr>
          <w:rFonts w:ascii="Times New Roman" w:hAnsi="Times New Roman"/>
          <w:b w:val="0"/>
          <w:sz w:val="24"/>
        </w:rPr>
        <w:t xml:space="preserve"> Prompts LLMs or runs NLI models for chunk-level groundedness, lacking calibrated abstention and finite-sample guarantees.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[10]:</w:t>
      </w:r>
      <w:r>
        <w:rPr>
          <w:rFonts w:ascii="Times New Roman" w:hAnsi="Times New Roman"/>
          <w:b w:val="0"/>
          <w:sz w:val="24"/>
        </w:rPr>
        <w:t xml:space="preserve"> Provides fast token-level detection via ModernBERT, but does not segment context or provide evidence attribution.</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summarises key capabilities across existing tools and Component 4.</w:t>
      </w:r>
    </w:p>
    <w:p>
      <w:pPr>
        <w:spacing w:before="0" w:after="120" w:line="360" w:lineRule="auto"/>
        <w:jc w:val="both"/>
      </w:pPr>
      <w:r>
        <w:rPr>
          <w:rFonts w:ascii="Times New Roman" w:hAnsi="Times New Roman"/>
          <w:b w:val="0"/>
          <w:sz w:val="24"/>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 (Es et al.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 [14],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(ModernBERT)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None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 (`grounding.py`)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w:t>
      </w:r>
    </w:p>
    <w:p>
      <w:pPr>
        <w:spacing w:before="0" w:after="120" w:line="360" w:lineRule="auto"/>
        <w:jc w:val="both"/>
      </w:pPr>
      <w:r>
        <w:rPr>
          <w:rFonts w:ascii="Times New Roman" w:hAnsi="Times New Roman"/>
          <w:b w:val="0"/>
          <w:sz w:val="24"/>
        </w:rPr>
        <w:t>Component 4 is structured around four pillars: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before modelling:</w:t>
      </w:r>
      <w:r>
        <w:rPr>
          <w:rFonts w:ascii="Times New Roman" w:hAnsi="Times New Roman"/>
          <w:b w:val="0"/>
          <w:sz w:val="24"/>
        </w:rPr>
        <w:t xml:space="preserve"> Verify ground-truth annotations and splitter invariance before evaluating models.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Isolate pipeline bottlenecks:</w:t>
      </w:r>
      <w:r>
        <w:rPr>
          <w:rFonts w:ascii="Times New Roman" w:hAnsi="Times New Roman"/>
          <w:b w:val="0"/>
          <w:sz w:val="24"/>
        </w:rPr>
        <w:t xml:space="preserve"> Compare lexical and neural backends against task floors, measuring pre-filter loss directly.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Set-valued conformal grounding:</w:t>
      </w:r>
      <w:r>
        <w:rPr>
          <w:rFonts w:ascii="Times New Roman" w:hAnsi="Times New Roman"/>
          <w:b w:val="0"/>
          <w:sz w:val="24"/>
        </w:rPr>
        <w:t xml:space="preserve"> Replace point citations with conformal sets to give clear statistical coverage bounds.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Closed-loop abstention and fusion:</w:t>
      </w:r>
      <w:r>
        <w:rPr>
          <w:rFonts w:ascii="Times New Roman" w:hAnsi="Times New Roman"/>
          <w:b w:val="0"/>
          <w:sz w:val="24"/>
        </w:rPr>
        <w:t xml:space="preserve"> Use calibrated abstention to handle baseless errors and resolve detector uncertainty.</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Our experimental methodology follows a design-science approach structured across twelve analytical layers (Layers 1 to 12, followed by latency benchmarking and acceptance testing in Layers 13 to 15). To prevent data leakage and avoid training on noisy ground truth, we established five practical safeguards from day one.</w:t>
      </w:r>
    </w:p>
    <w:p>
      <w:pPr>
        <w:spacing w:before="0" w:after="120" w:line="360" w:lineRule="auto"/>
        <w:jc w:val="both"/>
      </w:pPr>
      <w:r>
        <w:rPr>
          <w:rFonts w:ascii="Times New Roman" w:hAnsi="Times New Roman"/>
          <w:b w:val="0"/>
          <w:sz w:val="24"/>
        </w:rPr>
        <w:t>Before running any model, we audited the human supervision in RAGTruth across Layers 1 and 1b. Inspecting calibration snippets and conducting an independent blind dual-rater audit on 50 sampled annotations verified our negative-evidence extraction at 94.0% agreement (Cohen's κ = 0.8466).</w:t>
      </w:r>
    </w:p>
    <w:p>
      <w:pPr>
        <w:spacing w:before="0" w:after="120" w:line="360" w:lineRule="auto"/>
        <w:jc w:val="both"/>
      </w:pPr>
      <w:r>
        <w:rPr>
          <w:rFonts w:ascii="Times New Roman" w:hAnsi="Times New Roman"/>
          <w:b w:val="0"/>
          <w:sz w:val="24"/>
        </w:rPr>
        <w:t>We then locked the containment matching threshold at θ = 0.50 in Layer 2 prior to testing retrieval backends, while recording sensitivity curves across θ ∈ [0.30, 0.90] under both single-sentence (Convention A) and multi-sentence (Convention B) rules.</w:t>
      </w:r>
    </w:p>
    <w:p>
      <w:pPr>
        <w:spacing w:before="0" w:after="120" w:line="360" w:lineRule="auto"/>
        <w:jc w:val="both"/>
      </w:pPr>
      <w:r>
        <w:rPr>
          <w:rFonts w:ascii="Times New Roman" w:hAnsi="Times New Roman"/>
          <w:b w:val="0"/>
          <w:sz w:val="24"/>
        </w:rPr>
        <w:t>Critically, every fitted parameter—including the chosen scorer (</w:t>
      </w:r>
      <w:r>
        <w:rPr>
          <w:rFonts w:ascii="Times New Roman" w:hAnsi="Times New Roman"/>
          <w:b w:val="0"/>
          <w:sz w:val="24"/>
        </w:rPr>
        <w:t>lexical|sentence</w:t>
      </w:r>
      <w:r>
        <w:rPr>
          <w:rFonts w:ascii="Times New Roman" w:hAnsi="Times New Roman"/>
          <w:b w:val="0"/>
          <w:sz w:val="24"/>
        </w:rPr>
        <w:t>), calibrators, conformal quantiles, and the abstention cutoff τ = 0.1973—was derived strictly from the calibration split (</w:t>
      </w:r>
      <w:r>
        <w:rPr>
          <w:rFonts w:ascii="Times New Roman" w:hAnsi="Times New Roman"/>
          <w:b w:val="0"/>
          <w:sz w:val="24"/>
        </w:rPr>
        <w:t>calib</w:t>
      </w:r>
      <w:r>
        <w:rPr>
          <w:rFonts w:ascii="Times New Roman" w:hAnsi="Times New Roman"/>
          <w:b w:val="0"/>
          <w:sz w:val="24"/>
        </w:rPr>
        <w:t>) and evaluated exactly once on the held-out test split (</w:t>
      </w:r>
      <w:r>
        <w:rPr>
          <w:rFonts w:ascii="Times New Roman" w:hAnsi="Times New Roman"/>
          <w:b w:val="0"/>
          <w:sz w:val="24"/>
        </w:rPr>
        <w:t>test</w:t>
      </w:r>
      <w:r>
        <w:rPr>
          <w:rFonts w:ascii="Times New Roman" w:hAnsi="Times New Roman"/>
          <w:b w:val="0"/>
          <w:sz w:val="24"/>
        </w:rPr>
        <w:t>).</w:t>
      </w:r>
    </w:p>
    <w:p>
      <w:pPr>
        <w:spacing w:before="0" w:after="120" w:line="360" w:lineRule="auto"/>
        <w:jc w:val="both"/>
      </w:pPr>
      <w:r>
        <w:rPr>
          <w:rFonts w:ascii="Times New Roman" w:hAnsi="Times New Roman"/>
          <w:b w:val="0"/>
          <w:sz w:val="24"/>
        </w:rPr>
        <w:t>To keep comparisons honest, we evaluated models against simple task-specific baselines (Layers 3, 5, 7, 11), including random selection, first and longest sentence heuristics, and constant base-rate predictors.</w:t>
      </w:r>
    </w:p>
    <w:p>
      <w:pPr>
        <w:spacing w:before="0" w:after="120" w:line="360" w:lineRule="auto"/>
        <w:jc w:val="both"/>
      </w:pPr>
      <w:r>
        <w:rPr>
          <w:rFonts w:ascii="Times New Roman" w:hAnsi="Times New Roman"/>
          <w:b w:val="0"/>
          <w:sz w:val="24"/>
        </w:rPr>
        <w:t xml:space="preserve">Finally, regression tests enforce strict numerical parity (≤ 10^{-9}) between offline evaluation scripts and the live </w:t>
      </w:r>
      <w:r>
        <w:rPr>
          <w:rFonts w:ascii="Times New Roman" w:hAnsi="Times New Roman"/>
          <w:b w:val="0"/>
          <w:sz w:val="24"/>
        </w:rPr>
        <w:t>C4Attributor</w:t>
      </w:r>
      <w:r>
        <w:rPr>
          <w:rFonts w:ascii="Times New Roman" w:hAnsi="Times New Roman"/>
          <w:b w:val="0"/>
          <w:sz w:val="24"/>
        </w:rPr>
        <w:t xml:space="preserve"> service loaded by FastAPI.</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experiments use the official </w:t>
      </w:r>
      <w:r>
        <w:rPr>
          <w:rFonts w:ascii="Times New Roman" w:hAnsi="Times New Roman"/>
          <w:b/>
          <w:sz w:val="24"/>
        </w:rPr>
        <w:t>RAGTruth</w:t>
      </w:r>
      <w:r>
        <w:rPr>
          <w:rFonts w:ascii="Times New Roman" w:hAnsi="Times New Roman"/>
          <w:b w:val="0"/>
          <w:sz w:val="24"/>
        </w:rPr>
        <w:t xml:space="preserve"> corpus [6]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xml:space="preserve">. To maintain strict cross-component consistency, Component 4 loads split assignments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builds contexts using Component 1's shared text construction function.</w:t>
      </w:r>
    </w:p>
    <w:p>
      <w:pPr>
        <w:spacing w:before="0" w:after="120" w:line="360" w:lineRule="auto"/>
        <w:jc w:val="both"/>
      </w:pPr>
      <w:r>
        <w:rPr>
          <w:rFonts w:ascii="Times New Roman" w:hAnsi="Times New Roman"/>
          <w:b w:val="0"/>
          <w:sz w:val="24"/>
        </w:rPr>
        <w:t>Experiments operate over two distinct data sets: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set (`calib` + `test`):</w:t>
      </w:r>
      <w:r>
        <w:rPr>
          <w:rFonts w:ascii="Times New Roman" w:hAnsi="Times New Roman"/>
          <w:b w:val="0"/>
          <w:sz w:val="24"/>
        </w:rPr>
        <w:t xml:space="preserve"> Used in Layers 1 to 10 to evaluate supervision, reference matching, backend accuracy, score calibration, conformal sets, abstention, and transfer. There are </w:t>
      </w:r>
      <w:r>
        <w:rPr>
          <w:rFonts w:ascii="Times New Roman" w:hAnsi="Times New Roman"/>
          <w:b/>
          <w:sz w:val="24"/>
        </w:rPr>
        <w:t>2,747 human-annotated spans</w:t>
      </w:r>
      <w:r>
        <w:rPr>
          <w:rFonts w:ascii="Times New Roman" w:hAnsi="Times New Roman"/>
          <w:b w:val="0"/>
          <w:sz w:val="24"/>
        </w:rPr>
        <w:t xml:space="preserve"> in total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pipeline fusion set (297 calib / 1,509 test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to test end-to-end integration on the 2,390 spans predicted by Component 1.</w:t>
      </w:r>
    </w:p>
    <w:p>
      <w:pPr>
        <w:spacing w:before="0" w:after="120" w:line="360" w:lineRule="auto"/>
        <w:jc w:val="both"/>
      </w:pPr>
      <w:r>
        <w:rPr>
          <w:rFonts w:ascii="Times New Roman" w:hAnsi="Times New Roman"/>
          <w:b w:val="0"/>
          <w:sz w:val="24"/>
        </w:rPr>
        <w:t>Table 3.1 summarises the supervision distribution measured in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Structure of RAGTruth's `original:` metadata</w:t>
      </w:r>
    </w:p>
    <w:p>
      <w:pPr>
        <w:spacing w:before="0" w:after="120" w:line="360" w:lineRule="auto"/>
        <w:jc w:val="both"/>
      </w:pPr>
      <w:r>
        <w:rPr>
          <w:rFonts w:ascii="Times New Roman" w:hAnsi="Times New Roman"/>
          <w:b w:val="0"/>
          <w:sz w:val="24"/>
        </w:rPr>
        <w:t xml:space="preserve">During the Layer 1 audit, close examination of RAGTruth's </w:t>
      </w:r>
      <w:r>
        <w:rPr>
          <w:rFonts w:ascii="Times New Roman" w:hAnsi="Times New Roman"/>
          <w:b w:val="0"/>
          <w:sz w:val="24"/>
        </w:rPr>
        <w:t>Original:</w:t>
      </w:r>
      <w:r>
        <w:rPr>
          <w:rFonts w:ascii="Times New Roman" w:hAnsi="Times New Roman"/>
          <w:b w:val="0"/>
          <w:sz w:val="24"/>
        </w:rPr>
        <w:t xml:space="preserve"> comments brought several structural quirks to light.</w:t>
      </w:r>
    </w:p>
    <w:p>
      <w:pPr>
        <w:spacing w:before="0" w:after="120" w:line="360" w:lineRule="auto"/>
        <w:jc w:val="both"/>
      </w:pPr>
      <w:r>
        <w:rPr>
          <w:rFonts w:ascii="Times New Roman" w:hAnsi="Times New Roman"/>
          <w:b w:val="0"/>
          <w:sz w:val="24"/>
        </w:rPr>
        <w:t>First, annotators closed their quotation blocks using five specific tags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Splitting on general colon characters breaks down whenever context sentences contain words like </w:t>
      </w:r>
      <w:r>
        <w:rPr>
          <w:rFonts w:ascii="Times New Roman" w:hAnsi="Times New Roman"/>
          <w:b w:val="0"/>
          <w:sz w:val="24"/>
        </w:rPr>
        <w:t>Review:</w:t>
      </w:r>
      <w:r>
        <w:rPr>
          <w:rFonts w:ascii="Times New Roman" w:hAnsi="Times New Roman"/>
          <w:b w:val="0"/>
          <w:sz w:val="24"/>
        </w:rPr>
        <w:t xml:space="preserve"> or </w:t>
      </w:r>
      <w:r>
        <w:rPr>
          <w:rFonts w:ascii="Times New Roman" w:hAnsi="Times New Roman"/>
          <w:b w:val="0"/>
          <w:sz w:val="24"/>
        </w:rPr>
        <w:t>Hours:</w:t>
      </w:r>
      <w:r>
        <w:rPr>
          <w:rFonts w:ascii="Times New Roman" w:hAnsi="Times New Roman"/>
          <w:b w:val="0"/>
          <w:sz w:val="24"/>
        </w:rPr>
        <w:t>, so our parser restricts tag detection strictly to this closed set.</w:t>
      </w:r>
    </w:p>
    <w:p>
      <w:pPr>
        <w:spacing w:before="0" w:after="120" w:line="360" w:lineRule="auto"/>
        <w:jc w:val="both"/>
      </w:pPr>
      <w:r>
        <w:rPr>
          <w:rFonts w:ascii="Times New Roman" w:hAnsi="Times New Roman"/>
          <w:b w:val="0"/>
          <w:sz w:val="24"/>
        </w:rPr>
        <w:t xml:space="preserve">Second, structured data quotes routinely wrap across multiple lines before the next marker. Reading only the first line after </w:t>
      </w:r>
      <w:r>
        <w:rPr>
          <w:rFonts w:ascii="Times New Roman" w:hAnsi="Times New Roman"/>
          <w:b w:val="0"/>
          <w:sz w:val="24"/>
        </w:rPr>
        <w:t>Original:</w:t>
      </w:r>
      <w:r>
        <w:rPr>
          <w:rFonts w:ascii="Times New Roman" w:hAnsi="Times New Roman"/>
          <w:b w:val="0"/>
          <w:sz w:val="24"/>
        </w:rPr>
        <w:t xml:space="preserve"> inadvertently discards evidence in 6.4% of comments (118 cases); our extractor captures lines continuously until the next tag is encountered.</w:t>
      </w:r>
    </w:p>
    <w:p>
      <w:pPr>
        <w:spacing w:before="0" w:after="120" w:line="360" w:lineRule="auto"/>
        <w:jc w:val="both"/>
      </w:pPr>
      <w:r>
        <w:rPr>
          <w:rFonts w:ascii="Times New Roman" w:hAnsi="Times New Roman"/>
          <w:b w:val="0"/>
          <w:sz w:val="24"/>
        </w:rPr>
        <w:t xml:space="preserve">Finally, 105 spans (3.8%) were annotated as </w:t>
      </w:r>
      <w:r>
        <w:rPr>
          <w:rFonts w:ascii="Times New Roman" w:hAnsi="Times New Roman"/>
          <w:b w:val="0"/>
          <w:sz w:val="24"/>
        </w:rPr>
        <w:t>implicit_true</w:t>
      </w:r>
      <w:r>
        <w:rPr>
          <w:rFonts w:ascii="Times New Roman" w:hAnsi="Times New Roman"/>
          <w:b w:val="0"/>
          <w:sz w:val="24"/>
        </w:rPr>
        <w:t xml:space="preserve"> (facts that hold in the real world but are absent from the context), while 22 spans were flagged as </w:t>
      </w:r>
      <w:r>
        <w:rPr>
          <w:rFonts w:ascii="Times New Roman" w:hAnsi="Times New Roman"/>
          <w:b w:val="0"/>
          <w:sz w:val="24"/>
        </w:rPr>
        <w:t>due_to_null</w:t>
      </w:r>
      <w:r>
        <w:rPr>
          <w:rFonts w:ascii="Times New Roman" w:hAnsi="Times New Roman"/>
          <w:b w:val="0"/>
          <w:sz w:val="24"/>
        </w:rPr>
        <w:t xml:space="preserve"> due to missing JSON attributes.</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Table 3.2 outlines the twelve experimental layers in Component 4.</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θ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θ); sweep θ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τ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 post-rationalisation / false-citation rate on baseless spans before and after applying the calibrated abstention threshold τ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fitting \hat{q}_{1-α} and τ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Matching protocol definitions</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we score containment of quote q in sentence c_j as cont(q, c_j) = |T(q) ∩ T(c_j)| / |T(q)|:</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Gold Sentence):</w:t>
      </w:r>
      <w:r>
        <w:rPr>
          <w:rFonts w:ascii="Times New Roman" w:hAnsi="Times New Roman"/>
          <w:b w:val="0"/>
          <w:sz w:val="24"/>
        </w:rPr>
        <w:t xml:space="preserve"> We select j^</w:t>
      </w:r>
      <w:r>
        <w:rPr>
          <w:rFonts w:ascii="Times New Roman" w:hAnsi="Times New Roman"/>
          <w:b w:val="0"/>
          <w:i/>
          <w:sz w:val="24"/>
        </w:rPr>
        <w:t xml:space="preserve"> = \arg\max_j cont(q, c_j). If cont(q, c_{j^</w:t>
      </w:r>
      <w:r>
        <w:rPr>
          <w:rFonts w:ascii="Times New Roman" w:hAnsi="Times New Roman"/>
          <w:b w:val="0"/>
          <w:sz w:val="24"/>
        </w:rPr>
        <w:t>}) ≥ θ (θ = 0.50), j_{gold} = j^*; otherwise the span is marked unmatched.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(Multiple Gold Sentences):</w:t>
      </w:r>
      <w:r>
        <w:rPr>
          <w:rFonts w:ascii="Times New Roman" w:hAnsi="Times New Roman"/>
          <w:b w:val="0"/>
          <w:sz w:val="24"/>
        </w:rPr>
        <w:t xml:space="preserve"> Any sentence meeting cont(q, c_j) ≥ θ is counted as a valid gold match.</w:t>
      </w:r>
    </w:p>
    <w:p>
      <w:pPr>
        <w:pStyle w:val="Heading3"/>
        <w:keepNext/>
        <w:spacing w:before="160" w:after="80" w:line="240" w:lineRule="auto"/>
      </w:pPr>
      <w:r>
        <w:rPr>
          <w:rFonts w:ascii="Times New Roman" w:hAnsi="Times New Roman"/>
          <w:b/>
          <w:color w:val="000000"/>
          <w:sz w:val="24"/>
        </w:rPr>
        <w:t>3.3.2 Backend comparison setup</w:t>
      </w:r>
    </w:p>
    <w:p>
      <w:pPr>
        <w:spacing w:before="0" w:after="120" w:line="360" w:lineRule="auto"/>
        <w:jc w:val="both"/>
      </w:pPr>
      <w:r>
        <w:rPr>
          <w:rFonts w:ascii="Times New Roman" w:hAnsi="Times New Roman"/>
          <w:b w:val="0"/>
          <w:sz w:val="24"/>
        </w:rPr>
        <w:t>Layer 4 compares four backends across raw span queries and enclosing sentence queries: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In-context IDF token overlap over all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BGE bi-encoder cosine similarity over all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DeBERTa-v3 cross-encoder entailment score on top-5 pre-filtered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Vectara HHEM cross-encoder score on top-5 pre-filtered sentences.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We evaluate performance using six core metric groups: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Accuracy, MRR, and Recall@k:</w:t>
      </w:r>
    </w:p>
    <w:p>
      <w:pPr>
        <w:spacing w:before="120" w:after="120" w:line="240" w:lineRule="auto"/>
        <w:jc w:val="center"/>
      </w:pPr>
      <w:r>
        <w:rPr>
          <w:rFonts w:ascii="Times New Roman" w:hAnsi="Times New Roman"/>
          <w:i/>
          <w:sz w:val="23"/>
        </w:rPr>
        <w:t>Top-1 = (1)/(N_{attr)} ∑_{r=1}^{N_{attr}} I\!≤ft[π_r(1) = j_{gold}^{(r)}], \quad MRR = (1)/(N_{attr)} ∑_{r=1}^{N_{attr}} (1)/(rank_r(j_{gold)^{(r)})}</w:t>
      </w:r>
    </w:p>
    <w:p>
      <w:pPr>
        <w:spacing w:before="120" w:after="120" w:line="240" w:lineRule="auto"/>
        <w:jc w:val="center"/>
      </w:pPr>
      <w:r>
        <w:rPr>
          <w:rFonts w:ascii="Times New Roman" w:hAnsi="Times New Roman"/>
          <w:i/>
          <w:sz w:val="23"/>
        </w:rPr>
        <w:t>Recall@k = (1)/(N_{attr)} ∑_{r=1}^{N_{attr}} I\!≤ft[rank_r(j_{gold}^{(r)}) ≤ k]</w:t>
      </w:r>
    </w:p>
    <w:p>
      <w:pPr>
        <w:spacing w:before="0" w:after="120" w:line="360" w:lineRule="auto"/>
        <w:jc w:val="both"/>
      </w:pPr>
      <w:r>
        <w:rPr>
          <w:rFonts w:ascii="Times New Roman" w:hAnsi="Times New Roman"/>
          <w:b w:val="0"/>
          <w:sz w:val="24"/>
        </w:rPr>
        <w:t>We also report conditional Top-1 on cases where the gold sentence survived the candidate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&amp; Finite-Sample Bounds:</w:t>
      </w:r>
    </w:p>
    <w:p>
      <w:pPr>
        <w:spacing w:before="120" w:after="120" w:line="240" w:lineRule="auto"/>
        <w:jc w:val="center"/>
      </w:pPr>
      <w:r>
        <w:rPr>
          <w:rFonts w:ascii="Times New Roman" w:hAnsi="Times New Roman"/>
          <w:i/>
          <w:sz w:val="23"/>
        </w:rPr>
        <w:t>\widehat{Cov}(α) = (1)/(N_{test)} ∑_{r=1}^{N_{test}} I\!≤ft[j_{gold}^{(r)} ∈ C_α(s_r)], \quad Band_{3σ}(α) = 3 √((α(1 - α))/(n_{test)) + (α(1 - α))/(n_{cal)}}</w:t>
      </w:r>
    </w:p>
    <w:p>
      <w:pPr>
        <w:spacing w:before="0" w:after="120" w:line="360" w:lineRule="auto"/>
        <w:jc w:val="both"/>
      </w:pPr>
      <w:r>
        <w:rPr>
          <w:rFonts w:ascii="Times New Roman" w:hAnsi="Times New Roman"/>
          <w:b w:val="0"/>
          <w:sz w:val="24"/>
        </w:rPr>
        <w:t>We compute 95% bootstrap confidence intervals across 1,000 resamples.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w:t>
      </w:r>
    </w:p>
    <w:p>
      <w:pPr>
        <w:spacing w:before="120" w:after="120" w:line="240" w:lineRule="auto"/>
        <w:jc w:val="center"/>
      </w:pPr>
      <w:r>
        <w:rPr>
          <w:rFonts w:ascii="Times New Roman" w:hAnsi="Times New Roman"/>
          <w:i/>
          <w:sz w:val="23"/>
        </w:rPr>
        <w:t>Reduction_{span}(α) = (1)/(N_{test)} ∑_{r=1}^{N_{test}} ≤ft(1 - (|C_α(s_r)|)/(m_r))</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r>
        <w:rPr>
          <w:rFonts w:ascii="Times New Roman" w:hAnsi="Times New Roman"/>
          <w:b w:val="0"/>
          <w:sz w:val="24"/>
        </w:rPr>
        <w:t xml:space="preserve"> Evaluated using standard classification metrics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F1_{always\_abstain}(task) = \frac{2 · b_{task}}{1 + b_{task}}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κ):</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F1 (Fusion):</w:t>
      </w:r>
      <w:r>
        <w:rPr>
          <w:rFonts w:ascii="Times New Roman" w:hAnsi="Times New Roman"/>
          <w:b w:val="0"/>
          <w:sz w:val="24"/>
        </w:rPr>
        <w:t xml:space="preserve"> Evaluated across the 1,509 test responses following the RAGTruth benchmark protocol.</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Analyses are implemented deterministically using Python and NumPy with fixed random seeds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Bootstrap intervals:</w:t>
      </w:r>
      <w:r>
        <w:rPr>
          <w:rFonts w:ascii="Times New Roman" w:hAnsi="Times New Roman"/>
          <w:b w:val="0"/>
          <w:sz w:val="24"/>
        </w:rPr>
        <w:t xml:space="preserve"> Coverage bounds are derived from 1,000 bootstrap iterations.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Significance threshold:</w:t>
      </w:r>
      <w:r>
        <w:rPr>
          <w:rFonts w:ascii="Times New Roman" w:hAnsi="Times New Roman"/>
          <w:b w:val="0"/>
          <w:sz w:val="24"/>
        </w:rPr>
        <w:t xml:space="preserve"> Pipeline fusion gains must exceed Component 1's multi-seed variation (σ_{seed} = 0.384) and its 4.18-point bootstrap interval width.</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reporting:</w:t>
      </w:r>
      <w:r>
        <w:rPr>
          <w:rFonts w:ascii="Times New Roman" w:hAnsi="Times New Roman"/>
          <w:b w:val="0"/>
          <w:sz w:val="24"/>
        </w:rPr>
        <w:t xml:space="preserve"> To avoid Simpson's paradox, metrics are reported both overall and disaggregated across QA, Data-to-Text, and Summarization.</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0" w:after="120" w:line="360" w:lineRule="auto"/>
        <w:jc w:val="both"/>
      </w:pPr>
      <w:r>
        <w:rPr>
          <w:rFonts w:ascii="Times New Roman" w:hAnsi="Times New Roman"/>
          <w:b w:val="0"/>
          <w:sz w:val="24"/>
        </w:rPr>
        <w:t>In line with our approved Topic Assessment Form (Page 9), this investigation did not collect external personal data or recruit external human participants; all experiments operate on public open-access benchmarks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RAGBench</w:t>
      </w:r>
      <w:r>
        <w:rPr>
          <w:rFonts w:ascii="Times New Roman" w:hAnsi="Times New Roman"/>
          <w:b w:val="0"/>
          <w:sz w:val="24"/>
        </w:rPr>
        <w:t>), with human validation restricted to internal team review.</w:t>
      </w:r>
    </w:p>
    <w:p>
      <w:pPr>
        <w:spacing w:before="0" w:after="120" w:line="360" w:lineRule="auto"/>
        <w:jc w:val="both"/>
      </w:pPr>
      <w:r>
        <w:rPr>
          <w:rFonts w:ascii="Times New Roman" w:hAnsi="Times New Roman"/>
          <w:b w:val="0"/>
          <w:sz w:val="24"/>
        </w:rPr>
        <w:t>To communicate uncertainty responsibly, Component 4 enforces two strict runtime rules:</w:t>
      </w:r>
    </w:p>
    <w:p>
      <w:pPr>
        <w:spacing w:before="0" w:after="120" w:line="360" w:lineRule="auto"/>
        <w:jc w:val="both"/>
      </w:pPr>
      <w:r>
        <w:rPr>
          <w:rFonts w:ascii="Times New Roman" w:hAnsi="Times New Roman"/>
          <w:b w:val="0"/>
          <w:sz w:val="24"/>
        </w:rPr>
        <w:t xml:space="preserve">Per-span text fields cannot contain terms like </w:t>
      </w:r>
      <w:r>
        <w:rPr>
          <w:rFonts w:ascii="Times New Roman" w:hAnsi="Times New Roman"/>
          <w:b w:val="0"/>
          <w:sz w:val="24"/>
        </w:rPr>
        <w:t>'coverage'</w:t>
      </w:r>
      <w:r>
        <w:rPr>
          <w:rFonts w:ascii="Times New Roman" w:hAnsi="Times New Roman"/>
          <w:b w:val="0"/>
          <w:sz w:val="24"/>
        </w:rPr>
        <w:t xml:space="preserve"> or </w:t>
      </w:r>
      <w:r>
        <w:rPr>
          <w:rFonts w:ascii="Times New Roman" w:hAnsi="Times New Roman"/>
          <w:b w:val="0"/>
          <w:sz w:val="24"/>
        </w:rPr>
        <w:t>'guarantee'</w:t>
      </w:r>
      <w:r>
        <w:rPr>
          <w:rFonts w:ascii="Times New Roman" w:hAnsi="Times New Roman"/>
          <w:b w:val="0"/>
          <w:sz w:val="24"/>
        </w:rPr>
        <w:t>, since conformal coverage is a property of the overall procedure, not an individual span (Serving Rule 2).</w:t>
      </w:r>
    </w:p>
    <w:p>
      <w:pPr>
        <w:spacing w:before="0" w:after="120" w:line="360" w:lineRule="auto"/>
        <w:jc w:val="both"/>
      </w:pPr>
      <w:r>
        <w:rPr>
          <w:rFonts w:ascii="Times New Roman" w:hAnsi="Times New Roman"/>
          <w:b w:val="0"/>
          <w:sz w:val="24"/>
        </w:rPr>
        <w:t>When Component 2 detects out-of-distribution inputs (</w:t>
      </w:r>
      <w:r>
        <w:rPr>
          <w:rFonts w:ascii="Times New Roman" w:hAnsi="Times New Roman"/>
          <w:b w:val="0"/>
          <w:sz w:val="24"/>
        </w:rPr>
        <w:t>guarantee_applies = False</w:t>
      </w:r>
      <w:r>
        <w:rPr>
          <w:rFonts w:ascii="Times New Roman" w:hAnsi="Times New Roman"/>
          <w:b w:val="0"/>
          <w:sz w:val="24"/>
        </w:rPr>
        <w:t>), the interface continues rendering candidate sentences but cleanly withdraws the coverage claim (Serving Rule 3).</w:t>
      </w:r>
    </w:p>
    <w:p>
      <w:pPr>
        <w:spacing w:before="0" w:after="120" w:line="360" w:lineRule="auto"/>
        <w:jc w:val="both"/>
      </w:pPr>
      <w:r>
        <w:rPr>
          <w:rFonts w:ascii="Times New Roman" w:hAnsi="Times New Roman"/>
          <w:b w:val="0"/>
          <w:sz w:val="24"/>
        </w:rPr>
        <w:t>Additionally, because Component 4 executes completely in memory on local hardware, no user text or retrieved documents are ever transmitted to external APIs.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All experiments, tables, and figures can be regenerated from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Random seeds are fixed to </w:t>
      </w:r>
      <w:r>
        <w:rPr>
          <w:rFonts w:ascii="Times New Roman" w:hAnsi="Times New Roman"/>
          <w:b w:val="0"/>
          <w:sz w:val="24"/>
        </w:rPr>
        <w:t>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Dataset split IDs are saved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Results are recorded in human-readable JSON files under </w:t>
      </w:r>
      <w:r>
        <w:rPr>
          <w:rFonts w:ascii="Times New Roman" w:hAnsi="Times New Roman"/>
          <w:b w:val="0"/>
          <w:sz w:val="24"/>
        </w:rPr>
        <w:t>results/c4/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Reproduction commands:</w:t>
      </w:r>
    </w:p>
    <w:p>
      <w:pPr>
        <w:spacing w:before="40" w:after="60" w:line="360" w:lineRule="auto"/>
        <w:ind w:left="454" w:hanging="227"/>
      </w:pPr>
      <w:r>
        <w:rPr>
          <w:rFonts w:ascii="Times New Roman" w:hAnsi="Times New Roman"/>
          <w:b w:val="0"/>
          <w:sz w:val="24"/>
        </w:rPr>
        <w:t xml:space="preserve">• Regenerate tables: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figures: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Run test suite: </w:t>
      </w:r>
      <w:r>
        <w:rPr>
          <w:rFonts w:ascii="Times New Roman" w:hAnsi="Times New Roman"/>
          <w:b w:val="0"/>
          <w:sz w:val="24"/>
        </w:rPr>
        <w:t>pytest tests/test_c4_*.py</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Table 4.1 specifies the functional and non-functional requirements for Component 4.</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τ.</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τ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C1×C2×C4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0.00 ×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&lt;50 ms per response, &lt;5 ms per span (achieved: </w:t>
            </w:r>
            <w:r>
              <w:rPr>
                <w:rFonts w:ascii="Times New Roman" w:hAnsi="Times New Roman"/>
                <w:b/>
                <w:sz w:val="19"/>
              </w:rPr>
              <w:t>1.312 ms p50/span, 5.57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50 MB additional RAM/VRAM (achieved: </w:t>
            </w:r>
            <w:r>
              <w:rPr>
                <w:rFonts w:ascii="Times New Roman" w:hAnsi="Times New Roman"/>
                <w:b/>
                <w:sz w:val="19"/>
              </w:rPr>
              <w:t>0.0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Figure 4.1 shows how Component 4 connects with the other components in TrustRAG.</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When a request arrives at </w:t>
      </w:r>
      <w:r>
        <w:rPr>
          <w:rFonts w:ascii="Times New Roman" w:hAnsi="Times New Roman"/>
          <w:b w:val="0"/>
          <w:sz w:val="24"/>
        </w:rPr>
        <w:t>POST /api/analyze</w:t>
      </w:r>
      <w:r>
        <w:rPr>
          <w:rFonts w:ascii="Times New Roman" w:hAnsi="Times New Roman"/>
          <w:b w:val="0"/>
          <w:sz w:val="24"/>
        </w:rPr>
        <w:t xml:space="preserve">, the input passage is segmented into candidate sentences via regex </w:t>
      </w:r>
      <w:r>
        <w:rPr>
          <w:rFonts w:ascii="Times New Roman" w:hAnsi="Times New Roman"/>
          <w:b w:val="0"/>
          <w:sz w:val="24"/>
        </w:rPr>
        <w:t>(?&lt;=[.!?])\s+</w:t>
      </w:r>
      <w:r>
        <w:rPr>
          <w:rFonts w:ascii="Times New Roman" w:hAnsi="Times New Roman"/>
          <w:b w:val="0"/>
          <w:sz w:val="24"/>
        </w:rPr>
        <w:t xml:space="preserve">. Component 1's </w:t>
      </w:r>
      <w:r>
        <w:rPr>
          <w:rFonts w:ascii="Times New Roman" w:hAnsi="Times New Roman"/>
          <w:b w:val="0"/>
          <w:sz w:val="24"/>
        </w:rPr>
        <w:t>ModernBERT-base</w:t>
      </w:r>
      <w:r>
        <w:rPr>
          <w:rFonts w:ascii="Times New Roman" w:hAnsi="Times New Roman"/>
          <w:b w:val="0"/>
          <w:sz w:val="24"/>
        </w:rPr>
        <w:t xml:space="preserve"> detector flags suspicious character spans, while Component 2 applies Platt calibration and a conformal gate to produce a tri-state classification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w:t>
      </w:r>
      <w:r>
        <w:rPr>
          <w:rFonts w:ascii="Times New Roman" w:hAnsi="Times New Roman"/>
          <w:b w:val="0"/>
          <w:sz w:val="24"/>
        </w:rPr>
        <w:t>PASS</w:t>
      </w:r>
      <w:r>
        <w:rPr>
          <w:rFonts w:ascii="Times New Roman" w:hAnsi="Times New Roman"/>
          <w:b w:val="0"/>
          <w:sz w:val="24"/>
        </w:rPr>
        <w:t>).</w:t>
      </w:r>
    </w:p>
    <w:p>
      <w:pPr>
        <w:spacing w:before="0" w:after="120" w:line="360" w:lineRule="auto"/>
        <w:jc w:val="both"/>
      </w:pPr>
      <w:r>
        <w:rPr>
          <w:rFonts w:ascii="Times New Roman" w:hAnsi="Times New Roman"/>
          <w:b w:val="0"/>
          <w:sz w:val="24"/>
        </w:rPr>
        <w:t>Component 4 then scores each context sentence via within-context IDF containment. If the maximum similarity falls below τ = 0.1973, it certifies the claim as ungrounded (</w:t>
      </w:r>
      <w:r>
        <w:rPr>
          <w:rFonts w:ascii="Times New Roman" w:hAnsi="Times New Roman"/>
          <w:b w:val="0"/>
          <w:sz w:val="24"/>
        </w:rPr>
        <w:t>no_evidence</w:t>
      </w:r>
      <w:r>
        <w:rPr>
          <w:rFonts w:ascii="Times New Roman" w:hAnsi="Times New Roman"/>
          <w:b w:val="0"/>
          <w:sz w:val="24"/>
        </w:rPr>
        <w:t>); otherwise, it builds a conformal prediction set C_α(s) and supplies tie-breaking logic for uncertain spans. Finally, Component 3 generates hedged explanations based on the assigned risk tiers and identified evidence sentences.</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Table 4.2 reviews key design trade-offs evaluated during development.</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 ms, 0 MB)</w:t>
              <w:br/>
              <w:t xml:space="preserve">• </w:t>
            </w:r>
            <w:r>
              <w:rPr>
                <w:rFonts w:ascii="Times New Roman" w:hAnsi="Times New Roman"/>
                <w:b w:val="0"/>
                <w:sz w:val="21"/>
              </w:rPr>
              <w:t>hhem_support</w:t>
            </w:r>
            <w:r>
              <w:rPr>
                <w:rFonts w:ascii="Times New Roman" w:hAnsi="Times New Roman"/>
                <w:b w:val="0"/>
                <w:sz w:val="21"/>
              </w:rPr>
              <w:t>: 0.6959 (24.6 ms, 440 MB)</w:t>
              <w:br/>
              <w:t xml:space="preserve">• </w:t>
            </w:r>
            <w:r>
              <w:rPr>
                <w:rFonts w:ascii="Times New Roman" w:hAnsi="Times New Roman"/>
                <w:b w:val="0"/>
                <w:sz w:val="21"/>
              </w:rPr>
              <w:t>nli_entail</w:t>
            </w:r>
            <w:r>
              <w:rPr>
                <w:rFonts w:ascii="Times New Roman" w:hAnsi="Times New Roman"/>
                <w:b w:val="0"/>
                <w:sz w:val="21"/>
              </w:rPr>
              <w:t>: 0.6392 (28.5 ms, 738 MB)</w:t>
              <w:br/>
              <w:t xml:space="preserve">• </w:t>
            </w:r>
            <w:r>
              <w:rPr>
                <w:rFonts w:ascii="Times New Roman" w:hAnsi="Times New Roman"/>
                <w:b w:val="0"/>
                <w:sz w:val="21"/>
              </w:rPr>
              <w:t>embed</w:t>
            </w:r>
            <w:r>
              <w:rPr>
                <w:rFonts w:ascii="Times New Roman" w:hAnsi="Times New Roman"/>
                <w:b w:val="0"/>
                <w:sz w:val="21"/>
              </w:rPr>
              <w:t>: 0.3007 (8.42 ms, 133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Pipeline flow</w:t>
      </w:r>
    </w:p>
    <w:p>
      <w:pPr>
        <w:spacing w:before="0" w:after="120" w:line="360" w:lineRule="auto"/>
        <w:jc w:val="both"/>
      </w:pPr>
      <w:r>
        <w:rPr>
          <w:rFonts w:ascii="Times New Roman" w:hAnsi="Times New Roman"/>
          <w:b w:val="0"/>
          <w:sz w:val="24"/>
        </w:rPr>
        <w:t>Figure 4.2 shows the internal stages of Component 4 from raw sentence scoring to set construction and abstention.</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Pydantic schema and JSON artifact</w:t>
      </w:r>
    </w:p>
    <w:p>
      <w:pPr>
        <w:spacing w:before="0" w:after="120" w:line="360" w:lineRule="auto"/>
        <w:jc w:val="both"/>
      </w:pPr>
      <w:r>
        <w:rPr>
          <w:rFonts w:ascii="Times New Roman" w:hAnsi="Times New Roman"/>
          <w:b w:val="0"/>
          <w:sz w:val="24"/>
        </w:rPr>
        <w:t>Figure 4.3 illustrates the schema contracts used across the service.</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The serving configuration (</w:t>
      </w:r>
      <w:r>
        <w:rPr>
          <w:rFonts w:ascii="Times New Roman" w:hAnsi="Times New Roman"/>
          <w:b w:val="0"/>
          <w:sz w:val="24"/>
        </w:rPr>
        <w:t>results/c4/c4_artifact.json</w:t>
      </w:r>
      <w:r>
        <w:rPr>
          <w:rFonts w:ascii="Times New Roman" w:hAnsi="Times New Roman"/>
          <w:b w:val="0"/>
          <w:sz w:val="24"/>
        </w:rPr>
        <w:t>) contains the calibrated parameters:</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outlines online execution in </w:t>
      </w:r>
      <w:r>
        <w:rPr>
          <w:rFonts w:ascii="Times New Roman" w:hAnsi="Times New Roman"/>
          <w:b w:val="0"/>
          <w:sz w:val="24"/>
        </w:rPr>
        <w:t>C4Attributor.annotate</w:t>
      </w:r>
      <w:r>
        <w:rPr>
          <w:rFonts w:ascii="Times New Roman" w:hAnsi="Times New Roman"/>
          <w:b w:val="0"/>
          <w:sz w:val="24"/>
        </w:rPr>
        <w:t>.</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rule.</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Our architectural and engineering decisions follow international software engineering standards. ISO/IEC 25010:2023 (SQuaRE) governed our non-functional requirements, specifically sub-50ms CPU latency (</w:t>
      </w:r>
      <w:r>
        <w:rPr>
          <w:rFonts w:ascii="Times New Roman" w:hAnsi="Times New Roman"/>
          <w:b w:val="0"/>
          <w:sz w:val="24"/>
        </w:rPr>
        <w:t>NFR-C4-02</w:t>
      </w:r>
      <w:r>
        <w:rPr>
          <w:rFonts w:ascii="Times New Roman" w:hAnsi="Times New Roman"/>
          <w:b w:val="0"/>
          <w:sz w:val="24"/>
        </w:rPr>
        <w:t>), zero GPU memory overhead (</w:t>
      </w:r>
      <w:r>
        <w:rPr>
          <w:rFonts w:ascii="Times New Roman" w:hAnsi="Times New Roman"/>
          <w:b w:val="0"/>
          <w:sz w:val="24"/>
        </w:rPr>
        <w:t>NFR-C4-03</w:t>
      </w:r>
      <w:r>
        <w:rPr>
          <w:rFonts w:ascii="Times New Roman" w:hAnsi="Times New Roman"/>
          <w:b w:val="0"/>
          <w:sz w:val="24"/>
        </w:rPr>
        <w:t>), and offline/online numerical parity (</w:t>
      </w:r>
      <w:r>
        <w:rPr>
          <w:rFonts w:ascii="Times New Roman" w:hAnsi="Times New Roman"/>
          <w:b w:val="0"/>
          <w:sz w:val="24"/>
        </w:rPr>
        <w:t>NFR-C4-01</w:t>
      </w:r>
      <w:r>
        <w:rPr>
          <w:rFonts w:ascii="Times New Roman" w:hAnsi="Times New Roman"/>
          <w:b w:val="0"/>
          <w:sz w:val="24"/>
        </w:rPr>
        <w:t>). IEEE Std 1016-2009 guided our architectural representations across Figures 4.1, 4.2, and 4.3, while IEEE Std 829 / ISO/IEC/IEEE 29119 structured our five-tier test suite. Type contracts across all REST endpoints are validated through OpenAPI 3.1.0 and Pydantic v2.</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runs on Python 3.10 and TypeScript. Table 5.1 lists key dependencies.</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 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code in </w:t>
      </w:r>
      <w:r>
        <w:rPr>
          <w:rFonts w:ascii="Times New Roman" w:hAnsi="Times New Roman"/>
          <w:b w:val="0"/>
          <w:sz w:val="24"/>
        </w:rPr>
        <w:t>src/c4_attribution/</w:t>
      </w:r>
      <w:r>
        <w:rPr>
          <w:rFonts w:ascii="Times New Roman" w:hAnsi="Times New Roman"/>
          <w:b w:val="0"/>
          <w:sz w:val="24"/>
        </w:rPr>
        <w:t xml:space="preserve"> comprises 18 Python files. Table 5.2 outlines each module's role.</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the θ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Evaluates the 4 backends ×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the no-evidence abstention threshold (τ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C1×C2×C4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interfaces with the rest of TrustRAG across three clear touchpoints: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with Components 1 &amp; 2:</w:t>
      </w:r>
      <w:r>
        <w:rPr>
          <w:rFonts w:ascii="Times New Roman" w:hAnsi="Times New Roman"/>
          <w:b w:val="0"/>
          <w:sz w:val="24"/>
        </w:rPr>
        <w:t xml:space="preserve"> Contexts segmented in C4 match those used by C1 and C2 character-for-character. In Layer 11, C4 rebuilds C2 decisions to verify recorded test coverage (0.8808) before running fusion.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with Component 3:</w:t>
      </w:r>
      <w:r>
        <w:rPr>
          <w:rFonts w:ascii="Times New Roman" w:hAnsi="Times New Roman"/>
          <w:b w:val="0"/>
          <w:sz w:val="24"/>
        </w:rPr>
        <w:t xml:space="preserve"> C3 and C4 share the regex splitter </w:t>
      </w:r>
      <w:r>
        <w:rPr>
          <w:rFonts w:ascii="Times New Roman" w:hAnsi="Times New Roman"/>
          <w:b w:val="0"/>
          <w:sz w:val="24"/>
        </w:rPr>
        <w:t>(?&lt;=[.!?])\s+</w:t>
      </w:r>
      <w:r>
        <w:rPr>
          <w:rFonts w:ascii="Times New Roman" w:hAnsi="Times New Roman"/>
          <w:b w:val="0"/>
          <w:sz w:val="24"/>
        </w:rPr>
        <w:t>. C3 uses C4's sentence references to form explanations and respects C4's abstention decisions.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&amp; React Integration:</w:t>
      </w:r>
      <w:r>
        <w:rPr>
          <w:rFonts w:ascii="Times New Roman" w:hAnsi="Times New Roman"/>
          <w:b w:val="0"/>
          <w:sz w:val="24"/>
        </w:rPr>
        <w:t xml:space="preserve"> </w:t>
      </w:r>
      <w:r>
        <w:rPr>
          <w:rFonts w:ascii="Times New Roman" w:hAnsi="Times New Roman"/>
          <w:b w:val="0"/>
          <w:sz w:val="24"/>
        </w:rPr>
        <w:t>C4Attributor</w:t>
      </w:r>
      <w:r>
        <w:rPr>
          <w:rFonts w:ascii="Times New Roman" w:hAnsi="Times New Roman"/>
          <w:b w:val="0"/>
          <w:sz w:val="24"/>
        </w:rPr>
        <w:t xml:space="preserve"> is loaded into FastAPI at startup, adding 0 MB memory and annotating spans via </w:t>
      </w:r>
      <w:r>
        <w:rPr>
          <w:rFonts w:ascii="Times New Roman" w:hAnsi="Times New Roman"/>
          <w:b w:val="0"/>
          <w:sz w:val="24"/>
        </w:rPr>
        <w:t>C4Attributor.annotate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We apply a five-tier testing strategy comprising </w:t>
      </w:r>
      <w:r>
        <w:rPr>
          <w:rFonts w:ascii="Times New Roman" w:hAnsi="Times New Roman"/>
          <w:b/>
          <w:sz w:val="24"/>
        </w:rPr>
        <w:t>147 unit and contract tests</w:t>
      </w:r>
      <w:r>
        <w:rPr>
          <w:rFonts w:ascii="Times New Roman" w:hAnsi="Times New Roman"/>
          <w:b w:val="0"/>
          <w:sz w:val="24"/>
        </w:rPr>
        <w:t xml:space="preserve"> across 13 test files (</w:t>
      </w:r>
      <w:r>
        <w:rPr>
          <w:rFonts w:ascii="Times New Roman" w:hAnsi="Times New Roman"/>
          <w:b w:val="0"/>
          <w:sz w:val="24"/>
        </w:rPr>
        <w:t>tests/test_c4_*.py</w:t>
      </w:r>
      <w:r>
        <w:rPr>
          <w:rFonts w:ascii="Times New Roman" w:hAnsi="Times New Roman"/>
          <w:b w:val="0"/>
          <w:sz w:val="24"/>
        </w:rPr>
        <w:t>), all of which pass (0 failures). Table 5.3 provides the test breakdown.</w:t>
      </w:r>
    </w:p>
    <w:p>
      <w:pPr>
        <w:pStyle w:val="Caption"/>
        <w:keepNext/>
        <w:spacing w:before="160" w:after="80" w:line="240" w:lineRule="auto"/>
        <w:jc w:val="center"/>
      </w:pPr>
      <w:r>
        <w:rPr>
          <w:rFonts w:ascii="Times New Roman" w:hAnsi="Times New Roman"/>
          <w:b w:val="0"/>
          <w:sz w:val="22"/>
        </w:rPr>
        <w:t>Table 5.3: Five-Level Software Verification and Regression Test Matrix (</w:t>
      </w:r>
      <w:r>
        <w:rPr>
          <w:rFonts w:ascii="Times New Roman" w:hAnsi="Times New Roman"/>
          <w:b w:val="0"/>
          <w:sz w:val="22"/>
        </w:rPr>
        <w:t>147</w:t>
      </w:r>
      <w:r>
        <w:rPr>
          <w:rFonts w:ascii="Times New Roman" w:hAnsi="Times New Roman"/>
          <w:b w:val="0"/>
          <w:sz w:val="22"/>
        </w:rPr>
        <w:t xml:space="preserve"> C4 Tests / </w:t>
      </w:r>
      <w:r>
        <w:rPr>
          <w:rFonts w:ascii="Times New Roman" w:hAnsi="Times New Roman"/>
          <w:b w:val="0"/>
          <w:sz w:val="22"/>
        </w:rPr>
        <w:t>861</w:t>
      </w:r>
      <w:r>
        <w:rPr>
          <w:rFonts w:ascii="Times New Roman" w:hAnsi="Times New Roman"/>
          <w:b w:val="0"/>
          <w:sz w:val="22"/>
        </w:rPr>
        <w:t xml:space="preserve"> Suite Tests).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IDF tokenisation; deterministic lowest-index tie-breaking; θ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τ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 </w:t>
            </w:r>
            <w:r>
              <w:rPr>
                <w:rFonts w:ascii="Times New Roman" w:hAnsi="Times New Roman"/>
                <w:b w:val="0"/>
                <w:sz w:val="19"/>
              </w:rPr>
              <w:t>AnalysisResult</w:t>
            </w:r>
            <w:r>
              <w:rPr>
                <w:rFonts w:ascii="Times New Roman" w:hAnsi="Times New Roman"/>
                <w:b w:val="0"/>
                <w:sz w:val="19"/>
              </w:rPr>
              <w:t xml:space="preserve"> validation, &lt;50 ms CPU latency (1.312 ms p50/span), 0 MB memory overhead, and internal reviewer effort reduction (69.47% time saved).</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 / 10 PASS</w:t>
            </w:r>
          </w:p>
        </w:tc>
      </w:tr>
    </w:tbl>
    <w:p>
      <w:pPr>
        <w:spacing w:before="0" w:after="80"/>
      </w:pPr>
    </w:p>
    <w:p>
      <w:pPr>
        <w:pStyle w:val="Heading2"/>
        <w:keepNext/>
        <w:spacing w:before="200" w:after="120" w:line="240" w:lineRule="auto"/>
      </w:pPr>
      <w:r>
        <w:rPr>
          <w:rFonts w:ascii="Times New Roman" w:hAnsi="Times New Roman"/>
          <w:b/>
          <w:color w:val="000000"/>
          <w:sz w:val="24"/>
        </w:rPr>
        <w:t>5.5 Deployment and Operation</w:t>
      </w:r>
    </w:p>
    <w:p>
      <w:pPr>
        <w:spacing w:before="0" w:after="120" w:line="360" w:lineRule="auto"/>
        <w:jc w:val="both"/>
      </w:pPr>
      <w:r>
        <w:rPr>
          <w:rFonts w:ascii="Times New Roman" w:hAnsi="Times New Roman"/>
          <w:b w:val="0"/>
          <w:sz w:val="24"/>
        </w:rPr>
        <w:t xml:space="preserve">In production deployment, heavy neural benchmarking runs once offline via </w:t>
      </w:r>
      <w:r>
        <w:rPr>
          <w:rFonts w:ascii="Times New Roman" w:hAnsi="Times New Roman"/>
          <w:b w:val="0"/>
          <w:sz w:val="24"/>
        </w:rPr>
        <w:t>prefilter.py</w:t>
      </w:r>
      <w:r>
        <w:rPr>
          <w:rFonts w:ascii="Times New Roman" w:hAnsi="Times New Roman"/>
          <w:b w:val="0"/>
          <w:sz w:val="24"/>
        </w:rPr>
        <w:t xml:space="preserve">, saving score files to </w:t>
      </w:r>
      <w:r>
        <w:rPr>
          <w:rFonts w:ascii="Times New Roman" w:hAnsi="Times New Roman"/>
          <w:b w:val="0"/>
          <w:sz w:val="24"/>
        </w:rPr>
        <w:t>results/c4/scores/</w:t>
      </w:r>
      <w:r>
        <w:rPr>
          <w:rFonts w:ascii="Times New Roman" w:hAnsi="Times New Roman"/>
          <w:b w:val="0"/>
          <w:sz w:val="24"/>
        </w:rPr>
        <w:t xml:space="preserve"> and freezing calibration thresholds in </w:t>
      </w:r>
      <w:r>
        <w:rPr>
          <w:rFonts w:ascii="Times New Roman" w:hAnsi="Times New Roman"/>
          <w:b w:val="0"/>
          <w:sz w:val="24"/>
        </w:rPr>
        <w:t>results/c4/c4_artifact.json</w:t>
      </w:r>
      <w:r>
        <w:rPr>
          <w:rFonts w:ascii="Times New Roman" w:hAnsi="Times New Roman"/>
          <w:b w:val="0"/>
          <w:sz w:val="24"/>
        </w:rPr>
        <w:t xml:space="preserve">. At application startup, FastAPI loads this lightweight JSON contract. Because </w:t>
      </w:r>
      <w:r>
        <w:rPr>
          <w:rFonts w:ascii="Times New Roman" w:hAnsi="Times New Roman"/>
          <w:b w:val="0"/>
          <w:sz w:val="24"/>
        </w:rPr>
        <w:t>C4Attributor</w:t>
      </w:r>
      <w:r>
        <w:rPr>
          <w:rFonts w:ascii="Times New Roman" w:hAnsi="Times New Roman"/>
          <w:b w:val="0"/>
          <w:sz w:val="24"/>
        </w:rPr>
        <w:t xml:space="preserve"> relies purely on standard Python libraries and NumPy, launching the service requires no external neural weights, consumes zero additional VRAM, and introduces only 1.312 ms median latency per span.</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This chapter walks through the experimental validation of Component 4 (Retrieval-Attribution Alignment and Evidence Grounding). Across sixteen evaluation tables (</w:t>
      </w:r>
      <w:r>
        <w:rPr>
          <w:rFonts w:ascii="Times New Roman" w:hAnsi="Times New Roman"/>
          <w:b w:val="0"/>
          <w:sz w:val="24"/>
        </w:rPr>
        <w:t>Tables 6.1 [C4-1]</w:t>
      </w:r>
      <w:r>
        <w:rPr>
          <w:rFonts w:ascii="Times New Roman" w:hAnsi="Times New Roman"/>
          <w:b w:val="0"/>
          <w:sz w:val="24"/>
        </w:rPr>
        <w:t xml:space="preserve"> to </w:t>
      </w:r>
      <w:r>
        <w:rPr>
          <w:rFonts w:ascii="Times New Roman" w:hAnsi="Times New Roman"/>
          <w:b w:val="0"/>
          <w:sz w:val="24"/>
        </w:rPr>
        <w:t>6.16 [C4-14]</w:t>
      </w:r>
      <w:r>
        <w:rPr>
          <w:rFonts w:ascii="Times New Roman" w:hAnsi="Times New Roman"/>
          <w:b w:val="0"/>
          <w:sz w:val="24"/>
        </w:rPr>
        <w:t>) and seven empirical plots (</w:t>
      </w:r>
      <w:r>
        <w:rPr>
          <w:rFonts w:ascii="Times New Roman" w:hAnsi="Times New Roman"/>
          <w:b w:val="0"/>
          <w:sz w:val="24"/>
        </w:rPr>
        <w:t>Figures 6.1</w:t>
      </w:r>
      <w:r>
        <w:rPr>
          <w:rFonts w:ascii="Times New Roman" w:hAnsi="Times New Roman"/>
          <w:b w:val="0"/>
          <w:sz w:val="24"/>
        </w:rPr>
        <w:t xml:space="preserve"> to </w:t>
      </w:r>
      <w:r>
        <w:rPr>
          <w:rFonts w:ascii="Times New Roman" w:hAnsi="Times New Roman"/>
          <w:b w:val="0"/>
          <w:sz w:val="24"/>
        </w:rPr>
        <w:t>6.7</w:t>
      </w:r>
      <w:r>
        <w:rPr>
          <w:rFonts w:ascii="Times New Roman" w:hAnsi="Times New Roman"/>
          <w:b w:val="0"/>
          <w:sz w:val="24"/>
        </w:rPr>
        <w:t xml:space="preserve">), we examine how each module behaves on the benchmark data. All figures and tables correspond directly to the committed evaluation logs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benchmarking any retrieval models, we first evaluated the quality of the reference supervision in Layer 1 (</w:t>
      </w:r>
      <w:r>
        <w:rPr>
          <w:rFonts w:ascii="Times New Roman" w:hAnsi="Times New Roman"/>
          <w:b w:val="0"/>
          <w:sz w:val="24"/>
        </w:rPr>
        <w:t>src/c4_attribution/evidence_audit.py</w:t>
      </w:r>
      <w:r>
        <w:rPr>
          <w:rFonts w:ascii="Times New Roman" w:hAnsi="Times New Roman"/>
          <w:b w:val="0"/>
          <w:sz w:val="24"/>
        </w:rPr>
        <w:t xml:space="preserve">). We audited the human </w:t>
      </w:r>
      <w:r>
        <w:rPr>
          <w:rFonts w:ascii="Times New Roman" w:hAnsi="Times New Roman"/>
          <w:b w:val="0"/>
          <w:sz w:val="24"/>
        </w:rPr>
        <w:t>Original:</w:t>
      </w:r>
      <w:r>
        <w:rPr>
          <w:rFonts w:ascii="Times New Roman" w:hAnsi="Times New Roman"/>
          <w:b w:val="0"/>
          <w:sz w:val="24"/>
        </w:rPr>
        <w:t xml:space="preserve"> annotations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summarises the exact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Across the dataset, 64.83% of calibration spans (787/1,214) and 68.36% of test spans (1,048/1,533) include an explicit </w:t>
      </w:r>
      <w:r>
        <w:rPr>
          <w:rFonts w:ascii="Times New Roman" w:hAnsi="Times New Roman"/>
          <w:b w:val="0"/>
          <w:sz w:val="24"/>
        </w:rPr>
        <w:t>Original:</w:t>
      </w:r>
      <w:r>
        <w:rPr>
          <w:rFonts w:ascii="Times New Roman" w:hAnsi="Times New Roman"/>
          <w:b w:val="0"/>
          <w:sz w:val="24"/>
        </w:rPr>
        <w:t xml:space="preserve"> note from the annotators. Looking closer at the 1,048 test spans with notes, 824 (78.63%) cite source text directly, while the remaining 224 (21.37%) explicitly state that no evidence exists in the prompt. To confirm that our regular expression patterns (</w:t>
      </w:r>
      <w:r>
        <w:rPr>
          <w:rFonts w:ascii="Times New Roman" w:hAnsi="Times New Roman"/>
          <w:b w:val="0"/>
          <w:sz w:val="24"/>
        </w:rPr>
        <w:t>src/c4_attribution/evidence_labels.py</w:t>
      </w:r>
      <w:r>
        <w:rPr>
          <w:rFonts w:ascii="Times New Roman" w:hAnsi="Times New Roman"/>
          <w:b w:val="0"/>
          <w:sz w:val="24"/>
        </w:rPr>
        <w:t>) accurately identified these negative cases, two of us independently reviewed a random sample of n = 50 snippets (</w:t>
      </w:r>
      <w:r>
        <w:rPr>
          <w:rFonts w:ascii="Times New Roman" w:hAnsi="Times New Roman"/>
          <w:b w:val="0"/>
          <w:sz w:val="24"/>
        </w:rPr>
        <w:t>seed = 42</w:t>
      </w:r>
      <w:r>
        <w:rPr>
          <w:rFonts w:ascii="Times New Roman" w:hAnsi="Times New Roman"/>
          <w:b w:val="0"/>
          <w:sz w:val="24"/>
        </w:rPr>
        <w:t xml:space="preserve">). Rater 1 agreed with 47/50 cases (0.9400), and Rater 2 agreed with 46/50 (0.9200), yielding an observed agreement of P_o = 0.9800 and a </w:t>
      </w:r>
      <w:r>
        <w:rPr>
          <w:rFonts w:ascii="Times New Roman" w:hAnsi="Times New Roman"/>
          <w:b/>
          <w:sz w:val="24"/>
        </w:rPr>
        <w:t>Cohen's κ of 0.8466</w:t>
      </w:r>
      <w:r>
        <w:rPr>
          <w:rFonts w:ascii="Times New Roman" w:hAnsi="Times New Roman"/>
          <w:b w:val="0"/>
          <w:sz w:val="24"/>
        </w:rPr>
        <w:t>. All three edge cases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occurred when an annotator cited a valid sentence but added free-form commentary in parentheses, such as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illustrates how the 1,476 attributable snippets behave across tasks and error categories.</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 xml:space="preserve">Looking closely at Table 6.2, human evidence citations diverge from exact context text far more often than people assume. Only half (50.68%) match verbatim in the source passage. In </w:t>
      </w:r>
      <w:r>
        <w:rPr>
          <w:rFonts w:ascii="Times New Roman" w:hAnsi="Times New Roman"/>
          <w:b w:val="0"/>
          <w:sz w:val="24"/>
        </w:rPr>
        <w:t>data2text</w:t>
      </w:r>
      <w:r>
        <w:rPr>
          <w:rFonts w:ascii="Times New Roman" w:hAnsi="Times New Roman"/>
          <w:b w:val="0"/>
          <w:sz w:val="24"/>
        </w:rPr>
        <w:t xml:space="preserve">, this drops to 42.54% because annotators routinely translate structured JSON keys into conversational English. Content-token containment, however, averages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This confirmed our initial hypothesis: evaluating on exact substring match unfairly penalises correct answers, whereas token containment matches human judgement much better.</w:t>
      </w:r>
    </w:p>
    <w:p>
      <w:pPr>
        <w:spacing w:before="0" w:after="120" w:line="360" w:lineRule="auto"/>
        <w:jc w:val="both"/>
      </w:pPr>
      <w:r>
        <w:rPr>
          <w:rFonts w:ascii="Times New Roman" w:hAnsi="Times New Roman"/>
          <w:b w:val="0"/>
          <w:sz w:val="24"/>
        </w:rPr>
        <w:t xml:space="preserve">Missing evidence rates also vary wildly across domains. In </w:t>
      </w:r>
      <w:r>
        <w:rPr>
          <w:rFonts w:ascii="Times New Roman" w:hAnsi="Times New Roman"/>
          <w:b w:val="0"/>
          <w:sz w:val="24"/>
        </w:rPr>
        <w:t>qa</w:t>
      </w:r>
      <w:r>
        <w:rPr>
          <w:rFonts w:ascii="Times New Roman" w:hAnsi="Times New Roman"/>
          <w:b w:val="0"/>
          <w:sz w:val="24"/>
        </w:rPr>
        <w:t xml:space="preserve">, an overwhelming </w:t>
      </w:r>
      <w:r>
        <w:rPr>
          <w:rFonts w:ascii="Times New Roman" w:hAnsi="Times New Roman"/>
          <w:b/>
          <w:sz w:val="24"/>
        </w:rPr>
        <w:t>72.73%</w:t>
      </w:r>
      <w:r>
        <w:rPr>
          <w:rFonts w:ascii="Times New Roman" w:hAnsi="Times New Roman"/>
          <w:b w:val="0"/>
          <w:sz w:val="24"/>
        </w:rPr>
        <w:t xml:space="preserve"> of notes report that no evidence exists, compared to just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Factual conflicts almost always cite a specific contradictory sentence (1.99% and 4.92% no-evidence), whereas baseless fabrications lack source text in over half the cases (56.36% for evident baseless claims).</w:t>
      </w:r>
    </w:p>
    <w:p>
      <w:pPr>
        <w:spacing w:before="0" w:after="120" w:line="360" w:lineRule="auto"/>
        <w:jc w:val="both"/>
      </w:pPr>
      <w:r>
        <w:rPr>
          <w:rFonts w:ascii="Times New Roman" w:hAnsi="Times New Roman"/>
          <w:b w:val="0"/>
          <w:sz w:val="24"/>
        </w:rPr>
        <w:t>Finally, evaluating an alternate sentence segmenter (</w:t>
      </w:r>
      <w:r>
        <w:rPr>
          <w:rFonts w:ascii="Times New Roman" w:hAnsi="Times New Roman"/>
          <w:b w:val="0"/>
          <w:sz w:val="24"/>
        </w:rPr>
        <w:t>split_sentences_variant</w:t>
      </w:r>
      <w:r>
        <w:rPr>
          <w:rFonts w:ascii="Times New Roman" w:hAnsi="Times New Roman"/>
          <w:b w:val="0"/>
          <w:sz w:val="24"/>
        </w:rPr>
        <w:t xml:space="preserve"> in Layer 1c) shifted the top-candidate index on </w:t>
      </w:r>
      <w:r>
        <w:rPr>
          <w:rFonts w:ascii="Times New Roman" w:hAnsi="Times New Roman"/>
          <w:b/>
          <w:sz w:val="24"/>
        </w:rPr>
        <w:t>zero out of 1,476 spans (0.00%)</w:t>
      </w:r>
      <w:r>
        <w:rPr>
          <w:rFonts w:ascii="Times New Roman" w:hAnsi="Times New Roman"/>
          <w:b w:val="0"/>
          <w:sz w:val="24"/>
        </w:rPr>
        <w:t xml:space="preserve">, changing candidate pool size on only one span. This confirmed that our regex splitter </w:t>
      </w:r>
      <w:r>
        <w:rPr>
          <w:rFonts w:ascii="Times New Roman" w:hAnsi="Times New Roman"/>
          <w:b w:val="0"/>
          <w:sz w:val="24"/>
        </w:rPr>
        <w:t>(?&lt;=[.!?])\s+</w:t>
      </w:r>
      <w:r>
        <w:rPr>
          <w:rFonts w:ascii="Times New Roman" w:hAnsi="Times New Roman"/>
          <w:b w:val="0"/>
          <w:sz w:val="24"/>
        </w:rPr>
        <w:t xml:space="preserve"> introduces zero edge-case drift.</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shows the matching protocol results on the 1,533 test spans at θ = 0.50, together with a threshold sensitivity sweep across θ ∈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measures the performance of our within-context IDF lexical scorer against four simple baseline heuristics across the 582 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 xml:space="preserve">Examining task-level differences is crucial here. In </w:t>
      </w:r>
      <w:r>
        <w:rPr>
          <w:rFonts w:ascii="Times New Roman" w:hAnsi="Times New Roman"/>
          <w:b w:val="0"/>
          <w:sz w:val="24"/>
        </w:rPr>
        <w:t>data2text</w:t>
      </w:r>
      <w:r>
        <w:rPr>
          <w:rFonts w:ascii="Times New Roman" w:hAnsi="Times New Roman"/>
          <w:b w:val="0"/>
          <w:sz w:val="24"/>
        </w:rPr>
        <w:t>, simply choosing the longest sentence (</w:t>
      </w:r>
      <w:r>
        <w:rPr>
          <w:rFonts w:ascii="Times New Roman" w:hAnsi="Times New Roman"/>
          <w:b w:val="0"/>
          <w:sz w:val="24"/>
        </w:rPr>
        <w:t>floor_longest</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(0.3385 overall), because serialised JSON tables tend to merge into one elongated sentence. Despite this strong naive baseline, our within-context IDF containment achieves </w:t>
      </w:r>
      <w:r>
        <w:rPr>
          <w:rFonts w:ascii="Times New Roman" w:hAnsi="Times New Roman"/>
          <w:b/>
          <w:sz w:val="24"/>
        </w:rPr>
        <w:t>0.9794 Top-1</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compare the four attribution backends on the test split (n = 582).</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understand why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trailed behind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analysed the candidate pre-filtering stage across cut-offs k ∈ \{1, 3, 5, 10\} on 580 logged test spans.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 xml:space="preserve">The numbers in Tables 6.5 and 6.6 reveal where multi-stage neural pipelines break down. Pre-filtering with </w:t>
      </w:r>
      <w:r>
        <w:rPr>
          <w:rFonts w:ascii="Times New Roman" w:hAnsi="Times New Roman"/>
          <w:b w:val="0"/>
          <w:sz w:val="24"/>
        </w:rPr>
        <w:t>bge-small</w:t>
      </w:r>
      <w:r>
        <w:rPr>
          <w:rFonts w:ascii="Times New Roman" w:hAnsi="Times New Roman"/>
          <w:b w:val="0"/>
          <w:sz w:val="24"/>
        </w:rPr>
        <w:t xml:space="preserve"> at k=5 yields a Recall@5 of only </w:t>
      </w:r>
      <w:r>
        <w:rPr>
          <w:rFonts w:ascii="Times New Roman" w:hAnsi="Times New Roman"/>
          <w:b/>
          <w:sz w:val="24"/>
        </w:rPr>
        <w:t>0.7810</w:t>
      </w:r>
      <w:r>
        <w:rPr>
          <w:rFonts w:ascii="Times New Roman" w:hAnsi="Times New Roman"/>
          <w:b w:val="0"/>
          <w:sz w:val="24"/>
        </w:rPr>
        <w:t xml:space="preserve">, meaning that </w:t>
      </w:r>
      <w:r>
        <w:rPr>
          <w:rFonts w:ascii="Times New Roman" w:hAnsi="Times New Roman"/>
          <w:b/>
          <w:sz w:val="24"/>
        </w:rPr>
        <w:t>21.90% of true evidence sentences are discarded before the cross-encoders even run</w:t>
      </w:r>
      <w:r>
        <w:rPr>
          <w:rFonts w:ascii="Times New Roman" w:hAnsi="Times New Roman"/>
          <w:b w:val="0"/>
          <w:sz w:val="24"/>
        </w:rPr>
        <w:t xml:space="preserve">. When the gold sentence happens to survive into the top-5 pool, </w:t>
      </w:r>
      <w:r>
        <w:rPr>
          <w:rFonts w:ascii="Times New Roman" w:hAnsi="Times New Roman"/>
          <w:b w:val="0"/>
          <w:sz w:val="24"/>
        </w:rPr>
        <w:t>hhem_support</w:t>
      </w:r>
      <w:r>
        <w:rPr>
          <w:rFonts w:ascii="Times New Roman" w:hAnsi="Times New Roman"/>
          <w:b w:val="0"/>
          <w:sz w:val="24"/>
        </w:rPr>
        <w:t xml:space="preserve"> scores </w:t>
      </w:r>
      <w:r>
        <w:rPr>
          <w:rFonts w:ascii="Times New Roman" w:hAnsi="Times New Roman"/>
          <w:b/>
          <w:sz w:val="24"/>
        </w:rPr>
        <w:t>0.8901</w:t>
      </w:r>
      <w:r>
        <w:rPr>
          <w:rFonts w:ascii="Times New Roman" w:hAnsi="Times New Roman"/>
          <w:b w:val="0"/>
          <w:sz w:val="24"/>
        </w:rPr>
        <w:t xml:space="preserve"> Top-1 accuracy—matching our lexical scorer (0.8952). This proves that the neural model's lower end-to-end score is driven by upstream pre-filter losses rather than flawed cross-encoder reasoning. By contrast, in-context IDF ranking achieves </w:t>
      </w:r>
      <w:r>
        <w:rPr>
          <w:rFonts w:ascii="Times New Roman" w:hAnsi="Times New Roman"/>
          <w:b/>
          <w:sz w:val="24"/>
        </w:rPr>
        <w:t>0.9759 Recall@5</w:t>
      </w:r>
      <w:r>
        <w:rPr>
          <w:rFonts w:ascii="Times New Roman" w:hAnsi="Times New Roman"/>
          <w:b w:val="0"/>
          <w:sz w:val="24"/>
        </w:rPr>
        <w:t xml:space="preserve"> (an error floor of just 2.41%). More importantly, because our lexical scorer evaluates the entire context pool in 1.312 ms on CPU, it completely eliminates the need for candidate pruning.</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In Layer 5 (</w:t>
      </w:r>
      <w:r>
        <w:rPr>
          <w:rFonts w:ascii="Times New Roman" w:hAnsi="Times New Roman"/>
          <w:b w:val="0"/>
          <w:sz w:val="24"/>
        </w:rPr>
        <w:t>src/c4_attribution/calibration.py</w:t>
      </w:r>
      <w:r>
        <w:rPr>
          <w:rFonts w:ascii="Times New Roman" w:hAnsi="Times New Roman"/>
          <w:b w:val="0"/>
          <w:sz w:val="24"/>
        </w:rPr>
        <w:t xml:space="preserve">), we evaluated probability calibration across 11,033 </w:t>
      </w:r>
      <w:r>
        <w:rPr>
          <w:rFonts w:ascii="Times New Roman" w:hAnsi="Times New Roman"/>
          <w:b w:val="0"/>
          <w:sz w:val="24"/>
        </w:rPr>
        <w:t>(span, context_sentence)</w:t>
      </w:r>
      <w:r>
        <w:rPr>
          <w:rFonts w:ascii="Times New Roman" w:hAnsi="Times New Roman"/>
          <w:b w:val="0"/>
          <w:sz w:val="24"/>
        </w:rPr>
        <w:t xml:space="preserve"> candidate pairs from the test split.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calibration error and scoring metrics against a constant base-rate reference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Table 6.7 shows, raw lexical scores already provide strong ranking discrimination (</w:t>
      </w:r>
      <w:r>
        <w:rPr>
          <w:rFonts w:ascii="Times New Roman" w:hAnsi="Times New Roman"/>
          <w:b/>
          <w:sz w:val="24"/>
        </w:rPr>
        <w:t>AUROC = 0.9854</w:t>
      </w:r>
      <w:r>
        <w:rPr>
          <w:rFonts w:ascii="Times New Roman" w:hAnsi="Times New Roman"/>
          <w:b w:val="0"/>
          <w:sz w:val="24"/>
        </w:rPr>
        <w:t xml:space="preserve">). Isotonic regression cuts calibration error by 95.4% (reducing ECE from 0.1458 down to </w:t>
      </w:r>
      <w:r>
        <w:rPr>
          <w:rFonts w:ascii="Times New Roman" w:hAnsi="Times New Roman"/>
          <w:b/>
          <w:sz w:val="24"/>
        </w:rPr>
        <w:t>0.0067</w:t>
      </w:r>
      <w:r>
        <w:rPr>
          <w:rFonts w:ascii="Times New Roman" w:hAnsi="Times New Roman"/>
          <w:b w:val="0"/>
          <w:sz w:val="24"/>
        </w:rPr>
        <w:t xml:space="preserve">) and drops Brier score to </w:t>
      </w:r>
      <w:r>
        <w:rPr>
          <w:rFonts w:ascii="Times New Roman" w:hAnsi="Times New Roman"/>
          <w:b/>
          <w:sz w:val="24"/>
        </w:rPr>
        <w:t>0.0161</w:t>
      </w:r>
      <w:r>
        <w:rPr>
          <w:rFonts w:ascii="Times New Roman" w:hAnsi="Times New Roman"/>
          <w:b w:val="0"/>
          <w:sz w:val="24"/>
        </w:rPr>
        <w:t xml:space="preserve"> (67.8% lower than the constant baseline). Temperature scaling performs poorly here because mapping near-zero lexical overlaps through logit transforms produces extreme negative values that a single scalar T cannot resolve; Platt scaling and isotonic regression handle this smoothly with flexible monotonic mapping.</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evaluate conformal evidence prediction sets calibrated on n_{cal} = 431 spans and evaluated on the held-out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Risk 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Nominal Coverage 1 - 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95% CI</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Median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Reviewer Reading Reduction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0.01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[0.9786, 0.9973]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25.88%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0.05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0.9502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[0.9322, 0.9681]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58.79%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α = 0.10 (Primary)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[0.8640, 0.9338]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70.63%</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0.15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0.8522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[0.8228, 0.8817]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3.59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77.16%</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0.8007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[0.7675, 0.8338]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81.50%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0.7010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[0.6631, 0.7390]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87.03%</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0.6014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[0.5607, 0.6420]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 xml:space="preserve">Table 6.8 demonstrates that across all evaluated risk levels α ∈ \{0.01, 0.05, 0.10, 0.15, 0.20, 0.30, 0.40\}, empirical coverage closely tracks nominal targets, staying safely within the theoretical 3σ finite-sample band. At our target operating point of α = 0.10 (90% coverage), test coverage reaches </w:t>
      </w:r>
      <w:r>
        <w:rPr>
          <w:rFonts w:ascii="Times New Roman" w:hAnsi="Times New Roman"/>
          <w:b/>
          <w:sz w:val="24"/>
        </w:rPr>
        <w:t>0.9003</w:t>
      </w:r>
      <w:r>
        <w:rPr>
          <w:rFonts w:ascii="Times New Roman" w:hAnsi="Times New Roman"/>
          <w:b w:val="0"/>
          <w:sz w:val="24"/>
        </w:rPr>
        <w:t xml:space="preserve"> (90.03%, 95% CI [0.8640, 0.9338]), while the average prediction set shrinks from </w:t>
      </w:r>
      <w:r>
        <w:rPr>
          <w:rFonts w:ascii="Times New Roman" w:hAnsi="Times New Roman"/>
          <w:b/>
          <w:sz w:val="24"/>
        </w:rPr>
        <w:t>19.05 sentences</w:t>
      </w:r>
      <w:r>
        <w:rPr>
          <w:rFonts w:ascii="Times New Roman" w:hAnsi="Times New Roman"/>
          <w:b w:val="0"/>
          <w:sz w:val="24"/>
        </w:rPr>
        <w:t xml:space="preserve"> to </w:t>
      </w:r>
      <w:r>
        <w:rPr>
          <w:rFonts w:ascii="Times New Roman" w:hAnsi="Times New Roman"/>
          <w:b/>
          <w:sz w:val="24"/>
        </w:rPr>
        <w:t>4.61 sentences per span</w:t>
      </w:r>
      <w:r>
        <w:rPr>
          <w:rFonts w:ascii="Times New Roman" w:hAnsi="Times New Roman"/>
          <w:b w:val="0"/>
          <w:sz w:val="24"/>
        </w:rPr>
        <w:t xml:space="preserve">—delivering a </w:t>
      </w:r>
      <w:r>
        <w:rPr>
          <w:rFonts w:ascii="Times New Roman" w:hAnsi="Times New Roman"/>
          <w:b/>
          <w:sz w:val="24"/>
        </w:rPr>
        <w:t>70.63% reduction in reviewer reading burden</w:t>
      </w:r>
      <w:r>
        <w:rPr>
          <w:rFonts w:ascii="Times New Roman" w:hAnsi="Times New Roman"/>
          <w:b w:val="0"/>
          <w:sz w:val="24"/>
        </w:rPr>
        <w:t>.</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breaks down performance across individual tasks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Task-level set sizes reflect domain characteristics: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where long news articles frequently mention the central entity across multiple sentences.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Under our binary 0/1 miss loss formulation in Convention A, LAC and CRC produce identical prediction sets and coverage numbers (0.9003, 4.61 sentences), proving their empirical equivalence in single-reference evidence attribution.</w:t>
      </w:r>
    </w:p>
    <w:p>
      <w:pPr>
        <w:spacing w:before="0" w:after="120" w:line="360" w:lineRule="auto"/>
        <w:jc w:val="both"/>
      </w:pPr>
      <w:r>
        <w:rPr>
          <w:rFonts w:ascii="Times New Roman" w:hAnsi="Times New Roman"/>
          <w:b w:val="0"/>
          <w:sz w:val="24"/>
        </w:rPr>
        <w:t>--- | :---: | :---: | :---: | :---: | :---: | :---: | :---: |</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42</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57</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0.8421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4.79</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1.0000</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Although all three tasks satisfy the coverage criteria, the resulting set sizes differ noticeably: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This reflects the nature of news summarisation passages, where multiple sentences frequently discuss the same entities and context points.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Under our binary 0/1 miss loss formulation in Convention A, LAC and CRC produce identical prediction sets and coverage numbers (0.9003, 4.61 sentences), proving their mathematical equivalence in single-reference evidence attribution.</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evaluate the no-evidence abstention threshold (τ = 0.1973, calibrated on 787 calibration spans) across the 1,048 test spans.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 xml:space="preserve">As shown in Table 6.11, nearest-neighbour matching without a confidence threshold always outputs a sentence, resulting in </w:t>
      </w:r>
      <w:r>
        <w:rPr>
          <w:rFonts w:ascii="Times New Roman" w:hAnsi="Times New Roman"/>
          <w:b/>
          <w:sz w:val="24"/>
        </w:rPr>
        <w:t>0.0000 recall</w:t>
      </w:r>
      <w:r>
        <w:rPr>
          <w:rFonts w:ascii="Times New Roman" w:hAnsi="Times New Roman"/>
          <w:b w:val="0"/>
          <w:sz w:val="24"/>
        </w:rPr>
        <w:t xml:space="preserve"> on ungrounded spans. In contrast, Component 4's calibrated threshold (τ = 0.1973) correctly flags </w:t>
      </w:r>
      <w:r>
        <w:rPr>
          <w:rFonts w:ascii="Times New Roman" w:hAnsi="Times New Roman"/>
          <w:b/>
          <w:sz w:val="24"/>
        </w:rPr>
        <w:t>80.80% of baseless claims</w:t>
      </w:r>
      <w:r>
        <w:rPr>
          <w:rFonts w:ascii="Times New Roman" w:hAnsi="Times New Roman"/>
          <w:b w:val="0"/>
          <w:sz w:val="24"/>
        </w:rPr>
        <w:t xml:space="preserve">, improving pooled F1 over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points</w:t>
      </w:r>
      <w:r>
        <w:rPr>
          <w:rFonts w:ascii="Times New Roman" w:hAnsi="Times New Roman"/>
          <w:b w:val="0"/>
          <w:sz w:val="24"/>
        </w:rPr>
        <w:t xml:space="preserve"> (0.4814 vs. 0.3522). In </w:t>
      </w:r>
      <w:r>
        <w:rPr>
          <w:rFonts w:ascii="Times New Roman" w:hAnsi="Times New Roman"/>
          <w:b w:val="0"/>
          <w:sz w:val="24"/>
        </w:rPr>
        <w:t>qa</w:t>
      </w:r>
      <w:r>
        <w:rPr>
          <w:rFonts w:ascii="Times New Roman" w:hAnsi="Times New Roman"/>
          <w:b w:val="0"/>
          <w:sz w:val="24"/>
        </w:rPr>
        <w:t xml:space="preserve">, where 72.73% of spans have no context evidence, always abstaining gives an F1 of 0.8421; Component 4 scores 0.8191 F1 on </w:t>
      </w:r>
      <w:r>
        <w:rPr>
          <w:rFonts w:ascii="Times New Roman" w:hAnsi="Times New Roman"/>
          <w:b w:val="0"/>
          <w:sz w:val="24"/>
        </w:rPr>
        <w:t>qa</w:t>
      </w:r>
      <w:r>
        <w:rPr>
          <w:rFonts w:ascii="Times New Roman" w:hAnsi="Times New Roman"/>
          <w:b w:val="0"/>
          <w:sz w:val="24"/>
        </w:rPr>
        <w:t xml:space="preserve"> while preserving the ability to cite evidence on the remaining 27.27% of attributable cases.</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cross-task generalization using Leave-One-Task-Out (LOTO) cross-validation (</w:t>
      </w:r>
      <w:r>
        <w:rPr>
          <w:rFonts w:ascii="Times New Roman" w:hAnsi="Times New Roman"/>
          <w:b w:val="0"/>
          <w:sz w:val="24"/>
        </w:rPr>
        <w:t>src/c4_attribution/transfer.py</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All three held-out tasks remain comfortably within their theoretical finite-sample coverage limits. Transferred abstention F1 remains within 0.02--0.03 of in-task calibration. Furthermore, because our lexical scorer requires no learned weights, Top-1 attribution accuracy remains completely unaffected by task transfer.</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To evaluate execution speed and memory consumption on consumer hardware, Layer 13 (</w:t>
      </w:r>
      <w:r>
        <w:rPr>
          <w:rFonts w:ascii="Times New Roman" w:hAnsi="Times New Roman"/>
          <w:b w:val="0"/>
          <w:sz w:val="24"/>
        </w:rPr>
        <w:t>src/c4_attribution/latency_benchmark.py</w:t>
      </w:r>
      <w:r>
        <w:rPr>
          <w:rFonts w:ascii="Times New Roman" w:hAnsi="Times New Roman"/>
          <w:b w:val="0"/>
          <w:sz w:val="24"/>
        </w:rPr>
        <w:t>) benchmarked multi-span attribution across 100 context passages (300 spans). Table 6.14 (</w:t>
      </w:r>
      <w:r>
        <w:rPr>
          <w:rFonts w:ascii="Times New Roman" w:hAnsi="Times New Roman"/>
          <w:b w:val="0"/>
          <w:sz w:val="24"/>
        </w:rPr>
        <w:t>C4-15</w:t>
      </w:r>
      <w:r>
        <w:rPr>
          <w:rFonts w:ascii="Times New Roman" w:hAnsi="Times New Roman"/>
          <w:b w:val="0"/>
          <w:sz w:val="24"/>
        </w:rPr>
        <w:t>) presents the benchmark results.</w:t>
      </w:r>
    </w:p>
    <w:p>
      <w:pPr>
        <w:pStyle w:val="Caption"/>
        <w:keepNext/>
        <w:spacing w:before="160" w:after="80" w:line="240" w:lineRule="auto"/>
        <w:jc w:val="center"/>
      </w:pPr>
      <w:r>
        <w:rPr>
          <w:rFonts w:ascii="Times New Roman" w:hAnsi="Times New Roman"/>
          <w:b w:val="0"/>
          <w:sz w:val="22"/>
        </w:rPr>
        <w:t>Table 6.14 (C4-15): Technical Latency, Memory, and Throughput Benchmarks Across Attribution Backends.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23.104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93.898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142.110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12.304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cross-encoder/nli-deberta-v3-base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98.441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149.201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13.112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 xml:space="preserve">Sentence segmentation takes p50 = 0.1371 ms per passage, and attribution completes in </w:t>
      </w:r>
      <w:r>
        <w:rPr>
          <w:rFonts w:ascii="Times New Roman" w:hAnsi="Times New Roman"/>
          <w:b/>
          <w:sz w:val="24"/>
        </w:rPr>
        <w:t>1.312 ms p50 CPU latency per span</w:t>
      </w:r>
      <w:r>
        <w:rPr>
          <w:rFonts w:ascii="Times New Roman" w:hAnsi="Times New Roman"/>
          <w:b w:val="0"/>
          <w:sz w:val="24"/>
        </w:rPr>
        <w:t xml:space="preserve"> with </w:t>
      </w:r>
      <w:r>
        <w:rPr>
          <w:rFonts w:ascii="Times New Roman" w:hAnsi="Times New Roman"/>
          <w:b/>
          <w:sz w:val="24"/>
        </w:rPr>
        <w:t>0.0 MB additional RAM/VRAM</w:t>
      </w:r>
      <w:r>
        <w:rPr>
          <w:rFonts w:ascii="Times New Roman" w:hAnsi="Times New Roman"/>
          <w:b w:val="0"/>
          <w:sz w:val="24"/>
        </w:rPr>
        <w:t xml:space="preserve">. This allows the online service to process </w:t>
      </w:r>
      <w:r>
        <w:rPr>
          <w:rFonts w:ascii="Times New Roman" w:hAnsi="Times New Roman"/>
          <w:b/>
          <w:sz w:val="24"/>
        </w:rPr>
        <w:t>538.9 spans/s</w:t>
      </w:r>
      <w:r>
        <w:rPr>
          <w:rFonts w:ascii="Times New Roman" w:hAnsi="Times New Roman"/>
          <w:b w:val="0"/>
          <w:sz w:val="24"/>
        </w:rPr>
        <w:t xml:space="preserve">, easily fulfilling non-functional requirement </w:t>
      </w:r>
      <w:r>
        <w:rPr>
          <w:rFonts w:ascii="Times New Roman" w:hAnsi="Times New Roman"/>
          <w:b w:val="0"/>
          <w:sz w:val="24"/>
        </w:rPr>
        <w:t>NFR-C4-02</w:t>
      </w:r>
      <w:r>
        <w:rPr>
          <w:rFonts w:ascii="Times New Roman" w:hAnsi="Times New Roman"/>
          <w:b w:val="0"/>
          <w:sz w:val="24"/>
        </w:rPr>
        <w:t xml:space="preserve"> (&lt; 50.0 ms) on standard consumer laptops.</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line with our approved Topic Assessment Form, Section 6.3 evaluates three validation activities: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User Acceptance Test Cases (`UAT-01` to `UAT-10`):</w:t>
      </w:r>
      <w:r>
        <w:rPr>
          <w:rFonts w:ascii="Times New Roman" w:hAnsi="Times New Roman"/>
          <w:b w:val="0"/>
          <w:sz w:val="24"/>
        </w:rPr>
        <w:t xml:space="preserve"> All 10/10 test cases passed their functional and non-functional specifications.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w:t>
      </w:r>
      <w:r>
        <w:rPr>
          <w:rFonts w:ascii="Times New Roman" w:hAnsi="Times New Roman"/>
          <w:b w:val="0"/>
          <w:sz w:val="24"/>
        </w:rPr>
        <w:t xml:space="preserve"> Verified inter-rater reliability (P_o = 0.9800, Cohen's κ = 0.8466) on no-evidence extraction.</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Reviewer Timing &amp; SUS Study:</w:t>
      </w:r>
      <w:r>
        <w:rPr>
          <w:rFonts w:ascii="Times New Roman" w:hAnsi="Times New Roman"/>
          <w:b w:val="0"/>
          <w:sz w:val="24"/>
        </w:rPr>
        <w:t xml:space="preserve"> The four TrustRAG leads (</w:t>
      </w:r>
      <w:r>
        <w:rPr>
          <w:rFonts w:ascii="Times New Roman" w:hAnsi="Times New Roman"/>
          <w:b w:val="0"/>
          <w:sz w:val="24"/>
        </w:rPr>
        <w:t>TM-01</w:t>
      </w:r>
      <w:r>
        <w:rPr>
          <w:rFonts w:ascii="Times New Roman" w:hAnsi="Times New Roman"/>
          <w:b w:val="0"/>
          <w:sz w:val="24"/>
        </w:rPr>
        <w:t xml:space="preserve"> to </w:t>
      </w:r>
      <w:r>
        <w:rPr>
          <w:rFonts w:ascii="Times New Roman" w:hAnsi="Times New Roman"/>
          <w:b w:val="0"/>
          <w:sz w:val="24"/>
        </w:rPr>
        <w:t>TM-04</w:t>
      </w:r>
      <w:r>
        <w:rPr>
          <w:rFonts w:ascii="Times New Roman" w:hAnsi="Times New Roman"/>
          <w:b w:val="0"/>
          <w:sz w:val="24"/>
        </w:rPr>
        <w:t>) reviewed 100 flagged spans (25 spans per evaluator) to compare review times between full-context reading and conformal set highlights.</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verification results.</w:t>
      </w:r>
    </w:p>
    <w:p>
      <w:pPr>
        <w:pStyle w:val="Caption"/>
        <w:keepNext/>
        <w:spacing w:before="160" w:after="80" w:line="240" w:lineRule="auto"/>
        <w:jc w:val="center"/>
      </w:pPr>
      <w:r>
        <w:rPr>
          <w:rFonts w:ascii="Times New Roman" w:hAnsi="Times New Roman"/>
          <w:b w:val="0"/>
          <w:sz w:val="22"/>
        </w:rPr>
        <w:t>Table 6.15 (C4-16): End-to-End User Acceptance Testing (UAT), Blind Dual-Rater Audit (κ = 0.8466), and Reviewer Effort Study.</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Case / Reviewer ID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Requirement / Scope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Criterion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Behaviour / Measured Output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Observed Latency / Outcome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Verdict / Usability Metric</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Multi-span sentence attribution on multi-sentence context</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Span 0 maps to Sentence 0; Span 1 maps to Sentence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0.292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probability output via isotonic calibration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prob_calibrated</w:t>
            </w:r>
            <w:r>
              <w:rPr>
                <w:rFonts w:ascii="Times New Roman" w:hAnsi="Times New Roman"/>
                <w:b w:val="0"/>
                <w:sz w:val="18"/>
              </w:rPr>
              <w:t xml:space="preserve"> monotonic with score; ∈ [0, 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0.311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threshold (τ=0.1973)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Span with \max &lt; τ sets </w:t>
            </w:r>
            <w:r>
              <w:rPr>
                <w:rFonts w:ascii="Times New Roman" w:hAnsi="Times New Roman"/>
                <w:b w:val="0"/>
                <w:sz w:val="18"/>
              </w:rPr>
              <w:t>no_evidence=True</w:t>
            </w:r>
            <w:r>
              <w:rPr>
                <w:rFonts w:ascii="Times New Roman" w:hAnsi="Times New Roman"/>
                <w:b w:val="0"/>
                <w:sz w:val="18"/>
              </w:rPr>
              <w:t xml:space="preserve">, </w:t>
            </w:r>
            <w:r>
              <w:rPr>
                <w:rFonts w:ascii="Times New Roman" w:hAnsi="Times New Roman"/>
                <w:b w:val="0"/>
                <w:sz w:val="18"/>
              </w:rPr>
              <w:t>evidence_sentence=None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0.305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C1×C2×C4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 ms (&lt; 50.0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 s vs. C4 conformal (4.61 sents): 13.8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 s vs. C4 conformal (4.61 sents): 12.4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 s vs. C4 conformal (4.61 sents): 14.1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 s vs. C4 conformal (4.61 sents): 11.9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Full context: 42.75 s/span → C4 conformal: 13.05 s/span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Blind Audit: P_o = 0.9800, Cohen's κ = 0.8466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69.47%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88.12 (A)</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The measured reduction in human review time (</w:t>
      </w:r>
      <w:r>
        <w:rPr>
          <w:rFonts w:ascii="Times New Roman" w:hAnsi="Times New Roman"/>
          <w:b/>
          <w:sz w:val="24"/>
        </w:rPr>
        <w:t>69.47%</w:t>
      </w:r>
      <w:r>
        <w:rPr>
          <w:rFonts w:ascii="Times New Roman" w:hAnsi="Times New Roman"/>
          <w:b w:val="0"/>
          <w:sz w:val="24"/>
        </w:rPr>
        <w:t>, dropping from 42.75 s to 13.05 s per span) aligns closely with our theoretical reading reduction (</w:t>
      </w:r>
      <w:r>
        <w:rPr>
          <w:rFonts w:ascii="Times New Roman" w:hAnsi="Times New Roman"/>
          <w:b/>
          <w:sz w:val="24"/>
        </w:rPr>
        <w:t>70.63%</w:t>
      </w:r>
      <w:r>
        <w:rPr>
          <w:rFonts w:ascii="Times New Roman" w:hAnsi="Times New Roman"/>
          <w:b w:val="0"/>
          <w:sz w:val="24"/>
        </w:rPr>
        <w:t xml:space="preserve">, from 19.05 down to 4.61 sentences). Furthermore, the average System Usability Scale score of </w:t>
      </w:r>
      <w:r>
        <w:rPr>
          <w:rFonts w:ascii="Times New Roman" w:hAnsi="Times New Roman"/>
          <w:b/>
          <w:sz w:val="24"/>
        </w:rPr>
        <w:t>88.12 / 100</w:t>
      </w:r>
      <w:r>
        <w:rPr>
          <w:rFonts w:ascii="Times New Roman" w:hAnsi="Times New Roman"/>
          <w:b w:val="0"/>
          <w:sz w:val="24"/>
        </w:rPr>
        <w:t xml:space="preserve"> places the resulting interface in the highest usability tier (</w:t>
      </w:r>
      <w:r>
        <w:rPr>
          <w:rFonts w:ascii="Times New Roman" w:hAnsi="Times New Roman"/>
          <w:b/>
          <w:sz w:val="24"/>
        </w:rPr>
        <w:t>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evaluated multi-component fusion across Component 1 (</w:t>
      </w:r>
      <w:r>
        <w:rPr>
          <w:rFonts w:ascii="Times New Roman" w:hAnsi="Times New Roman"/>
          <w:b w:val="0"/>
          <w:sz w:val="24"/>
        </w:rPr>
        <w:t>ModernBERT-base</w:t>
      </w:r>
      <w:r>
        <w:rPr>
          <w:rFonts w:ascii="Times New Roman" w:hAnsi="Times New Roman"/>
          <w:b w:val="0"/>
          <w:sz w:val="24"/>
        </w:rPr>
        <w:t>), Component 2 (Platt Calibration + Split Conformal), and Component 4 (</w:t>
      </w:r>
      <w:r>
        <w:rPr>
          <w:rFonts w:ascii="Times New Roman" w:hAnsi="Times New Roman"/>
          <w:b w:val="0"/>
          <w:sz w:val="24"/>
        </w:rPr>
        <w:t>C4Attributor</w:t>
      </w:r>
      <w:r>
        <w:rPr>
          <w:rFonts w:ascii="Times New Roman" w:hAnsi="Times New Roman"/>
          <w:b w:val="0"/>
          <w:sz w:val="24"/>
        </w:rPr>
        <w:t xml:space="preserve"> Abstention) across 1,509 test responses (2,390 predicted spans). Table 6.16 (</w:t>
      </w:r>
      <w:r>
        <w:rPr>
          <w:rFonts w:ascii="Times New Roman" w:hAnsi="Times New Roman"/>
          <w:b w:val="0"/>
          <w:sz w:val="24"/>
        </w:rPr>
        <w:t>C4-14</w:t>
      </w:r>
      <w:r>
        <w:rPr>
          <w:rFonts w:ascii="Times New Roman" w:hAnsi="Times New Roman"/>
          <w:b w:val="0"/>
          <w:sz w:val="24"/>
        </w:rPr>
        <w:t>) details detection F1 across fusion rules alongside the four-cell disagreement breakdown.</w:t>
      </w:r>
    </w:p>
    <w:p>
      <w:pPr>
        <w:pStyle w:val="Caption"/>
        <w:keepNext/>
        <w:spacing w:before="160" w:after="80" w:line="240" w:lineRule="auto"/>
        <w:jc w:val="center"/>
      </w:pPr>
      <w:r>
        <w:rPr>
          <w:rFonts w:ascii="Times New Roman" w:hAnsi="Times New Roman"/>
          <w:b w:val="0"/>
          <w:sz w:val="22"/>
        </w:rPr>
        <w:t>Table 6.16 (C4-14): Multi-Component C1 × C2 ×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395M-param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TP=451, FP=205, FN=76, 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TP=345, FP=119, FN=182, 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TP=241, FP=86, FN=286, 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TP=410, FP=165, FN=117, 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illustrates the practical relationship between detection flags and context evidence. Requiring evidence to be absent before flagging an error (</w:t>
      </w:r>
      <w:r>
        <w:rPr>
          <w:rFonts w:ascii="Times New Roman" w:hAnsi="Times New Roman"/>
          <w:b w:val="0"/>
          <w:sz w:val="24"/>
        </w:rPr>
        <w:t>c1_c2_gated_by_c4</w:t>
      </w:r>
      <w:r>
        <w:rPr>
          <w:rFonts w:ascii="Times New Roman" w:hAnsi="Times New Roman"/>
          <w:b w:val="0"/>
          <w:sz w:val="24"/>
        </w:rPr>
        <w:t xml:space="preserve">) removes 323 valid </w:t>
      </w:r>
      <w:r>
        <w:rPr>
          <w:rFonts w:ascii="Times New Roman" w:hAnsi="Times New Roman"/>
          <w:b w:val="0"/>
          <w:i/>
          <w:sz w:val="24"/>
        </w:rPr>
        <w:t>Evident Conflict</w:t>
      </w:r>
      <w:r>
        <w:rPr>
          <w:rFonts w:ascii="Times New Roman" w:hAnsi="Times New Roman"/>
          <w:b w:val="0"/>
          <w:sz w:val="24"/>
        </w:rPr>
        <w:t xml:space="preserve"> errors, dropping system recall from 0.6546 to 0.4573. Contradictions often mention real entities; finding a matching sentence does not prove a claim is correct. Conversely, promoting Component 2's uncertain abstentions when Component 4 confirms </w:t>
      </w:r>
      <w:r>
        <w:rPr>
          <w:rFonts w:ascii="Times New Roman" w:hAnsi="Times New Roman"/>
          <w:b w:val="0"/>
          <w:sz w:val="24"/>
        </w:rPr>
        <w:t>no_evidence</w:t>
      </w:r>
      <w:r>
        <w:rPr>
          <w:rFonts w:ascii="Times New Roman" w:hAnsi="Times New Roman"/>
          <w:b w:val="0"/>
          <w:sz w:val="24"/>
        </w:rPr>
        <w:t xml:space="preserve"> recovers 65 true-positive responses and lifts example F1 from 0.6960 to </w:t>
      </w:r>
      <w:r>
        <w:rPr>
          <w:rFonts w:ascii="Times New Roman" w:hAnsi="Times New Roman"/>
          <w:b/>
          <w:sz w:val="24"/>
        </w:rPr>
        <w:t>0.7557</w:t>
      </w:r>
      <w:r>
        <w:rPr>
          <w:rFonts w:ascii="Times New Roman" w:hAnsi="Times New Roman"/>
          <w:b w:val="0"/>
          <w:sz w:val="24"/>
        </w:rPr>
        <w:t xml:space="preserve"> (+5.96 points).</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To summarise our experimental findings: token containment handles human annotation noise reliably (Cohen's κ = 0.8466); dense top-5 pre-filtering creates an unnecessary 21.90% bottleneck that our full-pool lexical scorer eliminates (0.8952 Top-1 accuracy in 1.312 ms); split conformal prediction cuts reading burden by 70.63% while guaranteeing 90.03% coverage; calibrated abstention catches 80.80% of ungrounded fabrications; and breaking ties on detector abstentions boosts overall system F1 by +5.96 points.</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When we began this investigation, we expected large pretrained cross-encoders like DeBERTa-v3 to easily outperform simple word-matching methods. In practice, our lexical scorer reached 0.8952 Top-1 accuracy compared to 0.6392 for DeBERTa-v3 and 0.6959 for HHEM. Two practical reasons explain this outcome.</w:t>
      </w:r>
    </w:p>
    <w:p>
      <w:pPr>
        <w:spacing w:before="0" w:after="120" w:line="360" w:lineRule="auto"/>
        <w:jc w:val="both"/>
      </w:pPr>
      <w:r>
        <w:rPr>
          <w:rFonts w:ascii="Times New Roman" w:hAnsi="Times New Roman"/>
          <w:b w:val="0"/>
          <w:sz w:val="24"/>
        </w:rPr>
        <w:t xml:space="preserve">The primary factor is the candidate pre-filtering bottleneck. Running an expensive 184M-parameter cross-encoder over every sentence in long contexts takes too long for interactive use (497 ms/span), so neural pipelines must first prune the candidate pool down to the top-5 sentences using a bi-encoder like </w:t>
      </w:r>
      <w:r>
        <w:rPr>
          <w:rFonts w:ascii="Times New Roman" w:hAnsi="Times New Roman"/>
          <w:b w:val="0"/>
          <w:sz w:val="24"/>
        </w:rPr>
        <w:t>bge-small</w:t>
      </w:r>
      <w:r>
        <w:rPr>
          <w:rFonts w:ascii="Times New Roman" w:hAnsi="Times New Roman"/>
          <w:b w:val="0"/>
          <w:sz w:val="24"/>
        </w:rPr>
        <w:t xml:space="preserve">. But dense embeddings compress entire sentences into fixed vectors, often losing specific dates, figures, and names. In our benchmarks, </w:t>
      </w:r>
      <w:r>
        <w:rPr>
          <w:rFonts w:ascii="Times New Roman" w:hAnsi="Times New Roman"/>
          <w:b w:val="0"/>
          <w:sz w:val="24"/>
        </w:rPr>
        <w:t>bge-small</w:t>
      </w:r>
      <w:r>
        <w:rPr>
          <w:rFonts w:ascii="Times New Roman" w:hAnsi="Times New Roman"/>
          <w:b w:val="0"/>
          <w:sz w:val="24"/>
        </w:rPr>
        <w:t xml:space="preserve"> discarded the true evidence sentence 21.90% of the time at k=5. Because the cross-encoder only evaluates candidates that survive this filter, its overall accuracy is capped at 78.10%. In contrast, our lightweight lexical scorer evaluates all sentences directly in 1.312 ms on CPU, entirely avoiding pre-filter losses.</w:t>
      </w:r>
    </w:p>
    <w:p>
      <w:pPr>
        <w:spacing w:before="0" w:after="120" w:line="360" w:lineRule="auto"/>
        <w:jc w:val="both"/>
      </w:pPr>
      <w:r>
        <w:rPr>
          <w:rFonts w:ascii="Times New Roman" w:hAnsi="Times New Roman"/>
          <w:b w:val="0"/>
          <w:sz w:val="24"/>
        </w:rPr>
        <w:t>The second factor relates to the nature of factual contradictions. In RAGTruth, 75.2% of attributable errors are factual conflicts rather than ungrounded fabrications. In these scenarios, the context sentence contradicts the generated answer. When an NLI cross-encoder ranks sentences by predicted entailment, it naturally assigns low scores to the contradictory sentence—down-voting the very sentence that disproves the claim. Meanwhile, within-context IDF containment prioritises sentences that share specific named entities, numbers, and nouns, reliably matching the relevant evidence sentence regardless of polarity.</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At α = 0.10, conformal prediction achieved 90.03% test coverage with an average set size of 4.61 sentences. However, prediction sets varied significantly by task: 1.75 sentences in Data-to-Text, 4.79 in QA, and 8.13 in Summarization. This variation stems from the structure of each domain.</w:t>
      </w:r>
    </w:p>
    <w:p>
      <w:pPr>
        <w:spacing w:before="0" w:after="120" w:line="360" w:lineRule="auto"/>
        <w:jc w:val="both"/>
      </w:pPr>
      <w:r>
        <w:rPr>
          <w:rFonts w:ascii="Times New Roman" w:hAnsi="Times New Roman"/>
          <w:b w:val="0"/>
          <w:sz w:val="24"/>
        </w:rPr>
        <w:t>In Data-to-Text, source passages are structured attributes such as opening hours, addresses, and phone numbers. A claim discussing opening hours typically matches vocabulary in exactly one sentence of the record, creating a sharp score separation between the top sentence and the rest. The conformal set can therefore include fewer than two sentences while maintaining the required coverage guarantee.</w:t>
      </w:r>
    </w:p>
    <w:p>
      <w:pPr>
        <w:spacing w:before="0" w:after="120" w:line="360" w:lineRule="auto"/>
        <w:jc w:val="both"/>
      </w:pPr>
      <w:r>
        <w:rPr>
          <w:rFonts w:ascii="Times New Roman" w:hAnsi="Times New Roman"/>
          <w:b w:val="0"/>
          <w:sz w:val="24"/>
        </w:rPr>
        <w:t>In Summarization, by contrast, source passages are multi-paragraph news reports averaging over 20 sentences. Multiple sentences frequently discuss the same core entities, locations, and events. Because several candidate sentences share overlapping terms with the generated claim, the score distribution is more diffuse. To guarantee that the true evidence sentence is captured at the nominal 90% confidence level, the conformal set must encompass more sentences (8.13 on average).</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In our multi-component integration experiments, requiring evidence to be absent before issuing a hallucination flag (</w:t>
      </w:r>
      <w:r>
        <w:rPr>
          <w:rFonts w:ascii="Times New Roman" w:hAnsi="Times New Roman"/>
          <w:b w:val="0"/>
          <w:sz w:val="24"/>
        </w:rPr>
        <w:t>c1_c2_gated_by_c4</w:t>
      </w:r>
      <w:r>
        <w:rPr>
          <w:rFonts w:ascii="Times New Roman" w:hAnsi="Times New Roman"/>
          <w:b w:val="0"/>
          <w:sz w:val="24"/>
        </w:rPr>
        <w:t>) hurt detection recall (F_1 = 0.5647). In contrast, using Component 4's no-evidence signal to break ties on uncertain Component 2 abstentions (</w:t>
      </w:r>
      <w:r>
        <w:rPr>
          <w:rFonts w:ascii="Times New Roman" w:hAnsi="Times New Roman"/>
          <w:b w:val="0"/>
          <w:sz w:val="24"/>
        </w:rPr>
        <w:t>c4_tie_break</w:t>
      </w:r>
      <w:r>
        <w:rPr>
          <w:rFonts w:ascii="Times New Roman" w:hAnsi="Times New Roman"/>
          <w:b w:val="0"/>
          <w:sz w:val="24"/>
        </w:rPr>
        <w:t>) raised F1 to 0.7557 (+5.96 points).</w:t>
      </w:r>
    </w:p>
    <w:p>
      <w:pPr>
        <w:spacing w:before="0" w:after="120" w:line="360" w:lineRule="auto"/>
        <w:jc w:val="both"/>
      </w:pPr>
      <w:r>
        <w:rPr>
          <w:rFonts w:ascii="Times New Roman" w:hAnsi="Times New Roman"/>
          <w:b w:val="0"/>
          <w:sz w:val="24"/>
        </w:rPr>
        <w:t>This difference highlights how hallucination types interact with retrieval. When Component 1 flags a hallucinated span, that error may be either a factual conflict or an ungrounded invention. If the system clears any span that has a matching context sentence, it inadvertently dismisses hundreds of genuine conflict errors where the matching sentence is the very fact being contradicted. Gating flags with evidence checks dropped system recall from 0.6546 to 0.4573.</w:t>
      </w:r>
    </w:p>
    <w:p>
      <w:pPr>
        <w:spacing w:before="0" w:after="120" w:line="360" w:lineRule="auto"/>
        <w:jc w:val="both"/>
      </w:pPr>
      <w:r>
        <w:rPr>
          <w:rFonts w:ascii="Times New Roman" w:hAnsi="Times New Roman"/>
          <w:b w:val="0"/>
          <w:sz w:val="24"/>
        </w:rPr>
        <w:t>Conversely, when Component 2 encounters a borderline prediction and abstains, Component 4 checks whether the claim has any textual support in the passage. If no sentence shares meaningful content tokens (\max &lt; τ = 0.1973), the claim is confirmed to be an ungrounded fabrication. Promoting these unsupported abstentions to positive flags recovers 65 true-positive responses without discarding valid factual contradictions.</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When situated against existing research and tools in the literature, Component 4 addresses several distinct gaps:</w:t>
      </w:r>
    </w:p>
    <w:p>
      <w:pPr>
        <w:spacing w:before="0" w:after="120" w:line="360" w:lineRule="auto"/>
        <w:jc w:val="both"/>
      </w:pPr>
      <w:r>
        <w:rPr>
          <w:rFonts w:ascii="Times New Roman" w:hAnsi="Times New Roman"/>
          <w:b w:val="0"/>
          <w:sz w:val="24"/>
        </w:rPr>
        <w:t>Token-level taggers like LettuceDetect [10] and ModernBERT identify suspicious words within an LLM response, but they do not trace claims back to source passages. Reviewers must still manually read through all 19 context sentences to verify each claim. Component 4 provides sentence-level attribution in 1.312 ms on CPU, shrinking reviewer reading burden by 70.63%.</w:t>
      </w:r>
    </w:p>
    <w:p>
      <w:pPr>
        <w:spacing w:before="0" w:after="120" w:line="360" w:lineRule="auto"/>
        <w:jc w:val="both"/>
      </w:pPr>
      <w:r>
        <w:rPr>
          <w:rFonts w:ascii="Times New Roman" w:hAnsi="Times New Roman"/>
          <w:b w:val="0"/>
          <w:sz w:val="24"/>
        </w:rPr>
        <w:t>Attribution and evaluation frameworks such as ALCE [19], SummaC [14], and Vectara HHEM [28] focus on ranking candidates or estimating consistency scores. However, they do not quantify pre-filtering candidate losses, rarely handle explicit abstention on baseless claims, and typically require hundreds of megabytes of GPU memory. Our calibrated lexical scorer avoids pre-filtering bottlenecks and operates with zero additional memory overhead.</w:t>
      </w:r>
    </w:p>
    <w:p>
      <w:pPr>
        <w:spacing w:before="0" w:after="120" w:line="360" w:lineRule="auto"/>
        <w:jc w:val="both"/>
      </w:pPr>
      <w:r>
        <w:rPr>
          <w:rFonts w:ascii="Times New Roman" w:hAnsi="Times New Roman"/>
          <w:b w:val="0"/>
          <w:sz w:val="24"/>
        </w:rPr>
        <w:t>Standard nearest-neighbour matching always returns a candidate sentence, which yields 0.0000 recall when an LLM hallucinates an entirely fabricated fact. Component 4's calibrated abstention threshold detects 80.80% of ungrounded spans.</w:t>
      </w:r>
    </w:p>
    <w:p>
      <w:pPr>
        <w:spacing w:before="0" w:after="120" w:line="360" w:lineRule="auto"/>
        <w:jc w:val="both"/>
      </w:pPr>
      <w:r>
        <w:rPr>
          <w:rFonts w:ascii="Times New Roman" w:hAnsi="Times New Roman"/>
          <w:b w:val="0"/>
          <w:sz w:val="24"/>
        </w:rPr>
        <w:t>Finally, conventional RAG systems rely on static top-k citation lists (such as top-3 or top-5 chunks). These heuristics provide no statistical coverage guarantees and cannot adapt to document complexity. In contrast, our split-conformal sets guarantee 90.03% empirical coverage while dynamically adapting set sizes from 1.75 sentences on structured records to 8.13 sentences on narrative news text.</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This thesis establishes four primary research contributions:</w:t>
      </w:r>
    </w:p>
    <w:p>
      <w:pPr>
        <w:spacing w:before="0" w:after="120" w:line="360" w:lineRule="auto"/>
        <w:jc w:val="both"/>
      </w:pPr>
      <w:r>
        <w:rPr>
          <w:rFonts w:ascii="Times New Roman" w:hAnsi="Times New Roman"/>
          <w:b w:val="0"/>
          <w:sz w:val="24"/>
        </w:rPr>
        <w:t>First, we conducted an empirical supervision audit of RAGTruth's human evidence citations. We demonstrated that verbatim substring matching captures only 50.68% of reference quotes, proved that sentence boundary choices do not alter attribution rankings (0.00% change), and validated negative evidence labels through an independent blind audit (κ = 0.8466).</w:t>
      </w:r>
    </w:p>
    <w:p>
      <w:pPr>
        <w:spacing w:before="0" w:after="120" w:line="360" w:lineRule="auto"/>
        <w:jc w:val="both"/>
      </w:pPr>
      <w:r>
        <w:rPr>
          <w:rFonts w:ascii="Times New Roman" w:hAnsi="Times New Roman"/>
          <w:b w:val="0"/>
          <w:sz w:val="24"/>
        </w:rPr>
        <w:t>Second, we identified and quantified the pre-filter bottleneck in multi-stage attribution pipelines. We demonstrated that standard dense bi-encoder pre-filtering at k=5 discards 21.90% of true evidence sentences before cross-encoder scoring begins, whereas lexical ranking drops only 2.41%.</w:t>
      </w:r>
    </w:p>
    <w:p>
      <w:pPr>
        <w:spacing w:before="0" w:after="120" w:line="360" w:lineRule="auto"/>
        <w:jc w:val="both"/>
      </w:pPr>
      <w:r>
        <w:rPr>
          <w:rFonts w:ascii="Times New Roman" w:hAnsi="Times New Roman"/>
          <w:b w:val="0"/>
          <w:sz w:val="24"/>
        </w:rPr>
        <w:t>Third, we formulated evidence attribution within a split-conformal prediction framework under LAC and CRC, proving their empirical equivalence on single-reference text (90.03% coverage, 4.61 sentences). We also introduced the reviewer reading-cost curve as an evaluation metric for human-in-the-loop verification.</w:t>
      </w:r>
    </w:p>
    <w:p>
      <w:pPr>
        <w:spacing w:before="0" w:after="120" w:line="360" w:lineRule="auto"/>
        <w:jc w:val="both"/>
      </w:pPr>
      <w:r>
        <w:rPr>
          <w:rFonts w:ascii="Times New Roman" w:hAnsi="Times New Roman"/>
          <w:b w:val="0"/>
          <w:sz w:val="24"/>
        </w:rPr>
        <w:t>Fourth, we designed a calibrated no-evidence abstention mechanism and multi-component fusion strategy. We demonstrated that abstention performance depends on domain base rates, verified cross-task transferability under leave-one-task-out evaluation, and achieved a +5.96 F1 improvement by using evidence checks to resolve uncertain model abstentions.</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an engineering and product perspective, Component 4 provides three concrete assets:</w:t>
      </w:r>
    </w:p>
    <w:p>
      <w:pPr>
        <w:spacing w:before="0" w:after="120" w:line="360" w:lineRule="auto"/>
        <w:jc w:val="both"/>
      </w:pPr>
      <w:r>
        <w:rPr>
          <w:rFonts w:ascii="Times New Roman" w:hAnsi="Times New Roman"/>
          <w:b w:val="0"/>
          <w:sz w:val="24"/>
        </w:rPr>
        <w:t>It delivers a fast, zero-memory attribution service (</w:t>
      </w:r>
      <w:r>
        <w:rPr>
          <w:rFonts w:ascii="Times New Roman" w:hAnsi="Times New Roman"/>
          <w:b w:val="0"/>
          <w:sz w:val="24"/>
        </w:rPr>
        <w:t>C4Attributor</w:t>
      </w:r>
      <w:r>
        <w:rPr>
          <w:rFonts w:ascii="Times New Roman" w:hAnsi="Times New Roman"/>
          <w:b w:val="0"/>
          <w:sz w:val="24"/>
        </w:rPr>
        <w:t>) that runs in 1.312 ms p50 CPU latency with 0.0 MB additional RAM/VRAM. This enables the complete TrustRAG system to operate locally on standard laptop hardware without requiring dedicated GPU acceleration.</w:t>
      </w:r>
    </w:p>
    <w:p>
      <w:pPr>
        <w:spacing w:before="0" w:after="120" w:line="360" w:lineRule="auto"/>
        <w:jc w:val="both"/>
      </w:pPr>
      <w:r>
        <w:rPr>
          <w:rFonts w:ascii="Times New Roman" w:hAnsi="Times New Roman"/>
          <w:b w:val="0"/>
          <w:sz w:val="24"/>
        </w:rPr>
        <w:t>It establishes a declarative configuration contract (</w:t>
      </w:r>
      <w:r>
        <w:rPr>
          <w:rFonts w:ascii="Times New Roman" w:hAnsi="Times New Roman"/>
          <w:b w:val="0"/>
          <w:sz w:val="24"/>
        </w:rPr>
        <w:t>c4_artifact.json</w:t>
      </w:r>
      <w:r>
        <w:rPr>
          <w:rFonts w:ascii="Times New Roman" w:hAnsi="Times New Roman"/>
          <w:b w:val="0"/>
          <w:sz w:val="24"/>
        </w:rPr>
        <w:t>) that freezes calibration parameters and conformal quantiles, guaranteeing numerical consistency between offline benchmarks and live runtime serving.</w:t>
      </w:r>
    </w:p>
    <w:p>
      <w:pPr>
        <w:spacing w:before="0" w:after="120" w:line="360" w:lineRule="auto"/>
        <w:jc w:val="both"/>
      </w:pPr>
      <w:r>
        <w:rPr>
          <w:rFonts w:ascii="Times New Roman" w:hAnsi="Times New Roman"/>
          <w:b w:val="0"/>
          <w:sz w:val="24"/>
        </w:rPr>
        <w:t>It incorporates built-in responsible AI safeguards that prevent version drift, block overstated certainty claims in user-facing text, and cleanly withdraw statistical guarantees when input documents fall out of distribution.</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acknowledge four key limitations in this work and the steps taken to address them:</w:t>
      </w:r>
    </w:p>
    <w:p>
      <w:pPr>
        <w:spacing w:before="0" w:after="120" w:line="360" w:lineRule="auto"/>
        <w:jc w:val="both"/>
      </w:pPr>
      <w:r>
        <w:rPr>
          <w:rFonts w:ascii="Times New Roman" w:hAnsi="Times New Roman"/>
          <w:b w:val="0"/>
          <w:sz w:val="24"/>
        </w:rPr>
        <w:t>First, our primary evaluation protocol assumes a single best-matching sentence per reference quote. In 15.79% of test spans (242/1,533), human quotes did not reach the θ = 0.50 containment threshold within a single sentence, typically when annotators summarized information across paragraph boundaries. To address this transparently, we reported exact counts and evaluated sensitivity across thresholds from 0.30 to 0.90.</w:t>
      </w:r>
    </w:p>
    <w:p>
      <w:pPr>
        <w:spacing w:before="0" w:after="120" w:line="360" w:lineRule="auto"/>
        <w:jc w:val="both"/>
      </w:pPr>
      <w:r>
        <w:rPr>
          <w:rFonts w:ascii="Times New Roman" w:hAnsi="Times New Roman"/>
          <w:b w:val="0"/>
          <w:sz w:val="24"/>
        </w:rPr>
        <w:t>Second, lexical matching is sensitive to synonym variation and paraphrasing in conversational question answering. While lexical containment reached 0.9794 on Data-to-Text and 0.8419 on Summarization, it scored 0.6842 on QA (n=57). Nevertheless, it outperformed all four baseline heuristics on QA, and its conformal sets captured 84.21% of gold sentences.</w:t>
      </w:r>
    </w:p>
    <w:p>
      <w:pPr>
        <w:spacing w:before="0" w:after="120" w:line="360" w:lineRule="auto"/>
        <w:jc w:val="both"/>
      </w:pPr>
      <w:r>
        <w:rPr>
          <w:rFonts w:ascii="Times New Roman" w:hAnsi="Times New Roman"/>
          <w:b w:val="0"/>
          <w:sz w:val="24"/>
        </w:rPr>
        <w:t>Third, external hallucination benchmarks such as RAGBench provide response-level labels but lack span-to-sentence annotations. We addressed this limitation by conducting extensive cross-task transfer evaluations across RAGTruth's three distinct sub-domains using leave-one-task-out folds.</w:t>
      </w:r>
    </w:p>
    <w:p>
      <w:pPr>
        <w:spacing w:before="0" w:after="120" w:line="360" w:lineRule="auto"/>
        <w:jc w:val="both"/>
      </w:pPr>
      <w:r>
        <w:rPr>
          <w:rFonts w:ascii="Times New Roman" w:hAnsi="Times New Roman"/>
          <w:b w:val="0"/>
          <w:sz w:val="24"/>
        </w:rPr>
        <w:t>Fourth, the calibration sample size for QA was relatively modest (n_{cal} = 42). Because 72.73% of QA errors in RAGTruth are completely ungrounded, relatively few spans contain attributable context evidence, leading to slightly conservative task-specific quantiles.</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w:t>
      </w:r>
    </w:p>
    <w:p>
      <w:pPr>
        <w:spacing w:before="0" w:after="120" w:line="360" w:lineRule="auto"/>
        <w:jc w:val="both"/>
      </w:pPr>
      <w:r>
        <w:rPr>
          <w:rFonts w:ascii="Times New Roman" w:hAnsi="Times New Roman"/>
          <w:b w:val="0"/>
          <w:sz w:val="24"/>
        </w:rPr>
        <w:t>These findings challenge two common assumptions in RAG research: first, that dense embedding retrievers are universally superior to lexical ranking for candidate pre-filtering (dense top-5 lost nine times more gold sentences than IDF matching); and second, that NLI entailment is the natural objective for attributing hallucinated claims. In practice, hallucinated statements frequently contradict their context, requiring entity alignment rather than logical entailment.</w:t>
      </w:r>
    </w:p>
    <w:p>
      <w:pPr>
        <w:pStyle w:val="Heading3"/>
        <w:keepNext/>
        <w:spacing w:before="160" w:after="80" w:line="240" w:lineRule="auto"/>
      </w:pPr>
      <w:r>
        <w:rPr>
          <w:rFonts w:ascii="Times New Roman" w:hAnsi="Times New Roman"/>
          <w:b/>
          <w:color w:val="000000"/>
          <w:sz w:val="24"/>
        </w:rPr>
        <w:t>7.6.2 Practical implications</w:t>
      </w:r>
    </w:p>
    <w:p>
      <w:pPr>
        <w:spacing w:before="0" w:after="120" w:line="360" w:lineRule="auto"/>
        <w:jc w:val="both"/>
      </w:pPr>
      <w:r>
        <w:rPr>
          <w:rFonts w:ascii="Times New Roman" w:hAnsi="Times New Roman"/>
          <w:b w:val="0"/>
          <w:sz w:val="24"/>
        </w:rPr>
        <w:t xml:space="preserve">For software engineers building audit tools for high-stakes LLM applications in legal, healthcare, or corporate settings, Component 4 demonstrates that presenting a calibrated conformal evidence set (4.61 sentences at α = 0.10) alongside a clear no-evidence indicator reduces human review time by </w:t>
      </w:r>
      <w:r>
        <w:rPr>
          <w:rFonts w:ascii="Times New Roman" w:hAnsi="Times New Roman"/>
          <w:b/>
          <w:sz w:val="24"/>
        </w:rPr>
        <w:t>69.47%</w:t>
      </w:r>
      <w:r>
        <w:rPr>
          <w:rFonts w:ascii="Times New Roman" w:hAnsi="Times New Roman"/>
          <w:b w:val="0"/>
          <w:sz w:val="24"/>
        </w:rPr>
        <w:t xml:space="preserve"> without incurring extra GPU infrastructure costs.</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Deploying an NLP research component into production involves far more than running offline scripts. In this chapter, we examine how Component 4 transitions from an experimental evaluation pipeline into a maintainable, compliant, and cost-effective module within the TrustRAG platform. We outline its core value proposition and practical user roles (Section 8.1), contrast its capabilities with current commercial and open-source evaluation frameworks (Section 8.2), formulate an open-core sustainability model (Section 8.3), assess operational scalability and compliance with the EU AI Act (Section 8.4), and highlight how its zero-GPU footprint supports the United Nations Sustainable Development Goals (Section 8.5).</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The core value of Component 4 is simple: it provides fast, mathematically verified evidence attribution without demanding expensive GPU resources. In real-world enterprise RAG, merely knowing that a phrase in an answer looks suspicious—which Components 1 and 2 detect—leaves human reviewers with a frustrating manual task. A compliance auditor or clinician still needs to locate the exact source sentence in the prompt to confirm whether the model distorted a fact (</w:t>
      </w:r>
      <w:r>
        <w:rPr>
          <w:rFonts w:ascii="Times New Roman" w:hAnsi="Times New Roman"/>
          <w:b w:val="0"/>
          <w:i/>
          <w:sz w:val="24"/>
        </w:rPr>
        <w:t>Evident Conflict</w:t>
      </w:r>
      <w:r>
        <w:rPr>
          <w:rFonts w:ascii="Times New Roman" w:hAnsi="Times New Roman"/>
          <w:b w:val="0"/>
          <w:sz w:val="24"/>
        </w:rPr>
        <w:t>) or manufactured a claim completely (</w:t>
      </w:r>
      <w:r>
        <w:rPr>
          <w:rFonts w:ascii="Times New Roman" w:hAnsi="Times New Roman"/>
          <w:b w:val="0"/>
          <w:i/>
          <w:sz w:val="24"/>
        </w:rPr>
        <w:t>Baseless Information</w:t>
      </w:r>
      <w:r>
        <w:rPr>
          <w:rFonts w:ascii="Times New Roman" w:hAnsi="Times New Roman"/>
          <w:b w:val="0"/>
          <w:sz w:val="24"/>
        </w:rPr>
        <w:t>). Reading through unindexed context passages (averaging 19.05 sentences in RAGTruth) quickly creates a severe cognitive bottleneck.</w:t>
      </w:r>
    </w:p>
    <w:p>
      <w:pPr>
        <w:spacing w:before="0" w:after="120" w:line="360" w:lineRule="auto"/>
        <w:jc w:val="both"/>
      </w:pPr>
      <w:r>
        <w:rPr>
          <w:rFonts w:ascii="Times New Roman" w:hAnsi="Times New Roman"/>
          <w:b w:val="0"/>
          <w:sz w:val="24"/>
        </w:rPr>
        <w:t>Component 4 resolves this operational headache in three direct ways:</w:t>
      </w:r>
    </w:p>
    <w:p>
      <w:pPr>
        <w:spacing w:before="0" w:after="120" w:line="360" w:lineRule="auto"/>
        <w:jc w:val="both"/>
      </w:pPr>
      <w:r>
        <w:rPr>
          <w:rFonts w:ascii="Times New Roman" w:hAnsi="Times New Roman"/>
          <w:b w:val="0"/>
          <w:sz w:val="24"/>
        </w:rPr>
        <w:t xml:space="preserve">First, it reduces reviewer reading load by </w:t>
      </w:r>
      <w:r>
        <w:rPr>
          <w:rFonts w:ascii="Times New Roman" w:hAnsi="Times New Roman"/>
          <w:b/>
          <w:sz w:val="24"/>
        </w:rPr>
        <w:t>70.63%</w:t>
      </w:r>
      <w:r>
        <w:rPr>
          <w:rFonts w:ascii="Times New Roman" w:hAnsi="Times New Roman"/>
          <w:b w:val="0"/>
          <w:sz w:val="24"/>
        </w:rPr>
        <w:t xml:space="preserve"> under statistical error bounds. By generating split-conformal prediction sets (LAC) at α = 0.10, the system condenses the candidate context from 19.05 sentences down to an average of </w:t>
      </w:r>
      <w:r>
        <w:rPr>
          <w:rFonts w:ascii="Times New Roman" w:hAnsi="Times New Roman"/>
          <w:b/>
          <w:sz w:val="24"/>
        </w:rPr>
        <w:t>4.61 sentences per span</w:t>
      </w:r>
      <w:r>
        <w:rPr>
          <w:rFonts w:ascii="Times New Roman" w:hAnsi="Times New Roman"/>
          <w:b w:val="0"/>
          <w:sz w:val="24"/>
        </w:rPr>
        <w:t xml:space="preserve">, capturing the true reference sentence with </w:t>
      </w:r>
      <w:r>
        <w:rPr>
          <w:rFonts w:ascii="Times New Roman" w:hAnsi="Times New Roman"/>
          <w:b/>
          <w:sz w:val="24"/>
        </w:rPr>
        <w:t>90.03%</w:t>
      </w:r>
      <w:r>
        <w:rPr>
          <w:rFonts w:ascii="Times New Roman" w:hAnsi="Times New Roman"/>
          <w:b w:val="0"/>
          <w:sz w:val="24"/>
        </w:rPr>
        <w:t xml:space="preserve"> empirical coverage. In our timed user trials (Section 6.3), this focused view accelerated verification by </w:t>
      </w:r>
      <w:r>
        <w:rPr>
          <w:rFonts w:ascii="Times New Roman" w:hAnsi="Times New Roman"/>
          <w:b/>
          <w:sz w:val="24"/>
        </w:rPr>
        <w:t>69.47%</w:t>
      </w:r>
      <w:r>
        <w:rPr>
          <w:rFonts w:ascii="Times New Roman" w:hAnsi="Times New Roman"/>
          <w:b w:val="0"/>
          <w:sz w:val="24"/>
        </w:rPr>
        <w:t xml:space="preserve"> (13.05 s vs. 42.75 s per span).</w:t>
      </w:r>
    </w:p>
    <w:p>
      <w:pPr>
        <w:spacing w:before="0" w:after="120" w:line="360" w:lineRule="auto"/>
        <w:jc w:val="both"/>
      </w:pPr>
      <w:r>
        <w:rPr>
          <w:rFonts w:ascii="Times New Roman" w:hAnsi="Times New Roman"/>
          <w:b w:val="0"/>
          <w:sz w:val="24"/>
        </w:rPr>
        <w:t>Second, it cleanly distinguishes factual contradictions from missing evidence. By tuning a calibrated abstention cutoff (τ_abs = 0.33), Component 4 separates claims that actively clash with source sentences from ungrounded fabrications where no evidence exists (F_1 = 0.3548 vs. 0.3209).</w:t>
      </w:r>
    </w:p>
    <w:p>
      <w:pPr>
        <w:spacing w:before="0" w:after="120" w:line="360" w:lineRule="auto"/>
        <w:jc w:val="both"/>
      </w:pPr>
      <w:r>
        <w:rPr>
          <w:rFonts w:ascii="Times New Roman" w:hAnsi="Times New Roman"/>
          <w:b w:val="0"/>
          <w:sz w:val="24"/>
        </w:rPr>
        <w:t>Third, it runs in sub-2 ms latency with zero extra GPU memory. Our production module (</w:t>
      </w:r>
      <w:r>
        <w:rPr>
          <w:rFonts w:ascii="Times New Roman" w:hAnsi="Times New Roman"/>
          <w:b w:val="0"/>
          <w:sz w:val="24"/>
        </w:rPr>
        <w:t>LexicalAttributor</w:t>
      </w:r>
      <w:r>
        <w:rPr>
          <w:rFonts w:ascii="Times New Roman" w:hAnsi="Times New Roman"/>
          <w:b w:val="0"/>
          <w:sz w:val="24"/>
        </w:rPr>
        <w:t xml:space="preserve">) executes entirely on CPU using vectorised token operations. Because Component 1's ModernBERT model handles token classification, our attribution module adds </w:t>
      </w:r>
      <w:r>
        <w:rPr>
          <w:rFonts w:ascii="Times New Roman" w:hAnsi="Times New Roman"/>
          <w:b/>
          <w:sz w:val="24"/>
        </w:rPr>
        <w:t>0.0 MB of additional RAM/VRAM</w:t>
      </w:r>
      <w:r>
        <w:rPr>
          <w:rFonts w:ascii="Times New Roman" w:hAnsi="Times New Roman"/>
          <w:b w:val="0"/>
          <w:sz w:val="24"/>
        </w:rPr>
        <w:t xml:space="preserve"> and finishes in </w:t>
      </w:r>
      <w:r>
        <w:rPr>
          <w:rFonts w:ascii="Times New Roman" w:hAnsi="Times New Roman"/>
          <w:b/>
          <w:sz w:val="24"/>
        </w:rPr>
        <w:t>1.312 ms median latency per span</w:t>
      </w:r>
      <w:r>
        <w:rPr>
          <w:rFonts w:ascii="Times New Roman" w:hAnsi="Times New Roman"/>
          <w:b w:val="0"/>
          <w:sz w:val="24"/>
        </w:rPr>
        <w:t xml:space="preserve"> (5.571 ms per full response), running smoothly on standard laptops.</w:t>
      </w:r>
    </w:p>
    <w:p>
      <w:pPr>
        <w:pStyle w:val="Heading3"/>
        <w:keepNext/>
        <w:spacing w:before="160" w:after="80" w:line="240" w:lineRule="auto"/>
      </w:pPr>
      <w:r>
        <w:rPr>
          <w:rFonts w:ascii="Times New Roman" w:hAnsi="Times New Roman"/>
          <w:b/>
          <w:color w:val="000000"/>
          <w:sz w:val="24"/>
        </w:rPr>
        <w:t>Target user personas</w:t>
      </w:r>
    </w:p>
    <w:p>
      <w:pPr>
        <w:spacing w:before="0" w:after="120" w:line="360" w:lineRule="auto"/>
        <w:jc w:val="both"/>
      </w:pPr>
      <w:r>
        <w:rPr>
          <w:rFonts w:ascii="Times New Roman" w:hAnsi="Times New Roman"/>
          <w:b w:val="0"/>
          <w:sz w:val="24"/>
        </w:rPr>
        <w:t>Component 4 supports three primary professional user roles: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Clinical Documentation Specialists:</w:t>
      </w:r>
      <w:r>
        <w:rPr>
          <w:rFonts w:ascii="Times New Roman" w:hAnsi="Times New Roman"/>
          <w:b w:val="0"/>
          <w:sz w:val="24"/>
        </w:rPr>
        <w:t xml:space="preserve"> In hospital settings where RAG models summarise clinical notes or patient histories (evaluated on MedHallu in Section 6.1.7), medical reviewers must check summaries against chart notes. Component 4 links flagged clinical claims to the exact source sentence, or badges them as ungrounded when the LLM invents dosages or symptoms.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Legal Paralegals and Compliance Officers:</w:t>
      </w:r>
      <w:r>
        <w:rPr>
          <w:rFonts w:ascii="Times New Roman" w:hAnsi="Times New Roman"/>
          <w:b w:val="0"/>
          <w:sz w:val="24"/>
        </w:rPr>
        <w:t xml:space="preserve"> In contract discovery and financial due diligence, analysts query lengthy agreements, SEC filings, and regulatory guidelines. When an assistant summarises obligations or covenants, Component 4 supplies sentence-level provenance alongside an interactive confidence slider (1 - α ∈ [0.60, 0.95]) to fit different risk tolerances.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MLOps and Platform Engineers:</w:t>
      </w:r>
      <w:r>
        <w:rPr>
          <w:rFonts w:ascii="Times New Roman" w:hAnsi="Times New Roman"/>
          <w:b w:val="0"/>
          <w:sz w:val="24"/>
        </w:rPr>
        <w:t xml:space="preserve"> Teams deploying internal LLM microservices require low-overhead guardrails that fit into existing CI/CD and observability workflows. Because Component 4 exposes a clean, stateless FastAPI interface (</w:t>
      </w:r>
      <w:r>
        <w:rPr>
          <w:rFonts w:ascii="Times New Roman" w:hAnsi="Times New Roman"/>
          <w:b w:val="0"/>
          <w:sz w:val="24"/>
        </w:rPr>
        <w:t>POST /analyze</w:t>
      </w:r>
      <w:r>
        <w:rPr>
          <w:rFonts w:ascii="Times New Roman" w:hAnsi="Times New Roman"/>
          <w:b w:val="0"/>
          <w:sz w:val="24"/>
        </w:rPr>
        <w:t>) backed by a strict schema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it integrates seamlessly without altering upstream vector databases or inference endpoints.</w:t>
      </w:r>
    </w:p>
    <w:p>
      <w:pPr>
        <w:pStyle w:val="Heading2"/>
        <w:keepNext/>
        <w:spacing w:before="200" w:after="120" w:line="240" w:lineRule="auto"/>
      </w:pPr>
      <w:r>
        <w:rPr>
          <w:rFonts w:ascii="Times New Roman" w:hAnsi="Times New Roman"/>
          <w:b/>
          <w:color w:val="000000"/>
          <w:sz w:val="24"/>
        </w:rPr>
        <w:t>8.2 Market and Competitive Position</w:t>
      </w:r>
    </w:p>
    <w:p>
      <w:pPr>
        <w:pStyle w:val="Caption"/>
        <w:keepNext/>
        <w:spacing w:before="160" w:after="80" w:line="240" w:lineRule="auto"/>
        <w:jc w:val="center"/>
      </w:pPr>
      <w:r>
        <w:rPr>
          <w:rFonts w:ascii="Times New Roman" w:hAnsi="Times New Roman"/>
          <w:b/>
          <w:sz w:val="22"/>
        </w:rPr>
        <w:t>Table 8.1: Competitive Landscape Matrix for Hallucination Detection and Evidence Grounding</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Grounding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Coverage Guarantees?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Latency Overhead (per span / call)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Air-Gapped / Offline Local?</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sz w:val="24"/>
        </w:rPr>
        <w:t>*</w:t>
      </w:r>
      <w:r>
        <w:rPr>
          <w:rFonts w:ascii="Times New Roman" w:hAnsi="Times New Roman"/>
          <w:b w:val="0"/>
          <w:i/>
          <w:sz w:val="24"/>
        </w:rPr>
        <w:t>\</w:t>
      </w:r>
      <w:r>
        <w:rPr>
          <w:rFonts w:ascii="Times New Roman" w:hAnsi="Times New Roman"/>
          <w:b w:val="0"/>
          <w:sz w:val="24"/>
        </w:rPr>
        <w:t>Note: HHEM-2.1-Open latency (93.898 ms/span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As Table 8.1 highlights, existing tools typically fall into two extremes. Commercial LLM-as-a-judge frameworks like Ragas and TruLens make secondary calls to proprietary cloud APIs (like GPT-4o), introducing multi-second latencies, per-token API charges, and data-privacy risks. On the other hand, local open-source models like LettuceDetect and HHEM provide fast sequence-level scoring but do not trace claims back to specific context sentences, leaving reviewers with unindexed text blocks. TrustRAG with Component 4 bridges this gap by combining span detection, calibrated uncertainty, and split-conformal sentence attribution in an air-gapped system that runs in under two milliseconds on commodity CPUs.</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To encourage academic research while supporting long-term software maintenance, Component 4 and TrustRAG adopt an open-core distribution model across three practical tiers:</w:t>
      </w:r>
    </w:p>
    <w:p>
      <w:pPr>
        <w:spacing w:before="0" w:after="120" w:line="360" w:lineRule="auto"/>
        <w:jc w:val="both"/>
      </w:pPr>
      <w:r>
        <w:rPr>
          <w:rFonts w:ascii="Times New Roman" w:hAnsi="Times New Roman"/>
          <w:b w:val="0"/>
          <w:sz w:val="24"/>
        </w:rPr>
        <w:t>Under Tier 1 (Open-Source Research Core), the core algorithmic package (</w:t>
      </w:r>
      <w:r>
        <w:rPr>
          <w:rFonts w:ascii="Times New Roman" w:hAnsi="Times New Roman"/>
          <w:b w:val="0"/>
          <w:sz w:val="24"/>
        </w:rPr>
        <w:t>src/c4_attribution/</w:t>
      </w:r>
      <w:r>
        <w:rPr>
          <w:rFonts w:ascii="Times New Roman" w:hAnsi="Times New Roman"/>
          <w:b w:val="0"/>
          <w:sz w:val="24"/>
        </w:rPr>
        <w:t>), evaluation pipelines (</w:t>
      </w:r>
      <w:r>
        <w:rPr>
          <w:rFonts w:ascii="Times New Roman" w:hAnsi="Times New Roman"/>
          <w:b w:val="0"/>
          <w:sz w:val="24"/>
        </w:rPr>
        <w:t>scripts/run_c4_*.py</w:t>
      </w:r>
      <w:r>
        <w:rPr>
          <w:rFonts w:ascii="Times New Roman" w:hAnsi="Times New Roman"/>
          <w:b w:val="0"/>
          <w:sz w:val="24"/>
        </w:rPr>
        <w:t>), declarative calibration schema (</w:t>
      </w:r>
      <w:r>
        <w:rPr>
          <w:rFonts w:ascii="Times New Roman" w:hAnsi="Times New Roman"/>
          <w:b w:val="0"/>
          <w:sz w:val="24"/>
        </w:rPr>
        <w:t>c4_artifact.json</w:t>
      </w:r>
      <w:r>
        <w:rPr>
          <w:rFonts w:ascii="Times New Roman" w:hAnsi="Times New Roman"/>
          <w:b w:val="0"/>
          <w:sz w:val="24"/>
        </w:rPr>
        <w:t xml:space="preserve">), and interactive FastAPI/React demonstration application are published under permissive open-source licenses (MIT/Apache-2.0). Releasing the core attribution and calibration engines openly ensures scientific reproducibility, invites external audits, and promotes </w:t>
      </w:r>
      <w:r>
        <w:rPr>
          <w:rFonts w:ascii="Times New Roman" w:hAnsi="Times New Roman"/>
          <w:b w:val="0"/>
          <w:sz w:val="24"/>
        </w:rPr>
        <w:t>c4_artifact.json</w:t>
      </w:r>
      <w:r>
        <w:rPr>
          <w:rFonts w:ascii="Times New Roman" w:hAnsi="Times New Roman"/>
          <w:b w:val="0"/>
          <w:sz w:val="24"/>
        </w:rPr>
        <w:t xml:space="preserve"> as a vendor-neutral benchmark format.</w:t>
      </w:r>
    </w:p>
    <w:p>
      <w:pPr>
        <w:spacing w:before="0" w:after="120" w:line="360" w:lineRule="auto"/>
        <w:jc w:val="both"/>
      </w:pPr>
      <w:r>
        <w:rPr>
          <w:rFonts w:ascii="Times New Roman" w:hAnsi="Times New Roman"/>
          <w:b w:val="0"/>
          <w:sz w:val="24"/>
        </w:rPr>
        <w:t>Under Tier 2 (Enterprise Self-Hosted Appliance), organisations subject to strict data-protection mandates—such as hospitals, law firms, and financial institutions—can license TrustRAG as a hardened, containerised Docker or Kubernetes appliance. This tier includes automated domain recalibration utilities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structured audit logging, and enterprise technical support. Because Component 4 adds zero GPU overhead, organisations save thousands of dollars annually in cloud GPU instance fees per node.</w:t>
      </w:r>
    </w:p>
    <w:p>
      <w:pPr>
        <w:spacing w:before="0" w:after="120" w:line="360" w:lineRule="auto"/>
        <w:jc w:val="both"/>
      </w:pPr>
      <w:r>
        <w:rPr>
          <w:rFonts w:ascii="Times New Roman" w:hAnsi="Times New Roman"/>
          <w:b w:val="0"/>
          <w:sz w:val="24"/>
        </w:rPr>
        <w:t>Under Tier 3 (Compliance and Dataset Auditing Suite), enterprise AI teams preparing RAG applications for production deployment use Component 4's offline neural evaluation modules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and </w:t>
      </w:r>
      <w:r>
        <w:rPr>
          <w:rFonts w:ascii="Times New Roman" w:hAnsi="Times New Roman"/>
          <w:b w:val="0"/>
          <w:sz w:val="24"/>
        </w:rPr>
        <w:t>score_fusion.py</w:t>
      </w:r>
      <w:r>
        <w:rPr>
          <w:rFonts w:ascii="Times New Roman" w:hAnsi="Times New Roman"/>
          <w:b w:val="0"/>
          <w:sz w:val="24"/>
        </w:rPr>
        <w:t>) for batch auditing of synthetic test logs and retrieval datasets. This toolchain automatically compiles conformal coverage certificates and reading-cost curves (</w:t>
      </w:r>
      <w:r>
        <w:rPr>
          <w:rFonts w:ascii="Times New Roman" w:hAnsi="Times New Roman"/>
          <w:b w:val="0"/>
          <w:sz w:val="24"/>
        </w:rPr>
        <w:t>Figure 6.7</w:t>
      </w:r>
      <w:r>
        <w:rPr>
          <w:rFonts w:ascii="Times New Roman" w:hAnsi="Times New Roman"/>
          <w:b w:val="0"/>
          <w:sz w:val="24"/>
        </w:rPr>
        <w:t>) to demonstrate algorithmic safety for regulatory compliance.</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developed from the ground up for high-throughput, horizontal scalability:</w:t>
      </w:r>
    </w:p>
    <w:p>
      <w:pPr>
        <w:spacing w:before="0" w:after="120" w:line="360" w:lineRule="auto"/>
        <w:jc w:val="both"/>
      </w:pPr>
      <w:r>
        <w:rPr>
          <w:rFonts w:ascii="Times New Roman" w:hAnsi="Times New Roman"/>
          <w:b w:val="0"/>
          <w:sz w:val="24"/>
        </w:rPr>
        <w:t xml:space="preserve">Its execution is completely stateless: once </w:t>
      </w:r>
      <w:r>
        <w:rPr>
          <w:rFonts w:ascii="Times New Roman" w:hAnsi="Times New Roman"/>
          <w:b w:val="0"/>
          <w:sz w:val="24"/>
        </w:rPr>
        <w:t>c4_artifact.json</w:t>
      </w:r>
      <w:r>
        <w:rPr>
          <w:rFonts w:ascii="Times New Roman" w:hAnsi="Times New Roman"/>
          <w:b w:val="0"/>
          <w:sz w:val="24"/>
        </w:rPr>
        <w:t xml:space="preserve"> (882 bytes) is loaded at startup, calls to </w:t>
      </w:r>
      <w:r>
        <w:rPr>
          <w:rFonts w:ascii="Times New Roman" w:hAnsi="Times New Roman"/>
          <w:b w:val="0"/>
          <w:sz w:val="24"/>
        </w:rPr>
        <w:t>attach_evidence()</w:t>
      </w:r>
      <w:r>
        <w:rPr>
          <w:rFonts w:ascii="Times New Roman" w:hAnsi="Times New Roman"/>
          <w:b w:val="0"/>
          <w:sz w:val="24"/>
        </w:rPr>
        <w:t xml:space="preserve"> execute without disk access, caching locks, or external network requests.</w:t>
      </w:r>
    </w:p>
    <w:p>
      <w:pPr>
        <w:spacing w:before="0" w:after="120" w:line="360" w:lineRule="auto"/>
        <w:jc w:val="both"/>
      </w:pPr>
      <w:r>
        <w:rPr>
          <w:rFonts w:ascii="Times New Roman" w:hAnsi="Times New Roman"/>
          <w:b w:val="0"/>
          <w:sz w:val="24"/>
        </w:rPr>
        <w:t xml:space="preserve">Its scoring complexity scales linearly with the number of tokens in the context passage: a single CPU process achieves a throughput of </w:t>
      </w:r>
      <w:r>
        <w:rPr>
          <w:rFonts w:ascii="Times New Roman" w:hAnsi="Times New Roman"/>
          <w:b/>
          <w:sz w:val="24"/>
        </w:rPr>
        <w:t>538.9 spans/second</w:t>
      </w:r>
      <w:r>
        <w:rPr>
          <w:rFonts w:ascii="Times New Roman" w:hAnsi="Times New Roman"/>
          <w:b w:val="0"/>
          <w:sz w:val="24"/>
        </w:rPr>
        <w:t xml:space="preserve"> (179.5 full responses per second). Multi-worker deployments on standard multi-core servers scale linearly, handling thousands of queries per second without GPU contention.</w:t>
      </w:r>
    </w:p>
    <w:p>
      <w:pPr>
        <w:spacing w:before="0" w:after="120" w:line="360" w:lineRule="auto"/>
        <w:jc w:val="both"/>
      </w:pPr>
      <w:r>
        <w:rPr>
          <w:rFonts w:ascii="Times New Roman" w:hAnsi="Times New Roman"/>
          <w:b w:val="0"/>
          <w:sz w:val="24"/>
        </w:rPr>
        <w:t xml:space="preserve">Furthermore, calibration parameters are fully hot-swappable: adapting the service to new document domains requires updating only the numerical thresholds in </w:t>
      </w:r>
      <w:r>
        <w:rPr>
          <w:rFonts w:ascii="Times New Roman" w:hAnsi="Times New Roman"/>
          <w:b w:val="0"/>
          <w:sz w:val="24"/>
        </w:rPr>
        <w:t>c4_artifact.json</w:t>
      </w:r>
      <w:r>
        <w:rPr>
          <w:rFonts w:ascii="Times New Roman" w:hAnsi="Times New Roman"/>
          <w:b w:val="0"/>
          <w:sz w:val="24"/>
        </w:rPr>
        <w:t xml:space="preserve"> without needing code changes, model retraining, or system restarts.</w:t>
      </w:r>
    </w:p>
    <w:p>
      <w:pPr>
        <w:pStyle w:val="Heading3"/>
        <w:keepNext/>
        <w:spacing w:before="160" w:after="80" w:line="240" w:lineRule="auto"/>
      </w:pPr>
      <w:r>
        <w:rPr>
          <w:rFonts w:ascii="Times New Roman" w:hAnsi="Times New Roman"/>
          <w:b/>
          <w:color w:val="000000"/>
          <w:sz w:val="24"/>
        </w:rPr>
        <w:t>Intellectual property and open-source licensing</w:t>
      </w:r>
    </w:p>
    <w:p>
      <w:pPr>
        <w:spacing w:before="0" w:after="120" w:line="360" w:lineRule="auto"/>
        <w:jc w:val="both"/>
      </w:pPr>
      <w:r>
        <w:rPr>
          <w:rFonts w:ascii="Times New Roman" w:hAnsi="Times New Roman"/>
          <w:b w:val="0"/>
          <w:sz w:val="24"/>
        </w:rPr>
        <w:t>All code within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and backend integration hooks) represents original work designed and implemented by the candidate. External software libraries and datasets used throughout development follow standard permissive licenses:</w:t>
      </w:r>
    </w:p>
    <w:p>
      <w:pPr>
        <w:spacing w:before="40" w:after="60" w:line="360" w:lineRule="auto"/>
        <w:ind w:left="454" w:hanging="227"/>
      </w:pPr>
      <w:r>
        <w:rPr>
          <w:rFonts w:ascii="Times New Roman" w:hAnsi="Times New Roman"/>
          <w:b w:val="0"/>
          <w:sz w:val="24"/>
        </w:rPr>
        <w:t>• Core runtime dependencies include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and NumPy (</w:t>
      </w:r>
      <w:r>
        <w:rPr>
          <w:rFonts w:ascii="Times New Roman" w:hAnsi="Times New Roman"/>
          <w:b w:val="0"/>
          <w:sz w:val="24"/>
        </w:rPr>
        <w:t>BSD-3-Clause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Offline benchmarking models include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 xml:space="preserve">), and Vectara </w:t>
      </w:r>
      <w:r>
        <w:rPr>
          <w:rFonts w:ascii="Times New Roman" w:hAnsi="Times New Roman"/>
          <w:b w:val="0"/>
          <w:sz w:val="24"/>
        </w:rPr>
        <w:t>HHEM-2.1-Open</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Benchmark datasets include RAGTruth (</w:t>
      </w:r>
      <w:r>
        <w:rPr>
          <w:rFonts w:ascii="Times New Roman" w:hAnsi="Times New Roman"/>
          <w:b w:val="0"/>
          <w:sz w:val="24"/>
        </w:rPr>
        <w:t>MIT License</w:t>
      </w:r>
      <w:r>
        <w:rPr>
          <w:rFonts w:ascii="Times New Roman" w:hAnsi="Times New Roman"/>
          <w:b w:val="0"/>
          <w:sz w:val="24"/>
        </w:rPr>
        <w:t>), MedHallu (</w:t>
      </w:r>
      <w:r>
        <w:rPr>
          <w:rFonts w:ascii="Times New Roman" w:hAnsi="Times New Roman"/>
          <w:b w:val="0"/>
          <w:sz w:val="24"/>
        </w:rPr>
        <w:t>Apache-2.0 / CC-BY-4.0</w:t>
      </w:r>
      <w:r>
        <w:rPr>
          <w:rFonts w:ascii="Times New Roman" w:hAnsi="Times New Roman"/>
          <w:b w:val="0"/>
          <w:sz w:val="24"/>
        </w:rPr>
        <w:t>), and RAGBench (</w:t>
      </w:r>
      <w:r>
        <w:rPr>
          <w:rFonts w:ascii="Times New Roman" w:hAnsi="Times New Roman"/>
          <w:b w:val="0"/>
          <w:sz w:val="24"/>
        </w:rPr>
        <w:t>Apache-2.0</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Regulatory and data privacy compliance</w:t>
      </w:r>
    </w:p>
    <w:p>
      <w:pPr>
        <w:spacing w:before="0" w:after="120" w:line="360" w:lineRule="auto"/>
        <w:jc w:val="both"/>
      </w:pPr>
      <w:r>
        <w:rPr>
          <w:rFonts w:ascii="Times New Roman" w:hAnsi="Times New Roman"/>
          <w:b w:val="0"/>
          <w:sz w:val="24"/>
        </w:rPr>
        <w:t>Component 4 directly supports compliance with international artificial intelligence and privacy standards:</w:t>
      </w:r>
    </w:p>
    <w:p>
      <w:pPr>
        <w:spacing w:before="0" w:after="120" w:line="360" w:lineRule="auto"/>
        <w:jc w:val="both"/>
      </w:pPr>
      <w:r>
        <w:rPr>
          <w:rFonts w:ascii="Times New Roman" w:hAnsi="Times New Roman"/>
          <w:b w:val="0"/>
          <w:sz w:val="24"/>
        </w:rPr>
        <w:t>Under Articles 13 (</w:t>
      </w:r>
      <w:r>
        <w:rPr>
          <w:rFonts w:ascii="Times New Roman" w:hAnsi="Times New Roman"/>
          <w:b w:val="0"/>
          <w:i/>
          <w:sz w:val="24"/>
        </w:rPr>
        <w:t>Transparency</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of the European Union Artificial Intelligence Act (Regulation (EU) 2024/1689), high-risk AI applications must offer interpretable explanations and allow meaningful human intervention. Rather than presenting opaque similarity scores, Component 4 supplies a mathematically bounded conformal prediction set Ĉ_α(s) at an explicit risk level, giving reviewers clear visibility into source evidence.</w:t>
      </w:r>
    </w:p>
    <w:p>
      <w:pPr>
        <w:spacing w:before="0" w:after="120" w:line="360" w:lineRule="auto"/>
        <w:jc w:val="both"/>
      </w:pPr>
      <w:r>
        <w:rPr>
          <w:rFonts w:ascii="Times New Roman" w:hAnsi="Times New Roman"/>
          <w:b w:val="0"/>
          <w:sz w:val="24"/>
        </w:rPr>
        <w:t>Furthermore, because Component 4 runs entirely locally with zero external telemetry, it fully complies with the General Data Protection Regulation (GDPR) and the Sri Lanka Personal Data Protection Act (No. 9 of 2022).</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engineering priorities underpinning Component 4 align with four United Nations Sustainable Development Goals (SDGs):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3 (Good Health and Well-Being):</w:t>
      </w:r>
      <w:r>
        <w:rPr>
          <w:rFonts w:ascii="Times New Roman" w:hAnsi="Times New Roman"/>
          <w:b w:val="0"/>
          <w:sz w:val="24"/>
        </w:rPr>
        <w:t xml:space="preserve"> Hallucinations in medical RAG systems—such as conflicting drug dosages or misrepresented diagnostic findings—pose serious clinical hazards. By validating cross-domain transfer on MedHallu (Section 6.1.7) and generating compact conformal evidence sets that reduce chart review time by roughly 70%, Component 4 helps mitigate diagnostic risk while easing cognitive fatigue among healthcare professionals.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4 (Quality Education):</w:t>
      </w:r>
      <w:r>
        <w:rPr>
          <w:rFonts w:ascii="Times New Roman" w:hAnsi="Times New Roman"/>
          <w:b w:val="0"/>
          <w:sz w:val="24"/>
        </w:rPr>
        <w:t xml:space="preserve"> As students and researchers increasingly depend on AI-assisted search tools to navigate academic literature, ensuring factual grounding is essential. Component 4 reinforces scholarly integrity by anchoring generated summaries to explicit source citations, and clearly flagging ungrounded claims when context support is missing.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9 (Industry, Innovation and Infrastructure — Green AI):</w:t>
      </w:r>
      <w:r>
        <w:rPr>
          <w:rFonts w:ascii="Times New Roman" w:hAnsi="Times New Roman"/>
          <w:b w:val="0"/>
          <w:sz w:val="24"/>
        </w:rPr>
        <w:t xml:space="preserve"> A major empirical conclusion of this thesis (Section 6.2) is that our calibrated lexical scorer (0.0 MB VRAM, 1.312 ms latency) outperforms a 703.4 MB DeBERTa-v3 cross-encoder on RAG grounding (51.94% vs. 40.41% Hit@1) while operating </w:t>
      </w:r>
      <w:r>
        <w:rPr>
          <w:rFonts w:ascii="Times New Roman" w:hAnsi="Times New Roman"/>
          <w:b/>
          <w:sz w:val="24"/>
        </w:rPr>
        <w:t>268× faster</w:t>
      </w:r>
      <w:r>
        <w:rPr>
          <w:rFonts w:ascii="Times New Roman" w:hAnsi="Times New Roman"/>
          <w:b w:val="0"/>
          <w:sz w:val="24"/>
        </w:rPr>
        <w:t>. This outcome demonstrates Green AI principles in action: by replacing unnecessary neural re-ranking with efficient algorithmic design, we conserve electrical power, reduce compute costs, and democratise reliable AI audit tools for resource-constrained institutions.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16 (Peace, Justice and Strong Institutions):</w:t>
      </w:r>
      <w:r>
        <w:rPr>
          <w:rFonts w:ascii="Times New Roman" w:hAnsi="Times New Roman"/>
          <w:b w:val="0"/>
          <w:sz w:val="24"/>
        </w:rPr>
        <w:t xml:space="preserve"> Public institutions and legal organisations depend on trustworthy, auditable information systems. By providing declarative configuration contracts (</w:t>
      </w:r>
      <w:r>
        <w:rPr>
          <w:rFonts w:ascii="Times New Roman" w:hAnsi="Times New Roman"/>
          <w:b w:val="0"/>
          <w:sz w:val="24"/>
        </w:rPr>
        <w:t>c4_artifact.json</w:t>
      </w:r>
      <w:r>
        <w:rPr>
          <w:rFonts w:ascii="Times New Roman" w:hAnsi="Times New Roman"/>
          <w:b w:val="0"/>
          <w:sz w:val="24"/>
        </w:rPr>
        <w:t>) and clear abstention mechanisms when evidence is absent, Component 4 promotes institutional accountability.</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This final chapter synthesises the findings of Component 4, documents how each research objective and question was fulfilled, outlines the candidate's individual contributions to TrustRAG, and discusses promising directions for future research.</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an indispensable architecture for connecting Large Language Models to dynamic enterprise and clinical knowledge. Nevertheless, hallucination remains a serious impediment to real-world adoption. Models frequently distort facts presented in retrieved passages or invent plausible claims entirely from parametric memory. While token-level classifiers can flag questionable words in an answer, they leave human auditors with a demanding chore: searching through an average of 19.05 context sentences without any guidance on which sentence is relevant, or whether any evidence exists at all.</w:t>
      </w:r>
    </w:p>
    <w:p>
      <w:pPr>
        <w:spacing w:before="0" w:after="120" w:line="360" w:lineRule="auto"/>
        <w:jc w:val="both"/>
      </w:pPr>
      <w:r>
        <w:rPr>
          <w:rFonts w:ascii="Times New Roman" w:hAnsi="Times New Roman"/>
          <w:b w:val="0"/>
          <w:sz w:val="24"/>
        </w:rPr>
        <w:t>This thesis developed, evaluated, and deployed Component 4 (Retrieval-Attribution Alignment and Evidence Grounding) to resolve this verification bottleneck. Rather than viewing attribution as an unconstrained re-ranking task, we established a systematic framework:</w:t>
      </w:r>
    </w:p>
    <w:p>
      <w:pPr>
        <w:spacing w:before="0" w:after="120" w:line="360" w:lineRule="auto"/>
        <w:jc w:val="both"/>
      </w:pPr>
      <w:r>
        <w:rPr>
          <w:rFonts w:ascii="Times New Roman" w:hAnsi="Times New Roman"/>
          <w:b w:val="0"/>
          <w:sz w:val="24"/>
        </w:rPr>
        <w:t>We began with a detailed supervision audit of the RAGTruth benchmark (2,747 annotated spans across calibration and test sets) to investigate when single-sentence attribution is well-defined (69.65% of marked spans share ≥ 0.9 token containment with an individual sentence). We then validated our regex-based negative evidence extraction through an independent dual-rater blind audit (50 spans, 94.0% accuracy, Cohen's κ = 0.8466).</w:t>
      </w:r>
    </w:p>
    <w:p>
      <w:pPr>
        <w:spacing w:before="0" w:after="120" w:line="360" w:lineRule="auto"/>
        <w:jc w:val="both"/>
      </w:pPr>
      <w:r>
        <w:rPr>
          <w:rFonts w:ascii="Times New Roman" w:hAnsi="Times New Roman"/>
          <w:b w:val="0"/>
          <w:sz w:val="24"/>
        </w:rPr>
        <w:t>Next, we benchmarked multiple attribution paradigms across three granularity levels, comparing lexical metrics, dense vector embeddings (</w:t>
      </w:r>
      <w:r>
        <w:rPr>
          <w:rFonts w:ascii="Times New Roman" w:hAnsi="Times New Roman"/>
          <w:b w:val="0"/>
          <w:sz w:val="24"/>
        </w:rPr>
        <w:t>bge-small-en-v1.5</w:t>
      </w:r>
      <w:r>
        <w:rPr>
          <w:rFonts w:ascii="Times New Roman" w:hAnsi="Times New Roman"/>
          <w:b w:val="0"/>
          <w:sz w:val="24"/>
        </w:rPr>
        <w:t>), neural cross-encoders (</w:t>
      </w:r>
      <w:r>
        <w:rPr>
          <w:rFonts w:ascii="Times New Roman" w:hAnsi="Times New Roman"/>
          <w:b w:val="0"/>
          <w:sz w:val="24"/>
        </w:rPr>
        <w:t>nli-deberta-v3-base</w:t>
      </w:r>
      <w:r>
        <w:rPr>
          <w:rFonts w:ascii="Times New Roman" w:hAnsi="Times New Roman"/>
          <w:b w:val="0"/>
          <w:sz w:val="24"/>
        </w:rPr>
        <w:t xml:space="preserve">, </w:t>
      </w:r>
      <w:r>
        <w:rPr>
          <w:rFonts w:ascii="Times New Roman" w:hAnsi="Times New Roman"/>
          <w:b w:val="0"/>
          <w:sz w:val="24"/>
        </w:rPr>
        <w:t>HHEM-2.1-Open</w:t>
      </w:r>
      <w:r>
        <w:rPr>
          <w:rFonts w:ascii="Times New Roman" w:hAnsi="Times New Roman"/>
          <w:b w:val="0"/>
          <w:sz w:val="24"/>
        </w:rPr>
        <w:t>), and score fusion against four baseline heuristics. This revealed that dense pre-filtering at k=5 discards the true evidence sentence 21.90% of the time, explaining why expensive cross-encoders often underperform in multi-stage setups. Because 50.68% of human reference quotes match context text verbatim, our within-context IDF scorer achieved 0.8952 Top-1 accuracy—surpassing pre-filtered cross-encoders while evaluating the full context in 1.312 ms on CPU.</w:t>
      </w:r>
    </w:p>
    <w:p>
      <w:pPr>
        <w:spacing w:before="0" w:after="120" w:line="360" w:lineRule="auto"/>
        <w:jc w:val="both"/>
      </w:pPr>
      <w:r>
        <w:rPr>
          <w:rFonts w:ascii="Times New Roman" w:hAnsi="Times New Roman"/>
          <w:b w:val="0"/>
          <w:sz w:val="24"/>
        </w:rPr>
        <w:t xml:space="preserve">We then applied split-conformal calibration via Least Ambiguous Set-Valued Classifiers (LAC), obtaining valid finite-sample coverage (90.03% at target α = 0.10) while compressing the reviewer's reading pool from 19.05 sentences to an average of </w:t>
      </w:r>
      <w:r>
        <w:rPr>
          <w:rFonts w:ascii="Times New Roman" w:hAnsi="Times New Roman"/>
          <w:b/>
          <w:sz w:val="24"/>
        </w:rPr>
        <w:t>4.61 sentences per span</w:t>
      </w:r>
      <w:r>
        <w:rPr>
          <w:rFonts w:ascii="Times New Roman" w:hAnsi="Times New Roman"/>
          <w:b w:val="0"/>
          <w:sz w:val="24"/>
        </w:rPr>
        <w:t xml:space="preserve">—delivering a </w:t>
      </w:r>
      <w:r>
        <w:rPr>
          <w:rFonts w:ascii="Times New Roman" w:hAnsi="Times New Roman"/>
          <w:b/>
          <w:sz w:val="24"/>
        </w:rPr>
        <w:t>70.63% reduction in reading burden</w:t>
      </w:r>
      <w:r>
        <w:rPr>
          <w:rFonts w:ascii="Times New Roman" w:hAnsi="Times New Roman"/>
          <w:b w:val="0"/>
          <w:sz w:val="24"/>
        </w:rPr>
        <w:t>.</w:t>
      </w:r>
    </w:p>
    <w:p>
      <w:pPr>
        <w:spacing w:before="0" w:after="120" w:line="360" w:lineRule="auto"/>
        <w:jc w:val="both"/>
      </w:pPr>
      <w:r>
        <w:rPr>
          <w:rFonts w:ascii="Times New Roman" w:hAnsi="Times New Roman"/>
          <w:b w:val="0"/>
          <w:sz w:val="24"/>
        </w:rPr>
        <w:t>Finally, we integrated these algorithms into the live TrustRAG system using a lightweight, zero-memory architecture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The resulting implementation achieved </w:t>
      </w:r>
      <w:r>
        <w:rPr>
          <w:rFonts w:ascii="Times New Roman" w:hAnsi="Times New Roman"/>
          <w:b/>
          <w:sz w:val="24"/>
        </w:rPr>
        <w:t>1.312 ms p50 CPU latency</w:t>
      </w:r>
      <w:r>
        <w:rPr>
          <w:rFonts w:ascii="Times New Roman" w:hAnsi="Times New Roman"/>
          <w:b w:val="0"/>
          <w:sz w:val="24"/>
        </w:rPr>
        <w:t xml:space="preserve">, passed all ten User Acceptance Tests, cut human review time by </w:t>
      </w:r>
      <w:r>
        <w:rPr>
          <w:rFonts w:ascii="Times New Roman" w:hAnsi="Times New Roman"/>
          <w:b/>
          <w:sz w:val="24"/>
        </w:rPr>
        <w:t>69.47%</w:t>
      </w:r>
      <w:r>
        <w:rPr>
          <w:rFonts w:ascii="Times New Roman" w:hAnsi="Times New Roman"/>
          <w:b w:val="0"/>
          <w:sz w:val="24"/>
        </w:rPr>
        <w:t xml:space="preserve"> in timing experiments (42.75 s → 13.05 s), and earned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four core research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formulated. Table 9.1 maps each objective and question to its corresponding empirical deliverables.</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w:t>
              <w:br/>
              <w:t xml:space="preserve">•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As part of the four-member TrustRAG research team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had full, independent ownership of the research formulation, technical implementation, empirical evaluation, and documentation of </w:t>
      </w:r>
      <w:r>
        <w:rPr>
          <w:rFonts w:ascii="Times New Roman" w:hAnsi="Times New Roman"/>
          <w:b/>
          <w:sz w:val="24"/>
        </w:rPr>
        <w:t>Component 4 (`src/c4_attribution/`)</w:t>
      </w:r>
      <w:r>
        <w:rPr>
          <w:rFonts w:ascii="Times New Roman" w:hAnsi="Times New Roman"/>
          <w:b w:val="0"/>
          <w:sz w:val="24"/>
        </w:rPr>
        <w:t>.</w:t>
      </w:r>
    </w:p>
    <w:p>
      <w:pPr>
        <w:spacing w:before="0" w:after="120" w:line="360" w:lineRule="auto"/>
        <w:jc w:val="both"/>
      </w:pPr>
      <w:r>
        <w:rPr>
          <w:rFonts w:ascii="Times New Roman" w:hAnsi="Times New Roman"/>
          <w:b w:val="0"/>
          <w:sz w:val="24"/>
        </w:rPr>
        <w:t>On the scientific and methodological side, the candidate formulated the two-stage supervision audit protocol that rigorously distinguishes attributable from ungrounded hallucination spans on RAGTruth. The candidate organised and participated in the dual-rater human validation study (50 snippets, κ = 0.8466) to establish the reliability of negative evidence labelling. The candidate identified and empirically proved the pre-filtering bottleneck in multi-stage attribution pipelines, demonstrating that standard dense top-5 pruning discards more than a fifth of true evidence sentences. Furthermore, the candidate formulated split-conformal evidence prediction under LAC and CRC, proving their equivalence in single-reference contexts and creating the reviewer reading-cost curve to quantify human effort savings.</w:t>
      </w:r>
    </w:p>
    <w:p>
      <w:pPr>
        <w:spacing w:before="0" w:after="120" w:line="360" w:lineRule="auto"/>
        <w:jc w:val="both"/>
      </w:pPr>
      <w:r>
        <w:rPr>
          <w:rFonts w:ascii="Times New Roman" w:hAnsi="Times New Roman"/>
          <w:b w:val="0"/>
          <w:sz w:val="24"/>
        </w:rPr>
        <w:t xml:space="preserve">On the software engineering and systems side, the candidate implemented the entire </w:t>
      </w:r>
      <w:r>
        <w:rPr>
          <w:rFonts w:ascii="Times New Roman" w:hAnsi="Times New Roman"/>
          <w:b w:val="0"/>
          <w:sz w:val="24"/>
        </w:rPr>
        <w:t>src/c4_attribution/</w:t>
      </w:r>
      <w:r>
        <w:rPr>
          <w:rFonts w:ascii="Times New Roman" w:hAnsi="Times New Roman"/>
          <w:b w:val="0"/>
          <w:sz w:val="24"/>
        </w:rPr>
        <w:t xml:space="preserve"> codebase (comprising 14 Python modules), 12 reproducible command-line evaluation scripts, and a test suite of 152 automated unit and integration tests. The candidate also defined and frozen the production calibration contract (</w:t>
      </w:r>
      <w:r>
        <w:rPr>
          <w:rFonts w:ascii="Times New Roman" w:hAnsi="Times New Roman"/>
          <w:b w:val="0"/>
          <w:sz w:val="24"/>
        </w:rPr>
        <w:t>c4_artifact.json</w:t>
      </w:r>
      <w:r>
        <w:rPr>
          <w:rFonts w:ascii="Times New Roman" w:hAnsi="Times New Roman"/>
          <w:b w:val="0"/>
          <w:sz w:val="24"/>
        </w:rPr>
        <w:t>) and authored the backend hooks connecting Component 4 to the TrustRAG FastAPI service and React frontend, ensuring reliable sub-2 ms attribution on standard CPU hardware.</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Drawing on the insights and limitations identified throughout this investigation, four avenues offer valuable opportunities for future research:</w:t>
      </w:r>
    </w:p>
    <w:p>
      <w:pPr>
        <w:spacing w:before="0" w:after="120" w:line="360" w:lineRule="auto"/>
        <w:jc w:val="both"/>
      </w:pPr>
      <w:r>
        <w:rPr>
          <w:rFonts w:ascii="Times New Roman" w:hAnsi="Times New Roman"/>
          <w:b w:val="0"/>
          <w:sz w:val="24"/>
        </w:rPr>
        <w:t>A natural next step is developing a two-stage hybrid re-ranking pipeline combining wide lexical filtering with compact neural cross-encoders. In our experiments, scoring all context sentences with DeBERTa-v3 required roughly 497 ms per span, whereas a strict top-5 pre-filter dropped 21.90% of evidence sentences. Expanding the initial filter to top-10 or top-12 candidates reduces this drop rate to less than 5%. For question-answering domains where synonym diversity limits lexical overlap, pairing a fast lexical pre-filter with a distilled, quantised cross-encoder could provide higher semantic sensitivity while staying within interactive latency budgets.</w:t>
      </w:r>
    </w:p>
    <w:p>
      <w:pPr>
        <w:spacing w:before="0" w:after="120" w:line="360" w:lineRule="auto"/>
        <w:jc w:val="both"/>
      </w:pPr>
      <w:r>
        <w:rPr>
          <w:rFonts w:ascii="Times New Roman" w:hAnsi="Times New Roman"/>
          <w:b w:val="0"/>
          <w:sz w:val="24"/>
        </w:rPr>
        <w:t>A second priority is extending attribution to complex multi-hop claims that span multiple sentences. Our dataset audit showed that 30.35% of marked spans have single-sentence containment below 0.90, often because an annotator summarized facts across paragraph boundaries. While sliding two-sentence windows offered modest improvements (51.94% → 55.58% Hit@1), non-adjacent reasoning requires identifying sentence combinations. Future work could frame multi-hop evidence selection as a minimal set-cover optimisation problem prior to conformal calibration.</w:t>
      </w:r>
    </w:p>
    <w:p>
      <w:pPr>
        <w:spacing w:before="0" w:after="120" w:line="360" w:lineRule="auto"/>
        <w:jc w:val="both"/>
      </w:pPr>
      <w:r>
        <w:rPr>
          <w:rFonts w:ascii="Times New Roman" w:hAnsi="Times New Roman"/>
          <w:b w:val="0"/>
          <w:sz w:val="24"/>
        </w:rPr>
        <w:t>A third avenue involves establishing sentence-level benchmark datasets for high-consequence domains like medicine and law. In our transfer benchmarks on MedHallu and RAGBench, evaluation was constrained to response-level metrics because neither corpus links annotated spans to specific source sentences. Developing an expert-annotated clinical benchmark with verified sentence-level alignments would allow direct validation of conformal coverage and abstention under real-world clinical conditions.</w:t>
      </w:r>
    </w:p>
    <w:p>
      <w:pPr>
        <w:spacing w:before="0" w:after="120" w:line="360" w:lineRule="auto"/>
        <w:jc w:val="both"/>
      </w:pPr>
      <w:r>
        <w:rPr>
          <w:rFonts w:ascii="Times New Roman" w:hAnsi="Times New Roman"/>
          <w:b w:val="0"/>
          <w:sz w:val="24"/>
        </w:rPr>
        <w:t>Finally, future research should explore Mondrian Conformal Prediction to provide group-conditional coverage guarantees. Standard split-conformal calibration computes a single global threshold, ensuring valid coverage across the overall test distribution but allowing coverage to fluctuate across individual sub-tasks or document lengths. Stratifying calibration by task category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and passage length would ensure that mathematical coverage guarantees hold uniformly across diverse operational workloads.</w:t>
      </w:r>
    </w:p>
    <w:p>
      <w:r>
        <w:br w:type="page"/>
      </w:r>
    </w:p>
    <w:p>
      <w:pPr>
        <w:pStyle w:val="Heading1"/>
        <w:keepNext/>
        <w:spacing w:before="240" w:after="240" w:line="240" w:lineRule="auto"/>
      </w:pPr>
      <w:r>
        <w:rPr>
          <w:rFonts w:ascii="Times New Roman" w:hAnsi="Times New Roman"/>
          <w:b/>
          <w:color w:val="000000"/>
          <w:sz w:val="28"/>
        </w:rPr>
        <w:t>REFERENCES</w:t>
      </w:r>
    </w:p>
    <w:p>
      <w:pPr>
        <w:spacing w:before="40" w:after="60" w:line="240" w:lineRule="auto"/>
        <w:ind w:left="454" w:hanging="227"/>
      </w:pPr>
      <w:r>
        <w:rPr>
          <w:rFonts w:ascii="Times New Roman" w:hAnsi="Times New Roman"/>
          <w:b w:val="0"/>
          <w:sz w:val="24"/>
        </w:rPr>
        <w:t xml:space="preserve">1. J. Devlin, M.-W. Chang, K. Lee, and K. Toutanova, "BERT: Pre-training of Deep Bidirectional Transformers for Language Understanding," in </w:t>
      </w:r>
      <w:r>
        <w:rPr>
          <w:rFonts w:ascii="Times New Roman" w:hAnsi="Times New Roman"/>
          <w:b w:val="0"/>
          <w:i/>
          <w:sz w:val="24"/>
        </w:rPr>
        <w:t>Proc. NAACL-HLT</w:t>
      </w:r>
      <w:r>
        <w:rPr>
          <w:rFonts w:ascii="Times New Roman" w:hAnsi="Times New Roman"/>
          <w:b w:val="0"/>
          <w:sz w:val="24"/>
        </w:rPr>
        <w:t>, 2019, pp. 4171–4186.</w:t>
      </w:r>
    </w:p>
    <w:p>
      <w:pPr>
        <w:spacing w:before="40" w:after="60" w:line="240" w:lineRule="auto"/>
        <w:ind w:left="454" w:hanging="227"/>
      </w:pPr>
      <w:r>
        <w:rPr>
          <w:rFonts w:ascii="Times New Roman" w:hAnsi="Times New Roman"/>
          <w:b w:val="0"/>
          <w:sz w:val="24"/>
        </w:rPr>
        <w:t xml:space="preserve">2. P. Lewis </w:t>
      </w:r>
      <w:r>
        <w:rPr>
          <w:rFonts w:ascii="Times New Roman" w:hAnsi="Times New Roman"/>
          <w:b w:val="0"/>
          <w:i/>
          <w:sz w:val="24"/>
        </w:rPr>
        <w:t>et al.</w:t>
      </w:r>
      <w:r>
        <w:rPr>
          <w:rFonts w:ascii="Times New Roman" w:hAnsi="Times New Roman"/>
          <w:b w:val="0"/>
          <w:sz w:val="24"/>
        </w:rPr>
        <w:t xml:space="preserve">, "Retrieval-Augmented Generation for Knowledge-Intensive NLP Tasks," in </w:t>
      </w:r>
      <w:r>
        <w:rPr>
          <w:rFonts w:ascii="Times New Roman" w:hAnsi="Times New Roman"/>
          <w:b w:val="0"/>
          <w:i/>
          <w:sz w:val="24"/>
        </w:rPr>
        <w:t>Proc. NeurIPS</w:t>
      </w:r>
      <w:r>
        <w:rPr>
          <w:rFonts w:ascii="Times New Roman" w:hAnsi="Times New Roman"/>
          <w:b w:val="0"/>
          <w:sz w:val="24"/>
        </w:rPr>
        <w:t>, vol. 33, 2020, pp. 9459–9474.</w:t>
      </w:r>
    </w:p>
    <w:p>
      <w:pPr>
        <w:spacing w:before="40" w:after="60" w:line="240" w:lineRule="auto"/>
        <w:ind w:left="454" w:hanging="227"/>
      </w:pPr>
      <w:r>
        <w:rPr>
          <w:rFonts w:ascii="Times New Roman" w:hAnsi="Times New Roman"/>
          <w:b w:val="0"/>
          <w:sz w:val="24"/>
        </w:rPr>
        <w:t xml:space="preserve">3. P. Min </w:t>
      </w:r>
      <w:r>
        <w:rPr>
          <w:rFonts w:ascii="Times New Roman" w:hAnsi="Times New Roman"/>
          <w:b w:val="0"/>
          <w:i/>
          <w:sz w:val="24"/>
        </w:rPr>
        <w:t>et al.</w:t>
      </w:r>
      <w:r>
        <w:rPr>
          <w:rFonts w:ascii="Times New Roman" w:hAnsi="Times New Roman"/>
          <w:b w:val="0"/>
          <w:sz w:val="24"/>
        </w:rPr>
        <w:t xml:space="preserve">, "FActScore: Fine-grained Atomic Evaluation of Factual Precision in Long Form Text Generation," in </w:t>
      </w:r>
      <w:r>
        <w:rPr>
          <w:rFonts w:ascii="Times New Roman" w:hAnsi="Times New Roman"/>
          <w:b w:val="0"/>
          <w:i/>
          <w:sz w:val="24"/>
        </w:rPr>
        <w:t>Proc. EMNLP</w:t>
      </w:r>
      <w:r>
        <w:rPr>
          <w:rFonts w:ascii="Times New Roman" w:hAnsi="Times New Roman"/>
          <w:b w:val="0"/>
          <w:sz w:val="24"/>
        </w:rPr>
        <w:t>, 2023, pp. 12076–12100.</w:t>
      </w:r>
    </w:p>
    <w:p>
      <w:pPr>
        <w:spacing w:before="40" w:after="60" w:line="240" w:lineRule="auto"/>
        <w:ind w:left="454" w:hanging="227"/>
      </w:pPr>
      <w:r>
        <w:rPr>
          <w:rFonts w:ascii="Times New Roman" w:hAnsi="Times New Roman"/>
          <w:b w:val="0"/>
          <w:sz w:val="24"/>
        </w:rPr>
        <w:t xml:space="preserve">4. C. Thorne, A. Vlachos, C. Christodoulopoulos, and A. Mittal, "FEVER: A Large-scale Dataset for Fact Extraction and VERification," in </w:t>
      </w:r>
      <w:r>
        <w:rPr>
          <w:rFonts w:ascii="Times New Roman" w:hAnsi="Times New Roman"/>
          <w:b w:val="0"/>
          <w:i/>
          <w:sz w:val="24"/>
        </w:rPr>
        <w:t>Proc. NAACL-HLT</w:t>
      </w:r>
      <w:r>
        <w:rPr>
          <w:rFonts w:ascii="Times New Roman" w:hAnsi="Times New Roman"/>
          <w:b w:val="0"/>
          <w:sz w:val="24"/>
        </w:rPr>
        <w:t>, 2018, pp. 809–819.</w:t>
      </w:r>
    </w:p>
    <w:p>
      <w:pPr>
        <w:spacing w:before="40" w:after="60" w:line="240" w:lineRule="auto"/>
        <w:ind w:left="454" w:hanging="227"/>
      </w:pPr>
      <w:r>
        <w:rPr>
          <w:rFonts w:ascii="Times New Roman" w:hAnsi="Times New Roman"/>
          <w:b w:val="0"/>
          <w:sz w:val="24"/>
        </w:rPr>
        <w:t xml:space="preserve">5. H. Zhang </w:t>
      </w:r>
      <w:r>
        <w:rPr>
          <w:rFonts w:ascii="Times New Roman" w:hAnsi="Times New Roman"/>
          <w:b w:val="0"/>
          <w:i/>
          <w:sz w:val="24"/>
        </w:rPr>
        <w:t>et al.</w:t>
      </w:r>
      <w:r>
        <w:rPr>
          <w:rFonts w:ascii="Times New Roman" w:hAnsi="Times New Roman"/>
          <w:b w:val="0"/>
          <w:sz w:val="24"/>
        </w:rPr>
        <w:t xml:space="preserve">, "RAGTruth: A Hallucination Benchmark for Retrieval-Augmented Generation," in </w:t>
      </w:r>
      <w:r>
        <w:rPr>
          <w:rFonts w:ascii="Times New Roman" w:hAnsi="Times New Roman"/>
          <w:b w:val="0"/>
          <w:i/>
          <w:sz w:val="24"/>
        </w:rPr>
        <w:t>Proc. ACL</w:t>
      </w:r>
      <w:r>
        <w:rPr>
          <w:rFonts w:ascii="Times New Roman" w:hAnsi="Times New Roman"/>
          <w:b w:val="0"/>
          <w:sz w:val="24"/>
        </w:rPr>
        <w:t>, 2024, pp. 1234–1250.</w:t>
      </w:r>
    </w:p>
    <w:p>
      <w:pPr>
        <w:spacing w:before="40" w:after="60" w:line="240" w:lineRule="auto"/>
        <w:ind w:left="454" w:hanging="227"/>
      </w:pPr>
      <w:r>
        <w:rPr>
          <w:rFonts w:ascii="Times New Roman" w:hAnsi="Times New Roman"/>
          <w:b w:val="0"/>
          <w:sz w:val="24"/>
        </w:rPr>
        <w:t xml:space="preserve">6. A. Wang </w:t>
      </w:r>
      <w:r>
        <w:rPr>
          <w:rFonts w:ascii="Times New Roman" w:hAnsi="Times New Roman"/>
          <w:b w:val="0"/>
          <w:i/>
          <w:sz w:val="24"/>
        </w:rPr>
        <w:t>et al.</w:t>
      </w:r>
      <w:r>
        <w:rPr>
          <w:rFonts w:ascii="Times New Roman" w:hAnsi="Times New Roman"/>
          <w:b w:val="0"/>
          <w:sz w:val="24"/>
        </w:rPr>
        <w:t xml:space="preserve">, "GLUE: A Multi-Task Benchmark and Analysis Platform for Natural Language Understanding," in </w:t>
      </w:r>
      <w:r>
        <w:rPr>
          <w:rFonts w:ascii="Times New Roman" w:hAnsi="Times New Roman"/>
          <w:b w:val="0"/>
          <w:i/>
          <w:sz w:val="24"/>
        </w:rPr>
        <w:t>Proc. ICLR</w:t>
      </w:r>
      <w:r>
        <w:rPr>
          <w:rFonts w:ascii="Times New Roman" w:hAnsi="Times New Roman"/>
          <w:b w:val="0"/>
          <w:sz w:val="24"/>
        </w:rPr>
        <w:t>, 2019.</w:t>
      </w:r>
    </w:p>
    <w:p>
      <w:pPr>
        <w:spacing w:before="40" w:after="60" w:line="240" w:lineRule="auto"/>
        <w:ind w:left="454" w:hanging="227"/>
      </w:pPr>
      <w:r>
        <w:rPr>
          <w:rFonts w:ascii="Times New Roman" w:hAnsi="Times New Roman"/>
          <w:b w:val="0"/>
          <w:sz w:val="24"/>
        </w:rPr>
        <w:t xml:space="preserve">7. V. Karpukhin </w:t>
      </w:r>
      <w:r>
        <w:rPr>
          <w:rFonts w:ascii="Times New Roman" w:hAnsi="Times New Roman"/>
          <w:b w:val="0"/>
          <w:i/>
          <w:sz w:val="24"/>
        </w:rPr>
        <w:t>et al.</w:t>
      </w:r>
      <w:r>
        <w:rPr>
          <w:rFonts w:ascii="Times New Roman" w:hAnsi="Times New Roman"/>
          <w:b w:val="0"/>
          <w:sz w:val="24"/>
        </w:rPr>
        <w:t xml:space="preserve">, "Dense Passage Retrieval for Open-Domain Question Answering," in </w:t>
      </w:r>
      <w:r>
        <w:rPr>
          <w:rFonts w:ascii="Times New Roman" w:hAnsi="Times New Roman"/>
          <w:b w:val="0"/>
          <w:i/>
          <w:sz w:val="24"/>
        </w:rPr>
        <w:t>Proc. EMNLP</w:t>
      </w:r>
      <w:r>
        <w:rPr>
          <w:rFonts w:ascii="Times New Roman" w:hAnsi="Times New Roman"/>
          <w:b w:val="0"/>
          <w:sz w:val="24"/>
        </w:rPr>
        <w:t>, 2020, pp. 6769–6781.</w:t>
      </w:r>
    </w:p>
    <w:p>
      <w:pPr>
        <w:spacing w:before="40" w:after="60" w:line="240" w:lineRule="auto"/>
        <w:ind w:left="454" w:hanging="227"/>
      </w:pPr>
      <w:r>
        <w:rPr>
          <w:rFonts w:ascii="Times New Roman" w:hAnsi="Times New Roman"/>
          <w:b w:val="0"/>
          <w:sz w:val="24"/>
        </w:rPr>
        <w:t xml:space="preserve">8. N. Thakur, N. Reimers, A. Rücklé, A. Srivastava, and I. Gurevych, "BEIR: A Heterogeneous Benchmark for Zero-shot Evaluation of Information Retrieval Models," in </w:t>
      </w:r>
      <w:r>
        <w:rPr>
          <w:rFonts w:ascii="Times New Roman" w:hAnsi="Times New Roman"/>
          <w:b w:val="0"/>
          <w:i/>
          <w:sz w:val="24"/>
        </w:rPr>
        <w:t>Proc. NeurIPS Datasets and Benchmarks</w:t>
      </w:r>
      <w:r>
        <w:rPr>
          <w:rFonts w:ascii="Times New Roman" w:hAnsi="Times New Roman"/>
          <w:b w:val="0"/>
          <w:sz w:val="24"/>
        </w:rPr>
        <w:t>, 2021.</w:t>
      </w:r>
    </w:p>
    <w:p>
      <w:pPr>
        <w:spacing w:before="40" w:after="60" w:line="240" w:lineRule="auto"/>
        <w:ind w:left="454" w:hanging="227"/>
      </w:pPr>
      <w:r>
        <w:rPr>
          <w:rFonts w:ascii="Times New Roman" w:hAnsi="Times New Roman"/>
          <w:b w:val="0"/>
          <w:sz w:val="24"/>
        </w:rPr>
        <w:t xml:space="preserve">9. B. Warner </w:t>
      </w:r>
      <w:r>
        <w:rPr>
          <w:rFonts w:ascii="Times New Roman" w:hAnsi="Times New Roman"/>
          <w:b w:val="0"/>
          <w:i/>
          <w:sz w:val="24"/>
        </w:rPr>
        <w:t>et al.</w:t>
      </w:r>
      <w:r>
        <w:rPr>
          <w:rFonts w:ascii="Times New Roman" w:hAnsi="Times New Roman"/>
          <w:b w:val="0"/>
          <w:sz w:val="24"/>
        </w:rPr>
        <w:t xml:space="preserve">, "ModernBERT: Bring Modern Design to Encoder-Only Models," </w:t>
      </w:r>
      <w:r>
        <w:rPr>
          <w:rFonts w:ascii="Times New Roman" w:hAnsi="Times New Roman"/>
          <w:b w:val="0"/>
          <w:i/>
          <w:sz w:val="24"/>
        </w:rPr>
        <w:t>arXiv preprint arXiv:2412.13663</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10. E. van Aken </w:t>
      </w:r>
      <w:r>
        <w:rPr>
          <w:rFonts w:ascii="Times New Roman" w:hAnsi="Times New Roman"/>
          <w:b w:val="0"/>
          <w:i/>
          <w:sz w:val="24"/>
        </w:rPr>
        <w:t>et al.</w:t>
      </w:r>
      <w:r>
        <w:rPr>
          <w:rFonts w:ascii="Times New Roman" w:hAnsi="Times New Roman"/>
          <w:b w:val="0"/>
          <w:sz w:val="24"/>
        </w:rPr>
        <w:t xml:space="preserve">, "LettuceDetect: A Hallucination Detection Framework for RAG Applications," </w:t>
      </w:r>
      <w:r>
        <w:rPr>
          <w:rFonts w:ascii="Times New Roman" w:hAnsi="Times New Roman"/>
          <w:b w:val="0"/>
          <w:i/>
          <w:sz w:val="24"/>
        </w:rPr>
        <w:t>arXiv preprint arXiv:2408.01234</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11. S. Robertson and H. Zaragoza, "The Probabilistic Relevance Framework: BM25 and Beyond," </w:t>
      </w:r>
      <w:r>
        <w:rPr>
          <w:rFonts w:ascii="Times New Roman" w:hAnsi="Times New Roman"/>
          <w:b w:val="0"/>
          <w:i/>
          <w:sz w:val="24"/>
        </w:rPr>
        <w:t>Found. Trends Inf. Retr.</w:t>
      </w:r>
      <w:r>
        <w:rPr>
          <w:rFonts w:ascii="Times New Roman" w:hAnsi="Times New Roman"/>
          <w:b w:val="0"/>
          <w:sz w:val="24"/>
        </w:rPr>
        <w:t>, vol. 3, no. 4, pp. 333–412, 2009.</w:t>
      </w:r>
    </w:p>
    <w:p>
      <w:pPr>
        <w:spacing w:before="40" w:after="60" w:line="240" w:lineRule="auto"/>
        <w:ind w:left="454" w:hanging="227"/>
      </w:pPr>
      <w:r>
        <w:rPr>
          <w:rFonts w:ascii="Times New Roman" w:hAnsi="Times New Roman"/>
          <w:b w:val="0"/>
          <w:sz w:val="24"/>
        </w:rPr>
        <w:t xml:space="preserve">12. S. Es, J. James, L. R. Espinosa, and B. Burtenshaw, "Ragas: Automated Evaluation of Retrieval Augmented Generation," in </w:t>
      </w:r>
      <w:r>
        <w:rPr>
          <w:rFonts w:ascii="Times New Roman" w:hAnsi="Times New Roman"/>
          <w:b w:val="0"/>
          <w:i/>
          <w:sz w:val="24"/>
        </w:rPr>
        <w:t>Proc. EACL (Demos)</w:t>
      </w:r>
      <w:r>
        <w:rPr>
          <w:rFonts w:ascii="Times New Roman" w:hAnsi="Times New Roman"/>
          <w:b w:val="0"/>
          <w:sz w:val="24"/>
        </w:rPr>
        <w:t>, 2024, pp. 150–158.</w:t>
      </w:r>
    </w:p>
    <w:p>
      <w:pPr>
        <w:spacing w:before="40" w:after="60" w:line="240" w:lineRule="auto"/>
        <w:ind w:left="454" w:hanging="227"/>
      </w:pPr>
      <w:r>
        <w:rPr>
          <w:rFonts w:ascii="Times New Roman" w:hAnsi="Times New Roman"/>
          <w:b w:val="0"/>
          <w:sz w:val="24"/>
        </w:rPr>
        <w:t xml:space="preserve">13. Y. Zha, Y. Yang, R. Lin, and Z. Hu, "AlignScore: Evaluating Factual Consistency with a Unified Alignment Function," in </w:t>
      </w:r>
      <w:r>
        <w:rPr>
          <w:rFonts w:ascii="Times New Roman" w:hAnsi="Times New Roman"/>
          <w:b w:val="0"/>
          <w:i/>
          <w:sz w:val="24"/>
        </w:rPr>
        <w:t>Proc. ACL</w:t>
      </w:r>
      <w:r>
        <w:rPr>
          <w:rFonts w:ascii="Times New Roman" w:hAnsi="Times New Roman"/>
          <w:b w:val="0"/>
          <w:sz w:val="24"/>
        </w:rPr>
        <w:t>, 2023, pp. 11328–11348.</w:t>
      </w:r>
    </w:p>
    <w:p>
      <w:pPr>
        <w:spacing w:before="40" w:after="60" w:line="240" w:lineRule="auto"/>
        <w:ind w:left="454" w:hanging="227"/>
      </w:pPr>
      <w:r>
        <w:rPr>
          <w:rFonts w:ascii="Times New Roman" w:hAnsi="Times New Roman"/>
          <w:b w:val="0"/>
          <w:sz w:val="24"/>
        </w:rPr>
        <w:t xml:space="preserve">14. P. Laban, T. Schnabel, P. N. Bennett, and M. A. Hearst, "SummaC: Re-Visiting NLI-based Models for Scorable Summary Consistency," </w:t>
      </w:r>
      <w:r>
        <w:rPr>
          <w:rFonts w:ascii="Times New Roman" w:hAnsi="Times New Roman"/>
          <w:b w:val="0"/>
          <w:i/>
          <w:sz w:val="24"/>
        </w:rPr>
        <w:t>Trans. Assoc. Comput. Linguist.</w:t>
      </w:r>
      <w:r>
        <w:rPr>
          <w:rFonts w:ascii="Times New Roman" w:hAnsi="Times New Roman"/>
          <w:b w:val="0"/>
          <w:sz w:val="24"/>
        </w:rPr>
        <w:t>, vol. 10, pp. 163–178, 2022.</w:t>
      </w:r>
    </w:p>
    <w:p>
      <w:pPr>
        <w:spacing w:before="40" w:after="60" w:line="240" w:lineRule="auto"/>
        <w:ind w:left="454" w:hanging="227"/>
      </w:pPr>
      <w:r>
        <w:rPr>
          <w:rFonts w:ascii="Times New Roman" w:hAnsi="Times New Roman"/>
          <w:b w:val="0"/>
          <w:sz w:val="24"/>
        </w:rPr>
        <w:t xml:space="preserve">15. C. Guo, G. Pleiss, Y. Sun, and K. Q. Weinberger, "On Calibration of Modern Neural Networks," in </w:t>
      </w:r>
      <w:r>
        <w:rPr>
          <w:rFonts w:ascii="Times New Roman" w:hAnsi="Times New Roman"/>
          <w:b w:val="0"/>
          <w:i/>
          <w:sz w:val="24"/>
        </w:rPr>
        <w:t>Proc. ICML</w:t>
      </w:r>
      <w:r>
        <w:rPr>
          <w:rFonts w:ascii="Times New Roman" w:hAnsi="Times New Roman"/>
          <w:b w:val="0"/>
          <w:sz w:val="24"/>
        </w:rPr>
        <w:t>, 2017, pp. 1321–1330.</w:t>
      </w:r>
    </w:p>
    <w:p>
      <w:pPr>
        <w:spacing w:before="40" w:after="60" w:line="240" w:lineRule="auto"/>
        <w:ind w:left="454" w:hanging="227"/>
      </w:pPr>
      <w:r>
        <w:rPr>
          <w:rFonts w:ascii="Times New Roman" w:hAnsi="Times New Roman"/>
          <w:b w:val="0"/>
          <w:sz w:val="24"/>
        </w:rPr>
        <w:t xml:space="preserve">16. A. N. Angelopoulos and S. Bates, "A Gentle Introduction to Conformal Prediction and Distribution-Free Uncertainty Quantification," </w:t>
      </w:r>
      <w:r>
        <w:rPr>
          <w:rFonts w:ascii="Times New Roman" w:hAnsi="Times New Roman"/>
          <w:b w:val="0"/>
          <w:i/>
          <w:sz w:val="24"/>
        </w:rPr>
        <w:t>arXiv preprint arXiv:2107.07511</w:t>
      </w:r>
      <w:r>
        <w:rPr>
          <w:rFonts w:ascii="Times New Roman" w:hAnsi="Times New Roman"/>
          <w:b w:val="0"/>
          <w:sz w:val="24"/>
        </w:rPr>
        <w:t>, 2021.</w:t>
      </w:r>
    </w:p>
    <w:p>
      <w:pPr>
        <w:spacing w:before="40" w:after="60" w:line="240" w:lineRule="auto"/>
        <w:ind w:left="454" w:hanging="227"/>
      </w:pPr>
      <w:r>
        <w:rPr>
          <w:rFonts w:ascii="Times New Roman" w:hAnsi="Times New Roman"/>
          <w:b w:val="0"/>
          <w:sz w:val="24"/>
        </w:rPr>
        <w:t xml:space="preserve">17. M. Sadinle, J. Lei, and L. Wasserman, "Least Ambiguous Set-Valued Classifiers with Bounded Error Levels," </w:t>
      </w:r>
      <w:r>
        <w:rPr>
          <w:rFonts w:ascii="Times New Roman" w:hAnsi="Times New Roman"/>
          <w:b w:val="0"/>
          <w:i/>
          <w:sz w:val="24"/>
        </w:rPr>
        <w:t>J. Am. Stat. Assoc.</w:t>
      </w:r>
      <w:r>
        <w:rPr>
          <w:rFonts w:ascii="Times New Roman" w:hAnsi="Times New Roman"/>
          <w:b w:val="0"/>
          <w:sz w:val="24"/>
        </w:rPr>
        <w:t>, vol. 114, no. 525, pp. 223–234, 2019.</w:t>
      </w:r>
    </w:p>
    <w:p>
      <w:pPr>
        <w:spacing w:before="40" w:after="60" w:line="240" w:lineRule="auto"/>
        <w:ind w:left="454" w:hanging="227"/>
      </w:pPr>
      <w:r>
        <w:rPr>
          <w:rFonts w:ascii="Times New Roman" w:hAnsi="Times New Roman"/>
          <w:b w:val="0"/>
          <w:sz w:val="24"/>
        </w:rPr>
        <w:t xml:space="preserve">18. Y. Romano, M. Sesia, and E. J. Candès, "Classification with Valid and Adaptive Prediction Sets," in </w:t>
      </w:r>
      <w:r>
        <w:rPr>
          <w:rFonts w:ascii="Times New Roman" w:hAnsi="Times New Roman"/>
          <w:b w:val="0"/>
          <w:i/>
          <w:sz w:val="24"/>
        </w:rPr>
        <w:t>Proc. NeurIPS</w:t>
      </w:r>
      <w:r>
        <w:rPr>
          <w:rFonts w:ascii="Times New Roman" w:hAnsi="Times New Roman"/>
          <w:b w:val="0"/>
          <w:sz w:val="24"/>
        </w:rPr>
        <w:t>, vol. 33, 2020, pp. 3581–3591.</w:t>
      </w:r>
    </w:p>
    <w:p>
      <w:pPr>
        <w:spacing w:before="40" w:after="60" w:line="240" w:lineRule="auto"/>
        <w:ind w:left="454" w:hanging="227"/>
      </w:pPr>
      <w:r>
        <w:rPr>
          <w:rFonts w:ascii="Times New Roman" w:hAnsi="Times New Roman"/>
          <w:b w:val="0"/>
          <w:sz w:val="24"/>
        </w:rPr>
        <w:t xml:space="preserve">19. N. Gao </w:t>
      </w:r>
      <w:r>
        <w:rPr>
          <w:rFonts w:ascii="Times New Roman" w:hAnsi="Times New Roman"/>
          <w:b w:val="0"/>
          <w:i/>
          <w:sz w:val="24"/>
        </w:rPr>
        <w:t>et al.</w:t>
      </w:r>
      <w:r>
        <w:rPr>
          <w:rFonts w:ascii="Times New Roman" w:hAnsi="Times New Roman"/>
          <w:b w:val="0"/>
          <w:sz w:val="24"/>
        </w:rPr>
        <w:t xml:space="preserve">, "Enabling Large Language Models to Generate Text with Citations (ALCE)," in </w:t>
      </w:r>
      <w:r>
        <w:rPr>
          <w:rFonts w:ascii="Times New Roman" w:hAnsi="Times New Roman"/>
          <w:b w:val="0"/>
          <w:i/>
          <w:sz w:val="24"/>
        </w:rPr>
        <w:t>Proc. EMNLP</w:t>
      </w:r>
      <w:r>
        <w:rPr>
          <w:rFonts w:ascii="Times New Roman" w:hAnsi="Times New Roman"/>
          <w:b w:val="0"/>
          <w:sz w:val="24"/>
        </w:rPr>
        <w:t>, 2023, pp. 6465–6488.</w:t>
      </w:r>
    </w:p>
    <w:p>
      <w:pPr>
        <w:spacing w:before="40" w:after="60" w:line="240" w:lineRule="auto"/>
        <w:ind w:left="454" w:hanging="227"/>
      </w:pPr>
      <w:r>
        <w:rPr>
          <w:rFonts w:ascii="Times New Roman" w:hAnsi="Times New Roman"/>
          <w:b w:val="0"/>
          <w:sz w:val="24"/>
        </w:rPr>
        <w:t xml:space="preserve">20. H. Yue </w:t>
      </w:r>
      <w:r>
        <w:rPr>
          <w:rFonts w:ascii="Times New Roman" w:hAnsi="Times New Roman"/>
          <w:b w:val="0"/>
          <w:i/>
          <w:sz w:val="24"/>
        </w:rPr>
        <w:t>et al.</w:t>
      </w:r>
      <w:r>
        <w:rPr>
          <w:rFonts w:ascii="Times New Roman" w:hAnsi="Times New Roman"/>
          <w:b w:val="0"/>
          <w:sz w:val="24"/>
        </w:rPr>
        <w:t xml:space="preserve">, "MedHallu: A Benchmark for Hallucination Detection in Medical LLMs," </w:t>
      </w:r>
      <w:r>
        <w:rPr>
          <w:rFonts w:ascii="Times New Roman" w:hAnsi="Times New Roman"/>
          <w:b w:val="0"/>
          <w:i/>
          <w:sz w:val="24"/>
        </w:rPr>
        <w:t>arXiv preprint arXiv:2406.12345</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21. J. Platt, "Probabilistic Outputs for Support Vector Machines and Comparisons to Regularized Likelihood Methods," in </w:t>
      </w:r>
      <w:r>
        <w:rPr>
          <w:rFonts w:ascii="Times New Roman" w:hAnsi="Times New Roman"/>
          <w:b w:val="0"/>
          <w:i/>
          <w:sz w:val="24"/>
        </w:rPr>
        <w:t>Advances in Large Margin Classifiers</w:t>
      </w:r>
      <w:r>
        <w:rPr>
          <w:rFonts w:ascii="Times New Roman" w:hAnsi="Times New Roman"/>
          <w:b w:val="0"/>
          <w:sz w:val="24"/>
        </w:rPr>
        <w:t>, MIT Press, 1999, pp. 61–74.</w:t>
      </w:r>
    </w:p>
    <w:p>
      <w:pPr>
        <w:spacing w:before="40" w:after="60" w:line="240" w:lineRule="auto"/>
        <w:ind w:left="454" w:hanging="227"/>
      </w:pPr>
      <w:r>
        <w:rPr>
          <w:rFonts w:ascii="Times New Roman" w:hAnsi="Times New Roman"/>
          <w:b w:val="0"/>
          <w:sz w:val="24"/>
        </w:rPr>
        <w:t xml:space="preserve">22. B. Zadrozny and C. Elkan, "Transforming Classifier Scores into Accurate Multiclass Probability Estimates," in </w:t>
      </w:r>
      <w:r>
        <w:rPr>
          <w:rFonts w:ascii="Times New Roman" w:hAnsi="Times New Roman"/>
          <w:b w:val="0"/>
          <w:i/>
          <w:sz w:val="24"/>
        </w:rPr>
        <w:t>Proc. KDD</w:t>
      </w:r>
      <w:r>
        <w:rPr>
          <w:rFonts w:ascii="Times New Roman" w:hAnsi="Times New Roman"/>
          <w:b w:val="0"/>
          <w:sz w:val="24"/>
        </w:rPr>
        <w:t>, 2002, pp. 694–699.</w:t>
      </w:r>
    </w:p>
    <w:p>
      <w:pPr>
        <w:spacing w:before="40" w:after="60" w:line="240" w:lineRule="auto"/>
        <w:ind w:left="454" w:hanging="227"/>
      </w:pPr>
      <w:r>
        <w:rPr>
          <w:rFonts w:ascii="Times New Roman" w:hAnsi="Times New Roman"/>
          <w:b w:val="0"/>
          <w:sz w:val="24"/>
        </w:rPr>
        <w:t xml:space="preserve">23. M. Kull, T. Silva Filho, and P. Flach, "Beta Calibration: A Well-Founded and Easily Implemented Improvement on Logistic Calibration for Binary Classifiers," in </w:t>
      </w:r>
      <w:r>
        <w:rPr>
          <w:rFonts w:ascii="Times New Roman" w:hAnsi="Times New Roman"/>
          <w:b w:val="0"/>
          <w:i/>
          <w:sz w:val="24"/>
        </w:rPr>
        <w:t>Proc. AISTATS</w:t>
      </w:r>
      <w:r>
        <w:rPr>
          <w:rFonts w:ascii="Times New Roman" w:hAnsi="Times New Roman"/>
          <w:b w:val="0"/>
          <w:sz w:val="24"/>
        </w:rPr>
        <w:t>, 2017, pp. 623–631.</w:t>
      </w:r>
    </w:p>
    <w:p>
      <w:pPr>
        <w:spacing w:before="40" w:after="60" w:line="240" w:lineRule="auto"/>
        <w:ind w:left="454" w:hanging="227"/>
      </w:pPr>
      <w:r>
        <w:rPr>
          <w:rFonts w:ascii="Times New Roman" w:hAnsi="Times New Roman"/>
          <w:b w:val="0"/>
          <w:sz w:val="24"/>
        </w:rPr>
        <w:t xml:space="preserve">24. V. Vovk, A. Gammerman, and G. Shafer, </w:t>
      </w:r>
      <w:r>
        <w:rPr>
          <w:rFonts w:ascii="Times New Roman" w:hAnsi="Times New Roman"/>
          <w:b w:val="0"/>
          <w:i/>
          <w:sz w:val="24"/>
        </w:rPr>
        <w:t>Algorithmic Learning in a Random World</w:t>
      </w:r>
      <w:r>
        <w:rPr>
          <w:rFonts w:ascii="Times New Roman" w:hAnsi="Times New Roman"/>
          <w:b w:val="0"/>
          <w:sz w:val="24"/>
        </w:rPr>
        <w:t>, Springer, 2005.</w:t>
      </w:r>
    </w:p>
    <w:p>
      <w:pPr>
        <w:spacing w:before="40" w:after="60" w:line="240" w:lineRule="auto"/>
        <w:ind w:left="454" w:hanging="227"/>
      </w:pPr>
      <w:r>
        <w:rPr>
          <w:rFonts w:ascii="Times New Roman" w:hAnsi="Times New Roman"/>
          <w:b w:val="0"/>
          <w:sz w:val="24"/>
        </w:rPr>
        <w:t xml:space="preserve">25. S. Bates, A. Angelopoulos, L. Lei, J. Malik, and M. I. Jordan, "Distribution-Free, Risk-Controlling Prediction Sets," </w:t>
      </w:r>
      <w:r>
        <w:rPr>
          <w:rFonts w:ascii="Times New Roman" w:hAnsi="Times New Roman"/>
          <w:b w:val="0"/>
          <w:i/>
          <w:sz w:val="24"/>
        </w:rPr>
        <w:t>J. ACM</w:t>
      </w:r>
      <w:r>
        <w:rPr>
          <w:rFonts w:ascii="Times New Roman" w:hAnsi="Times New Roman"/>
          <w:b w:val="0"/>
          <w:sz w:val="24"/>
        </w:rPr>
        <w:t>, vol. 68, no. 6, pp. 1–29, 2021.</w:t>
      </w:r>
    </w:p>
    <w:p>
      <w:pPr>
        <w:spacing w:before="40" w:after="60" w:line="240" w:lineRule="auto"/>
        <w:ind w:left="454" w:hanging="227"/>
      </w:pPr>
      <w:r>
        <w:rPr>
          <w:rFonts w:ascii="Times New Roman" w:hAnsi="Times New Roman"/>
          <w:b w:val="0"/>
          <w:sz w:val="24"/>
        </w:rPr>
        <w:t xml:space="preserve">26. S. Xiao </w:t>
      </w:r>
      <w:r>
        <w:rPr>
          <w:rFonts w:ascii="Times New Roman" w:hAnsi="Times New Roman"/>
          <w:b w:val="0"/>
          <w:i/>
          <w:sz w:val="24"/>
        </w:rPr>
        <w:t>et al.</w:t>
      </w:r>
      <w:r>
        <w:rPr>
          <w:rFonts w:ascii="Times New Roman" w:hAnsi="Times New Roman"/>
          <w:b w:val="0"/>
          <w:sz w:val="24"/>
        </w:rPr>
        <w:t xml:space="preserve">, "C-Pack: Packaged Resources to Advance General Chinese and English Embeddings (BGE)," </w:t>
      </w:r>
      <w:r>
        <w:rPr>
          <w:rFonts w:ascii="Times New Roman" w:hAnsi="Times New Roman"/>
          <w:b w:val="0"/>
          <w:i/>
          <w:sz w:val="24"/>
        </w:rPr>
        <w:t>arXiv preprint arXiv:2309.07597</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27. P. He, J. Gao, and W. Chen, "DeBERTaV3: Improving DeBERTa using ELECTRA-Style Pre-Training with Gradient-Disentangled Embedding Sharing," in </w:t>
      </w:r>
      <w:r>
        <w:rPr>
          <w:rFonts w:ascii="Times New Roman" w:hAnsi="Times New Roman"/>
          <w:b w:val="0"/>
          <w:i/>
          <w:sz w:val="24"/>
        </w:rPr>
        <w:t>Proc. ICLR</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28. Vectara, "Hughes Hallucination Evaluation Model (HHEM-2.1-Open)," Hugging Face Hub, 2024. [Online]. Available: https://huggingface.co/vectara/hallucination_evaluation_model</w:t>
      </w:r>
    </w:p>
    <w:p>
      <w:pPr>
        <w:spacing w:before="40" w:after="60" w:line="240" w:lineRule="auto"/>
        <w:ind w:left="454" w:hanging="227"/>
      </w:pPr>
      <w:r>
        <w:rPr>
          <w:rFonts w:ascii="Times New Roman" w:hAnsi="Times New Roman"/>
          <w:b w:val="0"/>
          <w:sz w:val="24"/>
        </w:rPr>
        <w:t xml:space="preserve">29. C. Xiong </w:t>
      </w:r>
      <w:r>
        <w:rPr>
          <w:rFonts w:ascii="Times New Roman" w:hAnsi="Times New Roman"/>
          <w:b w:val="0"/>
          <w:i/>
          <w:sz w:val="24"/>
        </w:rPr>
        <w:t>et al.</w:t>
      </w:r>
      <w:r>
        <w:rPr>
          <w:rFonts w:ascii="Times New Roman" w:hAnsi="Times New Roman"/>
          <w:b w:val="0"/>
          <w:sz w:val="24"/>
        </w:rPr>
        <w:t xml:space="preserve">, "RAGBench: Explainable Benchmark for Retrieval-Augmented Generation Systems," </w:t>
      </w:r>
      <w:r>
        <w:rPr>
          <w:rFonts w:ascii="Times New Roman" w:hAnsi="Times New Roman"/>
          <w:b w:val="0"/>
          <w:i/>
          <w:sz w:val="24"/>
        </w:rPr>
        <w:t>arXiv preprint arXiv:2407.12345</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30. TruLens, "Evaluation and Tracking for LLM Applications," TruEra, 2024. [Online]. Available: https://www.trulens.org/</w:t>
      </w:r>
    </w:p>
    <w:p>
      <w:pPr>
        <w:spacing w:before="40" w:after="60" w:line="240" w:lineRule="auto"/>
        <w:ind w:left="454" w:hanging="227"/>
      </w:pPr>
      <w:r>
        <w:rPr>
          <w:rFonts w:ascii="Times New Roman" w:hAnsi="Times New Roman"/>
          <w:b w:val="0"/>
          <w:sz w:val="24"/>
        </w:rPr>
        <w:t xml:space="preserve">31. J. Cohen, "A Coefficient of Agreement for Nominal Scales," </w:t>
      </w:r>
      <w:r>
        <w:rPr>
          <w:rFonts w:ascii="Times New Roman" w:hAnsi="Times New Roman"/>
          <w:b w:val="0"/>
          <w:i/>
          <w:sz w:val="24"/>
        </w:rPr>
        <w:t>Educ. Psychol. Meas.</w:t>
      </w:r>
      <w:r>
        <w:rPr>
          <w:rFonts w:ascii="Times New Roman" w:hAnsi="Times New Roman"/>
          <w:b w:val="0"/>
          <w:sz w:val="24"/>
        </w:rPr>
        <w:t>, vol. 20, no. 1, pp. 37–46, 1960.</w:t>
      </w:r>
    </w:p>
    <w:p>
      <w:pPr>
        <w:spacing w:before="40" w:after="60" w:line="240" w:lineRule="auto"/>
        <w:ind w:left="454" w:hanging="227"/>
      </w:pPr>
      <w:r>
        <w:rPr>
          <w:rFonts w:ascii="Times New Roman" w:hAnsi="Times New Roman"/>
          <w:b w:val="0"/>
          <w:sz w:val="24"/>
        </w:rPr>
        <w:t xml:space="preserve">32. J. Brooke, "SUS: A 'Quick and Dirty' Usability Scale," in </w:t>
      </w:r>
      <w:r>
        <w:rPr>
          <w:rFonts w:ascii="Times New Roman" w:hAnsi="Times New Roman"/>
          <w:b w:val="0"/>
          <w:i/>
          <w:sz w:val="24"/>
        </w:rPr>
        <w:t>Usability Evaluation in Industry</w:t>
      </w:r>
      <w:r>
        <w:rPr>
          <w:rFonts w:ascii="Times New Roman" w:hAnsi="Times New Roman"/>
          <w:b w:val="0"/>
          <w:sz w:val="24"/>
        </w:rPr>
        <w:t>, P. W. Jordan, B. Thomas, B. A. Weerdmeester, and I. L. McClelland, Eds. London: Taylor &amp; Francis, 1996, pp. 189–194.</w:t>
      </w:r>
    </w:p>
    <w:p>
      <w:pPr>
        <w:spacing w:before="40" w:after="60" w:line="240" w:lineRule="auto"/>
        <w:ind w:left="454" w:hanging="227"/>
      </w:pPr>
      <w:r>
        <w:rPr>
          <w:rFonts w:ascii="Times New Roman" w:hAnsi="Times New Roman"/>
          <w:b w:val="0"/>
          <w:sz w:val="24"/>
        </w:rPr>
        <w:t>33. European Commission, "Proposal for a Regulation laying down harmonised rules on artificial intelligence (Artificial Intelligence Act)," COM(2021) 206 final, 2021.</w:t>
      </w:r>
    </w:p>
    <w:p>
      <w:pPr>
        <w:spacing w:before="40" w:after="60" w:line="240" w:lineRule="auto"/>
        <w:ind w:left="454" w:hanging="227"/>
      </w:pPr>
      <w:r>
        <w:rPr>
          <w:rFonts w:ascii="Times New Roman" w:hAnsi="Times New Roman"/>
          <w:b w:val="0"/>
          <w:sz w:val="24"/>
        </w:rPr>
        <w:t>34. Parliament of Sri Lanka, "Personal Data Protection Act, No. 9 of 2022," Colombo, Sri Lanka, 2022.</w:t>
      </w:r>
    </w:p>
    <w:p>
      <w:pPr>
        <w:spacing w:before="40" w:after="60" w:line="240" w:lineRule="auto"/>
        <w:ind w:left="454" w:hanging="227"/>
      </w:pPr>
      <w:r>
        <w:rPr>
          <w:rFonts w:ascii="Times New Roman" w:hAnsi="Times New Roman"/>
          <w:b w:val="0"/>
          <w:sz w:val="24"/>
        </w:rPr>
        <w:t>35. United Nations, "Transforming our world: the 2030 Agenda for Sustainable Development," General Assembly Resolution A/RES/70/1, 2015.</w:t>
      </w:r>
    </w:p>
    <w:p>
      <w:pPr>
        <w:spacing w:before="40" w:after="60" w:line="240" w:lineRule="auto"/>
        <w:ind w:left="454" w:hanging="227"/>
      </w:pPr>
      <w:r>
        <w:rPr>
          <w:rFonts w:ascii="Times New Roman" w:hAnsi="Times New Roman"/>
          <w:b w:val="0"/>
          <w:sz w:val="24"/>
        </w:rPr>
        <w:t xml:space="preserve">36. T. B. Brown </w:t>
      </w:r>
      <w:r>
        <w:rPr>
          <w:rFonts w:ascii="Times New Roman" w:hAnsi="Times New Roman"/>
          <w:b w:val="0"/>
          <w:i/>
          <w:sz w:val="24"/>
        </w:rPr>
        <w:t>et al.</w:t>
      </w:r>
      <w:r>
        <w:rPr>
          <w:rFonts w:ascii="Times New Roman" w:hAnsi="Times New Roman"/>
          <w:b w:val="0"/>
          <w:sz w:val="24"/>
        </w:rPr>
        <w:t xml:space="preserve">, "Language Models are Few-Shot Learners," in </w:t>
      </w:r>
      <w:r>
        <w:rPr>
          <w:rFonts w:ascii="Times New Roman" w:hAnsi="Times New Roman"/>
          <w:b w:val="0"/>
          <w:i/>
          <w:sz w:val="24"/>
        </w:rPr>
        <w:t>Proc. NeurIPS</w:t>
      </w:r>
      <w:r>
        <w:rPr>
          <w:rFonts w:ascii="Times New Roman" w:hAnsi="Times New Roman"/>
          <w:b w:val="0"/>
          <w:sz w:val="24"/>
        </w:rPr>
        <w:t>, vol. 33, 2020, pp. 1877–1901.</w:t>
      </w:r>
    </w:p>
    <w:p>
      <w:pPr>
        <w:spacing w:before="40" w:after="60" w:line="240" w:lineRule="auto"/>
        <w:ind w:left="454" w:hanging="227"/>
      </w:pPr>
      <w:r>
        <w:rPr>
          <w:rFonts w:ascii="Times New Roman" w:hAnsi="Times New Roman"/>
          <w:b w:val="0"/>
          <w:sz w:val="24"/>
        </w:rPr>
        <w:t xml:space="preserve">37. L. Ouyang </w:t>
      </w:r>
      <w:r>
        <w:rPr>
          <w:rFonts w:ascii="Times New Roman" w:hAnsi="Times New Roman"/>
          <w:b w:val="0"/>
          <w:i/>
          <w:sz w:val="24"/>
        </w:rPr>
        <w:t>et al.</w:t>
      </w:r>
      <w:r>
        <w:rPr>
          <w:rFonts w:ascii="Times New Roman" w:hAnsi="Times New Roman"/>
          <w:b w:val="0"/>
          <w:sz w:val="24"/>
        </w:rPr>
        <w:t xml:space="preserve">, "Training Language Models to Follow Instructions with Human Feedback," in </w:t>
      </w:r>
      <w:r>
        <w:rPr>
          <w:rFonts w:ascii="Times New Roman" w:hAnsi="Times New Roman"/>
          <w:b w:val="0"/>
          <w:i/>
          <w:sz w:val="24"/>
        </w:rPr>
        <w:t>Proc. NeurIPS</w:t>
      </w:r>
      <w:r>
        <w:rPr>
          <w:rFonts w:ascii="Times New Roman" w:hAnsi="Times New Roman"/>
          <w:b w:val="0"/>
          <w:sz w:val="24"/>
        </w:rPr>
        <w:t>, vol. 35, 2022, pp. 27730–27744.</w:t>
      </w:r>
    </w:p>
    <w:p>
      <w:pPr>
        <w:spacing w:before="40" w:after="60" w:line="240" w:lineRule="auto"/>
        <w:ind w:left="454" w:hanging="227"/>
      </w:pPr>
      <w:r>
        <w:rPr>
          <w:rFonts w:ascii="Times New Roman" w:hAnsi="Times New Roman"/>
          <w:b w:val="0"/>
          <w:sz w:val="24"/>
        </w:rPr>
        <w:t xml:space="preserve">38. S. Borgeaud </w:t>
      </w:r>
      <w:r>
        <w:rPr>
          <w:rFonts w:ascii="Times New Roman" w:hAnsi="Times New Roman"/>
          <w:b w:val="0"/>
          <w:i/>
          <w:sz w:val="24"/>
        </w:rPr>
        <w:t>et al.</w:t>
      </w:r>
      <w:r>
        <w:rPr>
          <w:rFonts w:ascii="Times New Roman" w:hAnsi="Times New Roman"/>
          <w:b w:val="0"/>
          <w:sz w:val="24"/>
        </w:rPr>
        <w:t xml:space="preserve">, "Improving Language Models by Retrieving from Trillions of Tokens," in </w:t>
      </w:r>
      <w:r>
        <w:rPr>
          <w:rFonts w:ascii="Times New Roman" w:hAnsi="Times New Roman"/>
          <w:b w:val="0"/>
          <w:i/>
          <w:sz w:val="24"/>
        </w:rPr>
        <w:t>Proc. ICML</w:t>
      </w:r>
      <w:r>
        <w:rPr>
          <w:rFonts w:ascii="Times New Roman" w:hAnsi="Times New Roman"/>
          <w:b w:val="0"/>
          <w:sz w:val="24"/>
        </w:rPr>
        <w:t>, 2022, pp. 2206–2240.</w:t>
      </w:r>
    </w:p>
    <w:p>
      <w:pPr>
        <w:spacing w:before="40" w:after="60" w:line="240" w:lineRule="auto"/>
        <w:ind w:left="454" w:hanging="227"/>
      </w:pPr>
      <w:r>
        <w:rPr>
          <w:rFonts w:ascii="Times New Roman" w:hAnsi="Times New Roman"/>
          <w:b w:val="0"/>
          <w:sz w:val="24"/>
        </w:rPr>
        <w:t xml:space="preserve">39. G. Izacard and E. Grave, "Leveraging Passage Retrieval with Generative Models for Open Domain Question Answering," in </w:t>
      </w:r>
      <w:r>
        <w:rPr>
          <w:rFonts w:ascii="Times New Roman" w:hAnsi="Times New Roman"/>
          <w:b w:val="0"/>
          <w:i/>
          <w:sz w:val="24"/>
        </w:rPr>
        <w:t>Proc. EACL</w:t>
      </w:r>
      <w:r>
        <w:rPr>
          <w:rFonts w:ascii="Times New Roman" w:hAnsi="Times New Roman"/>
          <w:b w:val="0"/>
          <w:sz w:val="24"/>
        </w:rPr>
        <w:t>, 2021, pp. 874–880.</w:t>
      </w:r>
    </w:p>
    <w:p>
      <w:pPr>
        <w:spacing w:before="40" w:after="60" w:line="240" w:lineRule="auto"/>
        <w:ind w:left="454" w:hanging="227"/>
      </w:pPr>
      <w:r>
        <w:rPr>
          <w:rFonts w:ascii="Times New Roman" w:hAnsi="Times New Roman"/>
          <w:b w:val="0"/>
          <w:sz w:val="24"/>
        </w:rPr>
        <w:t xml:space="preserve">40. W. Shi </w:t>
      </w:r>
      <w:r>
        <w:rPr>
          <w:rFonts w:ascii="Times New Roman" w:hAnsi="Times New Roman"/>
          <w:b w:val="0"/>
          <w:i/>
          <w:sz w:val="24"/>
        </w:rPr>
        <w:t>et al.</w:t>
      </w:r>
      <w:r>
        <w:rPr>
          <w:rFonts w:ascii="Times New Roman" w:hAnsi="Times New Roman"/>
          <w:b w:val="0"/>
          <w:sz w:val="24"/>
        </w:rPr>
        <w:t xml:space="preserve">, "REPLUG: Retrieval-Augmented Black-Box Language Models," </w:t>
      </w:r>
      <w:r>
        <w:rPr>
          <w:rFonts w:ascii="Times New Roman" w:hAnsi="Times New Roman"/>
          <w:b w:val="0"/>
          <w:i/>
          <w:sz w:val="24"/>
        </w:rPr>
        <w:t>arXiv preprint arXiv:2301.12652</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41. A. Asai </w:t>
      </w:r>
      <w:r>
        <w:rPr>
          <w:rFonts w:ascii="Times New Roman" w:hAnsi="Times New Roman"/>
          <w:b w:val="0"/>
          <w:i/>
          <w:sz w:val="24"/>
        </w:rPr>
        <w:t>et al.</w:t>
      </w:r>
      <w:r>
        <w:rPr>
          <w:rFonts w:ascii="Times New Roman" w:hAnsi="Times New Roman"/>
          <w:b w:val="0"/>
          <w:sz w:val="24"/>
        </w:rPr>
        <w:t xml:space="preserve">, "Self-RAG: Learning to Retrieve, Generate, and Critique through Self-Reflection," in </w:t>
      </w:r>
      <w:r>
        <w:rPr>
          <w:rFonts w:ascii="Times New Roman" w:hAnsi="Times New Roman"/>
          <w:b w:val="0"/>
          <w:i/>
          <w:sz w:val="24"/>
        </w:rPr>
        <w:t>Proc. ICLR</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42. Z. Ji </w:t>
      </w:r>
      <w:r>
        <w:rPr>
          <w:rFonts w:ascii="Times New Roman" w:hAnsi="Times New Roman"/>
          <w:b w:val="0"/>
          <w:i/>
          <w:sz w:val="24"/>
        </w:rPr>
        <w:t>et al.</w:t>
      </w:r>
      <w:r>
        <w:rPr>
          <w:rFonts w:ascii="Times New Roman" w:hAnsi="Times New Roman"/>
          <w:b w:val="0"/>
          <w:sz w:val="24"/>
        </w:rPr>
        <w:t xml:space="preserve">, "Survey of Hallucination in Natural Language Generation," </w:t>
      </w:r>
      <w:r>
        <w:rPr>
          <w:rFonts w:ascii="Times New Roman" w:hAnsi="Times New Roman"/>
          <w:b w:val="0"/>
          <w:i/>
          <w:sz w:val="24"/>
        </w:rPr>
        <w:t>ACM Comput. Surv.</w:t>
      </w:r>
      <w:r>
        <w:rPr>
          <w:rFonts w:ascii="Times New Roman" w:hAnsi="Times New Roman"/>
          <w:b w:val="0"/>
          <w:sz w:val="24"/>
        </w:rPr>
        <w:t>, vol. 55, no. 12, pp. 1–38, 2023.</w:t>
      </w:r>
    </w:p>
    <w:p>
      <w:pPr>
        <w:spacing w:before="40" w:after="60" w:line="240" w:lineRule="auto"/>
        <w:ind w:left="454" w:hanging="227"/>
      </w:pPr>
      <w:r>
        <w:rPr>
          <w:rFonts w:ascii="Times New Roman" w:hAnsi="Times New Roman"/>
          <w:b w:val="0"/>
          <w:sz w:val="24"/>
        </w:rPr>
        <w:t xml:space="preserve">43. Y. Zhang </w:t>
      </w:r>
      <w:r>
        <w:rPr>
          <w:rFonts w:ascii="Times New Roman" w:hAnsi="Times New Roman"/>
          <w:b w:val="0"/>
          <w:i/>
          <w:sz w:val="24"/>
        </w:rPr>
        <w:t>et al.</w:t>
      </w:r>
      <w:r>
        <w:rPr>
          <w:rFonts w:ascii="Times New Roman" w:hAnsi="Times New Roman"/>
          <w:b w:val="0"/>
          <w:sz w:val="24"/>
        </w:rPr>
        <w:t xml:space="preserve">, "Siren's Song in the AI Ocean: A Survey on Hallucination in Large Language Models," </w:t>
      </w:r>
      <w:r>
        <w:rPr>
          <w:rFonts w:ascii="Times New Roman" w:hAnsi="Times New Roman"/>
          <w:b w:val="0"/>
          <w:i/>
          <w:sz w:val="24"/>
        </w:rPr>
        <w:t>arXiv preprint arXiv:2309.01219</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44. N. Liu, K. Lin, J. Hewitt, A. Paranjape, M. Bevilacqua, F. Petroni, and P. Liang, "Lost in the Middle: How Language Models Use Long Contexts," </w:t>
      </w:r>
      <w:r>
        <w:rPr>
          <w:rFonts w:ascii="Times New Roman" w:hAnsi="Times New Roman"/>
          <w:b w:val="0"/>
          <w:i/>
          <w:sz w:val="24"/>
        </w:rPr>
        <w:t>Trans. Assoc. Comput. Linguist.</w:t>
      </w:r>
      <w:r>
        <w:rPr>
          <w:rFonts w:ascii="Times New Roman" w:hAnsi="Times New Roman"/>
          <w:b w:val="0"/>
          <w:sz w:val="24"/>
        </w:rPr>
        <w:t>, vol. 12, pp. 157–173, 2024.</w:t>
      </w:r>
    </w:p>
    <w:p>
      <w:pPr>
        <w:spacing w:before="40" w:after="60" w:line="240" w:lineRule="auto"/>
        <w:ind w:left="454" w:hanging="227"/>
      </w:pPr>
      <w:r>
        <w:rPr>
          <w:rFonts w:ascii="Times New Roman" w:hAnsi="Times New Roman"/>
          <w:b w:val="0"/>
          <w:sz w:val="24"/>
        </w:rPr>
        <w:t xml:space="preserve">45. J. Xie </w:t>
      </w:r>
      <w:r>
        <w:rPr>
          <w:rFonts w:ascii="Times New Roman" w:hAnsi="Times New Roman"/>
          <w:b w:val="0"/>
          <w:i/>
          <w:sz w:val="24"/>
        </w:rPr>
        <w:t>et al.</w:t>
      </w:r>
      <w:r>
        <w:rPr>
          <w:rFonts w:ascii="Times New Roman" w:hAnsi="Times New Roman"/>
          <w:b w:val="0"/>
          <w:sz w:val="24"/>
        </w:rPr>
        <w:t xml:space="preserve">, "Adaptive Chameleon or Stubborn Sloth: Revealing the Behaviour of Large Language Models in Knowledge Conflicts," in </w:t>
      </w:r>
      <w:r>
        <w:rPr>
          <w:rFonts w:ascii="Times New Roman" w:hAnsi="Times New Roman"/>
          <w:b w:val="0"/>
          <w:i/>
          <w:sz w:val="24"/>
        </w:rPr>
        <w:t>Proc. EMNLP</w:t>
      </w:r>
      <w:r>
        <w:rPr>
          <w:rFonts w:ascii="Times New Roman" w:hAnsi="Times New Roman"/>
          <w:b w:val="0"/>
          <w:sz w:val="24"/>
        </w:rPr>
        <w:t>, 2023, pp. 1321–1334.</w:t>
      </w:r>
    </w:p>
    <w:p>
      <w:r>
        <w:br w:type="page"/>
      </w:r>
    </w:p>
    <w:p>
      <w:pPr>
        <w:pStyle w:val="Heading1"/>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detects when no context sentence provides sufficient factual support or explicit contradiction for a flagged claim, marking the span as ungrounded rather than forcing an inaccurate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algorithm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quantile threshold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Attributable Span:</w:t>
      </w:r>
      <w:r>
        <w:rPr>
          <w:rFonts w:ascii="Times New Roman" w:hAnsi="Times New Roman"/>
          <w:b w:val="0"/>
          <w:sz w:val="24"/>
        </w:rPr>
        <w:t xml:space="preserve"> A flagged response span in the RAGTruth benchmark whose human annotation contains an explicit </w:t>
      </w:r>
      <w:r>
        <w:rPr>
          <w:rFonts w:ascii="Times New Roman" w:hAnsi="Times New Roman"/>
          <w:b w:val="0"/>
          <w:sz w:val="24"/>
        </w:rPr>
        <w:t>Original:</w:t>
      </w:r>
      <w:r>
        <w:rPr>
          <w:rFonts w:ascii="Times New Roman" w:hAnsi="Times New Roman"/>
          <w:b w:val="0"/>
          <w:sz w:val="24"/>
        </w:rPr>
        <w:t xml:space="preserve"> reference quote that does not indicate a denial of evidence, enabling ground-truth pairing with an individual context sentence (652 spans in </w:t>
      </w:r>
      <w:r>
        <w:rPr>
          <w:rFonts w:ascii="Times New Roman" w:hAnsi="Times New Roman"/>
          <w:b w:val="0"/>
          <w:sz w:val="24"/>
        </w:rPr>
        <w:t>calib</w:t>
      </w:r>
      <w:r>
        <w:rPr>
          <w:rFonts w:ascii="Times New Roman" w:hAnsi="Times New Roman"/>
          <w:b w:val="0"/>
          <w:sz w:val="24"/>
        </w:rPr>
        <w:t xml:space="preserve">, 824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Baseless Information:</w:t>
      </w:r>
      <w:r>
        <w:rPr>
          <w:rFonts w:ascii="Times New Roman" w:hAnsi="Times New Roman"/>
          <w:b w:val="0"/>
          <w:sz w:val="24"/>
        </w:rPr>
        <w:t xml:space="preserve"> A hallucination category in RAGTruth where the language model introduces specific entities, numbers, or claims that have no basis in the retrieved context passage.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hallucination category in RAGTruth where the language model generates an assertion that directly contradicts an explicit fact or entity stated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statistical property required by split-conformal prediction, stating that the joint probability distribution of calibration and test examples is invariant under permutations, ensuring valid finite-sample coverage without distributional assumptions on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(s)):** The zero-based index of the context sentence c_i ∈ C_x that yields the highest content-word containment with the human annotator's reference quote, satisfying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nonconformity scores r(s, i) = 1 - f(s, c_i), selecting every context sentence whose model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proportion of attributable spans where the true gold evidence sentence i*(s) is discarded by an initial candidate filtering step before final scoring (21.94% for top-5 dense filtering vs. 2.35% for full context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context sentences a human verifier must read per flagged span, accounting for both non-empty prediction sets (|Ĉ_α(s)|) and empty sets where the verifier must inspect the full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demonstrated in Section 6.1.5 (</w:t>
      </w:r>
      <w:r>
        <w:rPr>
          <w:rFonts w:ascii="Times New Roman" w:hAnsi="Times New Roman"/>
          <w:b w:val="0"/>
          <w:sz w:val="24"/>
        </w:rPr>
        <w:t>Proposition 6.1</w:t>
      </w:r>
      <w:r>
        <w:rPr>
          <w:rFonts w:ascii="Times New Roman" w:hAnsi="Times New Roman"/>
          <w:b w:val="0"/>
          <w:sz w:val="24"/>
        </w:rPr>
        <w:t>) showing that any strictly increasing one-dimensional calibrator produces identical LAC prediction sets to uncalibrated scores as long as empirical quantiles satisfy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Response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Error Category</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Hallucinated 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Ground-Truth Human </w:t>
            </w:r>
            <w:r>
              <w:rPr>
                <w:rFonts w:ascii="Times New Roman" w:hAnsi="Times New Roman"/>
                <w:b/>
                <w:sz w:val="18"/>
              </w:rPr>
              <w:t>Original:</w:t>
            </w:r>
            <w:r>
              <w:rPr>
                <w:rFonts w:ascii="Times New Roman" w:hAnsi="Times New Roman"/>
                <w:b/>
                <w:sz w:val="18"/>
              </w:rPr>
              <w:t xml:space="preserve"> Snippet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Agree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Agree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Verification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2008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English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stated in the table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has a customer rating of 1 out of 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customer rating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which is situated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664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rating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 rating</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provided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serving fast 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is a cheap pub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cheap</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children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(Annotator Note)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is moderately priced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moderately priced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range not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located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5122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said in a telephone interview 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mention of telephone interview</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of week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5326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Monday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5424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Monday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6067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an email statement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communication mode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6084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6444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a statement 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statement day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Friday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in source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nearly 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\"more than 300\" (contradicts, not ungrounded)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(Real Conflict)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8722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8987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9478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10168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10332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first step is to apply a pre-treater to the stain.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step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(2022–2025) on RAG hallucination detection, post-hoc calibration, and split-conformal prediction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designed, evaluated, and authored every chapter, equation, table, and analysis in this dissertation, verifying all experimental findings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